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312" w:afterLines="100" w:line="360" w:lineRule="exact"/>
        <w:outlineLvl w:val="0"/>
        <w:rPr>
          <w:rFonts w:hint="eastAsia" w:ascii="宋体" w:hAnsi="宋体"/>
          <w:szCs w:val="21"/>
        </w:rPr>
      </w:pPr>
      <w:r>
        <w:rPr>
          <w:rFonts w:hint="eastAsia" w:ascii="宋体" w:hAnsi="宋体"/>
          <w:szCs w:val="21"/>
        </w:rPr>
        <w:t>附件二：</w:t>
      </w:r>
    </w:p>
    <w:p>
      <w:pPr>
        <w:spacing w:before="312" w:beforeLines="100" w:after="312" w:afterLines="100" w:line="360" w:lineRule="exact"/>
        <w:jc w:val="center"/>
        <w:outlineLvl w:val="0"/>
        <w:rPr>
          <w:rFonts w:hint="eastAsia" w:ascii="宋体" w:hAnsi="宋体"/>
          <w:sz w:val="32"/>
          <w:szCs w:val="32"/>
        </w:rPr>
      </w:pPr>
      <w:bookmarkStart w:id="0" w:name="_GoBack"/>
      <w:r>
        <w:rPr>
          <w:rFonts w:hint="eastAsia" w:ascii="宋体" w:hAnsi="宋体"/>
          <w:sz w:val="32"/>
          <w:szCs w:val="32"/>
        </w:rPr>
        <w:t>关于滁州市直公立医院医用耗材带量采购文件中的部分说明</w:t>
      </w:r>
      <w:bookmarkEnd w:id="0"/>
    </w:p>
    <w:p>
      <w:pPr>
        <w:spacing w:before="312" w:beforeLines="100" w:after="312" w:afterLines="100" w:line="360" w:lineRule="exact"/>
        <w:outlineLvl w:val="0"/>
        <w:rPr>
          <w:rFonts w:hint="eastAsia" w:ascii="宋体" w:hAnsi="宋体"/>
          <w:sz w:val="28"/>
          <w:szCs w:val="28"/>
        </w:rPr>
      </w:pPr>
      <w:r>
        <w:rPr>
          <w:rFonts w:hint="eastAsia" w:ascii="宋体" w:hAnsi="宋体"/>
          <w:sz w:val="28"/>
          <w:szCs w:val="28"/>
        </w:rPr>
        <w:t>各参选企业：针对滁州市直公立医院医用耗材带量采购文件中的评审细则，经广泛听取多方意见后，咨询相关部门后，带量采购领导组集体开会研究决定，对综合比较与评审的部分细则作了适当修订，详见下表：</w:t>
      </w:r>
    </w:p>
    <w:tbl>
      <w:tblPr>
        <w:tblStyle w:val="5"/>
        <w:tblW w:w="1598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2"/>
        <w:gridCol w:w="774"/>
        <w:gridCol w:w="957"/>
        <w:gridCol w:w="581"/>
        <w:gridCol w:w="12190"/>
        <w:gridCol w:w="7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12" w:type="dxa"/>
            <w:shd w:val="clear" w:color="auto" w:fill="F2F2F2"/>
            <w:vAlign w:val="center"/>
          </w:tcPr>
          <w:p>
            <w:pPr>
              <w:jc w:val="center"/>
              <w:rPr>
                <w:rFonts w:hint="eastAsia"/>
              </w:rPr>
            </w:pPr>
            <w:r>
              <w:t>评审</w:t>
            </w:r>
          </w:p>
          <w:p>
            <w:pPr>
              <w:jc w:val="center"/>
            </w:pPr>
            <w:r>
              <w:t>项目</w:t>
            </w:r>
          </w:p>
        </w:tc>
        <w:tc>
          <w:tcPr>
            <w:tcW w:w="774" w:type="dxa"/>
            <w:shd w:val="clear" w:color="auto" w:fill="F2F2F2"/>
            <w:vAlign w:val="center"/>
          </w:tcPr>
          <w:p>
            <w:pPr>
              <w:jc w:val="center"/>
            </w:pPr>
            <w:r>
              <w:t>分值</w:t>
            </w:r>
          </w:p>
        </w:tc>
        <w:tc>
          <w:tcPr>
            <w:tcW w:w="957" w:type="dxa"/>
            <w:shd w:val="clear" w:color="auto" w:fill="F2F2F2"/>
            <w:vAlign w:val="center"/>
          </w:tcPr>
          <w:p>
            <w:pPr>
              <w:jc w:val="center"/>
              <w:rPr>
                <w:rFonts w:hint="eastAsia"/>
              </w:rPr>
            </w:pPr>
            <w:r>
              <w:rPr>
                <w:rFonts w:hint="eastAsia"/>
              </w:rPr>
              <w:t>评审</w:t>
            </w:r>
          </w:p>
          <w:p>
            <w:pPr>
              <w:jc w:val="center"/>
              <w:rPr>
                <w:rFonts w:hint="eastAsia"/>
              </w:rPr>
            </w:pPr>
            <w:r>
              <w:t>要素</w:t>
            </w:r>
          </w:p>
        </w:tc>
        <w:tc>
          <w:tcPr>
            <w:tcW w:w="581" w:type="dxa"/>
            <w:tcBorders>
              <w:right w:val="single" w:color="auto" w:sz="4" w:space="0"/>
            </w:tcBorders>
            <w:shd w:val="clear" w:color="auto" w:fill="F2F2F2"/>
            <w:vAlign w:val="center"/>
          </w:tcPr>
          <w:p>
            <w:pPr>
              <w:jc w:val="center"/>
            </w:pPr>
            <w:r>
              <w:t>分值</w:t>
            </w:r>
          </w:p>
        </w:tc>
        <w:tc>
          <w:tcPr>
            <w:tcW w:w="12190" w:type="dxa"/>
            <w:tcBorders>
              <w:left w:val="single" w:color="auto" w:sz="4" w:space="0"/>
              <w:right w:val="single" w:color="auto" w:sz="4" w:space="0"/>
            </w:tcBorders>
            <w:shd w:val="clear" w:color="auto" w:fill="F2F2F2"/>
            <w:vAlign w:val="center"/>
          </w:tcPr>
          <w:p>
            <w:pPr>
              <w:jc w:val="center"/>
              <w:rPr>
                <w:sz w:val="28"/>
                <w:szCs w:val="28"/>
              </w:rPr>
            </w:pPr>
            <w:r>
              <w:rPr>
                <w:rFonts w:hint="eastAsia"/>
                <w:sz w:val="28"/>
                <w:szCs w:val="28"/>
              </w:rPr>
              <w:t>评 分 标 准 与 说 明</w:t>
            </w:r>
          </w:p>
        </w:tc>
        <w:tc>
          <w:tcPr>
            <w:tcW w:w="772" w:type="dxa"/>
            <w:tcBorders>
              <w:left w:val="single" w:color="auto" w:sz="4" w:space="0"/>
            </w:tcBorders>
            <w:shd w:val="clear" w:color="auto" w:fill="F2F2F2"/>
            <w:vAlign w:val="center"/>
          </w:tcPr>
          <w:p>
            <w:pPr>
              <w:jc w:val="center"/>
              <w:rPr>
                <w:rFonts w:hint="eastAsia"/>
              </w:rPr>
            </w:pPr>
            <w:r>
              <w:rPr>
                <w:rFonts w:hint="eastAsia"/>
              </w:rPr>
              <w:t>评审</w:t>
            </w:r>
          </w:p>
          <w:p>
            <w:pPr>
              <w:jc w:val="center"/>
            </w:pPr>
            <w:r>
              <w:t>性质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jc w:val="center"/>
        </w:trPr>
        <w:tc>
          <w:tcPr>
            <w:tcW w:w="712" w:type="dxa"/>
            <w:vMerge w:val="restart"/>
            <w:vAlign w:val="center"/>
          </w:tcPr>
          <w:p>
            <w:pPr>
              <w:jc w:val="center"/>
              <w:rPr>
                <w:rFonts w:hint="eastAsia"/>
              </w:rPr>
            </w:pPr>
            <w:r>
              <w:t>企业</w:t>
            </w:r>
          </w:p>
          <w:p>
            <w:pPr>
              <w:jc w:val="center"/>
            </w:pPr>
            <w:r>
              <w:t>情况</w:t>
            </w:r>
          </w:p>
        </w:tc>
        <w:tc>
          <w:tcPr>
            <w:tcW w:w="774" w:type="dxa"/>
            <w:vMerge w:val="restart"/>
            <w:vAlign w:val="center"/>
          </w:tcPr>
          <w:p>
            <w:pPr>
              <w:jc w:val="center"/>
            </w:pPr>
            <w:r>
              <w:rPr>
                <w:rFonts w:hint="eastAsia"/>
              </w:rPr>
              <w:t>8</w:t>
            </w:r>
          </w:p>
        </w:tc>
        <w:tc>
          <w:tcPr>
            <w:tcW w:w="1538" w:type="dxa"/>
            <w:gridSpan w:val="2"/>
            <w:tcBorders>
              <w:right w:val="single" w:color="auto" w:sz="4" w:space="0"/>
            </w:tcBorders>
            <w:vAlign w:val="center"/>
          </w:tcPr>
          <w:p>
            <w:pPr>
              <w:jc w:val="center"/>
            </w:pPr>
            <w:r>
              <w:rPr>
                <w:rFonts w:hint="eastAsia"/>
              </w:rPr>
              <w:t>公司状况</w:t>
            </w:r>
          </w:p>
        </w:tc>
        <w:tc>
          <w:tcPr>
            <w:tcW w:w="12190" w:type="dxa"/>
            <w:tcBorders>
              <w:left w:val="single" w:color="auto" w:sz="4" w:space="0"/>
              <w:right w:val="single" w:color="auto" w:sz="4" w:space="0"/>
            </w:tcBorders>
            <w:vAlign w:val="center"/>
          </w:tcPr>
          <w:p>
            <w:pPr>
              <w:rPr>
                <w:rFonts w:hint="eastAsia"/>
              </w:rPr>
            </w:pPr>
            <w:r>
              <w:rPr>
                <w:rFonts w:hint="eastAsia"/>
              </w:rPr>
              <w:t>相关证照齐全的合法经营企业</w:t>
            </w:r>
          </w:p>
        </w:tc>
        <w:tc>
          <w:tcPr>
            <w:tcW w:w="772" w:type="dxa"/>
            <w:tcBorders>
              <w:left w:val="single" w:color="auto" w:sz="4" w:space="0"/>
            </w:tcBorders>
            <w:vAlign w:val="center"/>
          </w:tcPr>
          <w:p>
            <w:pPr>
              <w:jc w:val="center"/>
            </w:pPr>
            <w:r>
              <w:t>客观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1" w:hRule="atLeast"/>
          <w:jc w:val="center"/>
        </w:trPr>
        <w:tc>
          <w:tcPr>
            <w:tcW w:w="712" w:type="dxa"/>
            <w:vMerge w:val="continue"/>
            <w:vAlign w:val="center"/>
          </w:tcPr>
          <w:p>
            <w:pPr>
              <w:jc w:val="center"/>
            </w:pPr>
          </w:p>
        </w:tc>
        <w:tc>
          <w:tcPr>
            <w:tcW w:w="774" w:type="dxa"/>
            <w:vMerge w:val="continue"/>
            <w:vAlign w:val="center"/>
          </w:tcPr>
          <w:p>
            <w:pPr>
              <w:jc w:val="center"/>
              <w:rPr>
                <w:rFonts w:hint="eastAsia"/>
              </w:rPr>
            </w:pPr>
          </w:p>
        </w:tc>
        <w:tc>
          <w:tcPr>
            <w:tcW w:w="957" w:type="dxa"/>
            <w:vAlign w:val="center"/>
          </w:tcPr>
          <w:p>
            <w:pPr>
              <w:jc w:val="center"/>
              <w:rPr>
                <w:rFonts w:hint="eastAsia"/>
              </w:rPr>
            </w:pPr>
            <w:r>
              <w:t>仓库</w:t>
            </w:r>
          </w:p>
          <w:p>
            <w:pPr>
              <w:jc w:val="center"/>
            </w:pPr>
            <w:r>
              <w:t>面积</w:t>
            </w:r>
          </w:p>
        </w:tc>
        <w:tc>
          <w:tcPr>
            <w:tcW w:w="581" w:type="dxa"/>
            <w:tcBorders>
              <w:right w:val="single" w:color="auto" w:sz="4" w:space="0"/>
            </w:tcBorders>
            <w:vAlign w:val="center"/>
          </w:tcPr>
          <w:p>
            <w:pPr>
              <w:jc w:val="center"/>
            </w:pPr>
            <w:r>
              <w:rPr>
                <w:rFonts w:hint="eastAsia"/>
              </w:rPr>
              <w:t>5</w:t>
            </w:r>
          </w:p>
        </w:tc>
        <w:tc>
          <w:tcPr>
            <w:tcW w:w="12190" w:type="dxa"/>
            <w:tcBorders>
              <w:left w:val="single" w:color="auto" w:sz="4" w:space="0"/>
              <w:right w:val="single" w:color="auto" w:sz="4" w:space="0"/>
            </w:tcBorders>
            <w:vAlign w:val="center"/>
          </w:tcPr>
          <w:p>
            <w:pPr>
              <w:rPr>
                <w:rFonts w:hint="eastAsia"/>
              </w:rPr>
            </w:pPr>
            <w:r>
              <w:rPr>
                <w:rFonts w:hint="eastAsia" w:ascii="宋体" w:hAnsi="宋体"/>
              </w:rPr>
              <w:t>仓储面积小于200平米不得分，达到200（含）平米得2分；以后每增加100平米得1分，</w:t>
            </w:r>
            <w:r>
              <w:rPr>
                <w:rFonts w:hint="eastAsia"/>
              </w:rPr>
              <w:t>满分5分（提供药监部门出具的证明）</w:t>
            </w:r>
          </w:p>
        </w:tc>
        <w:tc>
          <w:tcPr>
            <w:tcW w:w="772" w:type="dxa"/>
            <w:tcBorders>
              <w:left w:val="single" w:color="auto" w:sz="4" w:space="0"/>
            </w:tcBorders>
            <w:vAlign w:val="center"/>
          </w:tcPr>
          <w:p>
            <w:pPr>
              <w:jc w:val="center"/>
            </w:pPr>
            <w:r>
              <w:t>客观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15" w:hRule="atLeast"/>
          <w:jc w:val="center"/>
        </w:trPr>
        <w:tc>
          <w:tcPr>
            <w:tcW w:w="712" w:type="dxa"/>
            <w:vMerge w:val="continue"/>
            <w:vAlign w:val="center"/>
          </w:tcPr>
          <w:p>
            <w:pPr>
              <w:jc w:val="center"/>
            </w:pPr>
          </w:p>
        </w:tc>
        <w:tc>
          <w:tcPr>
            <w:tcW w:w="774" w:type="dxa"/>
            <w:vMerge w:val="continue"/>
            <w:vAlign w:val="center"/>
          </w:tcPr>
          <w:p>
            <w:pPr>
              <w:jc w:val="center"/>
              <w:rPr>
                <w:rFonts w:hint="eastAsia"/>
              </w:rPr>
            </w:pPr>
          </w:p>
        </w:tc>
        <w:tc>
          <w:tcPr>
            <w:tcW w:w="957" w:type="dxa"/>
            <w:vAlign w:val="center"/>
          </w:tcPr>
          <w:p>
            <w:pPr>
              <w:jc w:val="center"/>
              <w:rPr>
                <w:rFonts w:hint="eastAsia"/>
              </w:rPr>
            </w:pPr>
            <w:r>
              <w:t>产品</w:t>
            </w:r>
          </w:p>
          <w:p>
            <w:pPr>
              <w:jc w:val="center"/>
            </w:pPr>
            <w:r>
              <w:t>中标数</w:t>
            </w:r>
          </w:p>
        </w:tc>
        <w:tc>
          <w:tcPr>
            <w:tcW w:w="581" w:type="dxa"/>
            <w:tcBorders>
              <w:right w:val="single" w:color="auto" w:sz="4" w:space="0"/>
            </w:tcBorders>
            <w:vAlign w:val="center"/>
          </w:tcPr>
          <w:p>
            <w:pPr>
              <w:jc w:val="center"/>
              <w:rPr>
                <w:rFonts w:hint="eastAsia"/>
              </w:rPr>
            </w:pPr>
            <w:r>
              <w:rPr>
                <w:rFonts w:hint="eastAsia"/>
              </w:rPr>
              <w:t>3</w:t>
            </w:r>
          </w:p>
        </w:tc>
        <w:tc>
          <w:tcPr>
            <w:tcW w:w="12190" w:type="dxa"/>
            <w:tcBorders>
              <w:left w:val="single" w:color="auto" w:sz="4" w:space="0"/>
              <w:right w:val="single" w:color="auto" w:sz="4" w:space="0"/>
            </w:tcBorders>
            <w:vAlign w:val="center"/>
          </w:tcPr>
          <w:p>
            <w:pPr>
              <w:rPr>
                <w:rFonts w:hint="eastAsia" w:ascii="宋体" w:hAnsi="宋体"/>
              </w:rPr>
            </w:pPr>
            <w:r>
              <w:t>以</w:t>
            </w:r>
            <w:r>
              <w:rPr>
                <w:rFonts w:hint="eastAsia"/>
              </w:rPr>
              <w:t>参选企业</w:t>
            </w:r>
            <w:r>
              <w:t>在滁州市公立医疗卫生机构第二轮医用耗材及检验试剂集中招标暨带量采购项目中中标产品目录</w:t>
            </w:r>
            <w:r>
              <w:rPr>
                <w:rFonts w:hint="eastAsia"/>
              </w:rPr>
              <w:t>及</w:t>
            </w:r>
            <w:r>
              <w:t>第一批</w:t>
            </w:r>
            <w:r>
              <w:rPr>
                <w:rFonts w:hint="eastAsia"/>
              </w:rPr>
              <w:t>和第二批</w:t>
            </w:r>
            <w:r>
              <w:t>备案成交目录</w:t>
            </w:r>
            <w:r>
              <w:rPr>
                <w:rFonts w:hint="eastAsia"/>
              </w:rPr>
              <w:t>内的数据为评价依据。（血管</w:t>
            </w:r>
            <w:r>
              <w:t>介入、骨科植入类耗材</w:t>
            </w:r>
            <w:r>
              <w:rPr>
                <w:rFonts w:hint="eastAsia"/>
              </w:rPr>
              <w:t>包</w:t>
            </w:r>
            <w:r>
              <w:t>除外</w:t>
            </w:r>
            <w:r>
              <w:rPr>
                <w:rFonts w:hint="eastAsia"/>
              </w:rPr>
              <w:t>）。中标产品数10-50条的得1分；中标产品数50-100条的得2分；中标产品数100-150条以上得3分（中标数以中标通知书为准）。</w:t>
            </w:r>
          </w:p>
        </w:tc>
        <w:tc>
          <w:tcPr>
            <w:tcW w:w="772" w:type="dxa"/>
            <w:tcBorders>
              <w:left w:val="single" w:color="auto" w:sz="4" w:space="0"/>
            </w:tcBorders>
            <w:vAlign w:val="center"/>
          </w:tcPr>
          <w:p>
            <w:pPr>
              <w:jc w:val="center"/>
            </w:pPr>
            <w:r>
              <w:t>客观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12" w:type="dxa"/>
            <w:vAlign w:val="center"/>
          </w:tcPr>
          <w:p>
            <w:pPr>
              <w:jc w:val="center"/>
              <w:rPr>
                <w:rFonts w:hint="eastAsia"/>
              </w:rPr>
            </w:pPr>
            <w:r>
              <w:rPr>
                <w:rFonts w:hint="eastAsia"/>
              </w:rPr>
              <w:t>让利</w:t>
            </w:r>
          </w:p>
          <w:p>
            <w:pPr>
              <w:jc w:val="center"/>
            </w:pPr>
            <w:r>
              <w:t>报价</w:t>
            </w:r>
          </w:p>
        </w:tc>
        <w:tc>
          <w:tcPr>
            <w:tcW w:w="774" w:type="dxa"/>
            <w:vAlign w:val="center"/>
          </w:tcPr>
          <w:p>
            <w:pPr>
              <w:jc w:val="center"/>
            </w:pPr>
            <w:r>
              <w:rPr>
                <w:rFonts w:hint="eastAsia"/>
              </w:rPr>
              <w:t>60</w:t>
            </w:r>
          </w:p>
        </w:tc>
        <w:tc>
          <w:tcPr>
            <w:tcW w:w="957" w:type="dxa"/>
            <w:vAlign w:val="center"/>
          </w:tcPr>
          <w:p>
            <w:pPr>
              <w:jc w:val="center"/>
              <w:rPr>
                <w:rFonts w:hint="eastAsia"/>
              </w:rPr>
            </w:pPr>
            <w:r>
              <w:t>让利</w:t>
            </w:r>
          </w:p>
          <w:p>
            <w:pPr>
              <w:jc w:val="center"/>
            </w:pPr>
            <w:r>
              <w:t>幅度</w:t>
            </w:r>
          </w:p>
        </w:tc>
        <w:tc>
          <w:tcPr>
            <w:tcW w:w="581" w:type="dxa"/>
            <w:tcBorders>
              <w:right w:val="single" w:color="auto" w:sz="4" w:space="0"/>
            </w:tcBorders>
            <w:vAlign w:val="center"/>
          </w:tcPr>
          <w:p>
            <w:pPr>
              <w:jc w:val="center"/>
            </w:pPr>
            <w:r>
              <w:rPr>
                <w:rFonts w:hint="eastAsia"/>
              </w:rPr>
              <w:t>60</w:t>
            </w:r>
          </w:p>
        </w:tc>
        <w:tc>
          <w:tcPr>
            <w:tcW w:w="12190" w:type="dxa"/>
            <w:tcBorders>
              <w:left w:val="single" w:color="auto" w:sz="4" w:space="0"/>
              <w:right w:val="single" w:color="auto" w:sz="4" w:space="0"/>
            </w:tcBorders>
            <w:vAlign w:val="center"/>
          </w:tcPr>
          <w:p>
            <w:pPr>
              <w:rPr>
                <w:rFonts w:hint="eastAsia" w:ascii="宋体" w:hAnsi="宋体"/>
                <w:sz w:val="22"/>
                <w:szCs w:val="22"/>
              </w:rPr>
            </w:pPr>
            <w:r>
              <w:rPr>
                <w:rFonts w:hint="eastAsia" w:ascii="宋体" w:hAnsi="宋体"/>
                <w:sz w:val="22"/>
                <w:szCs w:val="22"/>
              </w:rPr>
              <w:t>第1包：医学影像类耗材</w:t>
            </w:r>
            <w:r>
              <w:rPr>
                <w:rFonts w:hint="eastAsia" w:ascii="宋体" w:hAnsi="宋体"/>
              </w:rPr>
              <w:t>让利10% 得6</w:t>
            </w:r>
            <w:r>
              <w:rPr>
                <w:rFonts w:ascii="宋体" w:hAnsi="宋体"/>
              </w:rPr>
              <w:t>0</w:t>
            </w:r>
            <w:r>
              <w:rPr>
                <w:rFonts w:hint="eastAsia" w:ascii="宋体" w:hAnsi="宋体"/>
              </w:rPr>
              <w:t>分</w:t>
            </w:r>
            <w:r>
              <w:rPr>
                <w:rFonts w:hint="eastAsia" w:ascii="宋体" w:hAnsi="宋体"/>
                <w:sz w:val="22"/>
                <w:szCs w:val="22"/>
              </w:rPr>
              <w:t xml:space="preserve">                     第2包：骨科创伤、人工骨类耗材</w:t>
            </w:r>
            <w:r>
              <w:rPr>
                <w:rFonts w:ascii="宋体" w:hAnsi="宋体"/>
              </w:rPr>
              <w:t>让利25</w:t>
            </w:r>
            <w:r>
              <w:rPr>
                <w:rFonts w:hint="eastAsia" w:ascii="宋体" w:hAnsi="宋体"/>
              </w:rPr>
              <w:t>% 得6</w:t>
            </w:r>
            <w:r>
              <w:rPr>
                <w:rFonts w:ascii="宋体" w:hAnsi="宋体"/>
              </w:rPr>
              <w:t>0</w:t>
            </w:r>
            <w:r>
              <w:rPr>
                <w:rFonts w:hint="eastAsia" w:ascii="宋体" w:hAnsi="宋体"/>
              </w:rPr>
              <w:t>分</w:t>
            </w:r>
          </w:p>
          <w:p>
            <w:pPr>
              <w:rPr>
                <w:rFonts w:hint="eastAsia" w:ascii="宋体" w:hAnsi="宋体"/>
              </w:rPr>
            </w:pPr>
            <w:r>
              <w:rPr>
                <w:rFonts w:hint="eastAsia" w:ascii="宋体" w:hAnsi="宋体"/>
                <w:sz w:val="22"/>
                <w:szCs w:val="22"/>
              </w:rPr>
              <w:t>第3包：眼科、神经外科等其它植入类耗材</w:t>
            </w:r>
            <w:r>
              <w:rPr>
                <w:rFonts w:hint="eastAsia" w:ascii="宋体" w:hAnsi="宋体"/>
              </w:rPr>
              <w:t>让利15% 得6</w:t>
            </w:r>
            <w:r>
              <w:rPr>
                <w:rFonts w:ascii="宋体" w:hAnsi="宋体"/>
              </w:rPr>
              <w:t>0</w:t>
            </w:r>
            <w:r>
              <w:rPr>
                <w:rFonts w:hint="eastAsia" w:ascii="宋体" w:hAnsi="宋体"/>
              </w:rPr>
              <w:t>分</w:t>
            </w:r>
            <w:r>
              <w:rPr>
                <w:rFonts w:hint="eastAsia" w:ascii="宋体" w:hAnsi="宋体"/>
                <w:sz w:val="22"/>
                <w:szCs w:val="22"/>
              </w:rPr>
              <w:t xml:space="preserve">     第4包：骨科脊柱、关节类耗材</w:t>
            </w:r>
            <w:r>
              <w:rPr>
                <w:rFonts w:ascii="宋体" w:hAnsi="宋体"/>
              </w:rPr>
              <w:t>让利25</w:t>
            </w:r>
            <w:r>
              <w:rPr>
                <w:rFonts w:hint="eastAsia" w:ascii="宋体" w:hAnsi="宋体"/>
              </w:rPr>
              <w:t>% 得6</w:t>
            </w:r>
            <w:r>
              <w:rPr>
                <w:rFonts w:ascii="宋体" w:hAnsi="宋体"/>
              </w:rPr>
              <w:t>0</w:t>
            </w:r>
            <w:r>
              <w:rPr>
                <w:rFonts w:hint="eastAsia" w:ascii="宋体" w:hAnsi="宋体"/>
              </w:rPr>
              <w:t>分</w:t>
            </w:r>
          </w:p>
          <w:p>
            <w:pPr>
              <w:rPr>
                <w:rFonts w:hint="eastAsia" w:ascii="宋体" w:hAnsi="宋体"/>
                <w:sz w:val="22"/>
                <w:szCs w:val="22"/>
              </w:rPr>
            </w:pPr>
            <w:r>
              <w:rPr>
                <w:rFonts w:hint="eastAsia" w:ascii="宋体" w:hAnsi="宋体"/>
                <w:sz w:val="22"/>
                <w:szCs w:val="22"/>
              </w:rPr>
              <w:t>第5包：起搏器、电生理及非血管介入类耗材</w:t>
            </w:r>
            <w:r>
              <w:rPr>
                <w:rFonts w:hint="eastAsia" w:ascii="宋体" w:hAnsi="宋体"/>
              </w:rPr>
              <w:t>让利15% 得6</w:t>
            </w:r>
            <w:r>
              <w:rPr>
                <w:rFonts w:ascii="宋体" w:hAnsi="宋体"/>
              </w:rPr>
              <w:t>0</w:t>
            </w:r>
            <w:r>
              <w:rPr>
                <w:rFonts w:hint="eastAsia" w:ascii="宋体" w:hAnsi="宋体"/>
              </w:rPr>
              <w:t>分</w:t>
            </w:r>
            <w:r>
              <w:rPr>
                <w:rFonts w:hint="eastAsia" w:ascii="宋体" w:hAnsi="宋体"/>
                <w:sz w:val="22"/>
                <w:szCs w:val="22"/>
              </w:rPr>
              <w:t xml:space="preserve">   第6包：血管介入类耗材</w:t>
            </w:r>
            <w:r>
              <w:rPr>
                <w:rFonts w:hint="eastAsia" w:ascii="宋体" w:hAnsi="宋体"/>
              </w:rPr>
              <w:t>让利20% 得6</w:t>
            </w:r>
            <w:r>
              <w:rPr>
                <w:rFonts w:ascii="宋体" w:hAnsi="宋体"/>
              </w:rPr>
              <w:t>0</w:t>
            </w:r>
            <w:r>
              <w:rPr>
                <w:rFonts w:hint="eastAsia" w:ascii="宋体" w:hAnsi="宋体"/>
              </w:rPr>
              <w:t>分</w:t>
            </w:r>
          </w:p>
          <w:p>
            <w:pPr>
              <w:rPr>
                <w:rFonts w:hint="eastAsia" w:ascii="宋体" w:hAnsi="宋体"/>
                <w:sz w:val="22"/>
                <w:szCs w:val="22"/>
              </w:rPr>
            </w:pPr>
            <w:r>
              <w:rPr>
                <w:rFonts w:hint="eastAsia" w:ascii="宋体" w:hAnsi="宋体"/>
                <w:sz w:val="22"/>
                <w:szCs w:val="22"/>
              </w:rPr>
              <w:t>第7包：口腔科类耗材</w:t>
            </w:r>
            <w:r>
              <w:rPr>
                <w:rFonts w:hint="eastAsia" w:ascii="宋体" w:hAnsi="宋体"/>
              </w:rPr>
              <w:t>让利15% 得6</w:t>
            </w:r>
            <w:r>
              <w:rPr>
                <w:rFonts w:ascii="宋体" w:hAnsi="宋体"/>
              </w:rPr>
              <w:t>0</w:t>
            </w:r>
            <w:r>
              <w:rPr>
                <w:rFonts w:hint="eastAsia" w:ascii="宋体" w:hAnsi="宋体"/>
              </w:rPr>
              <w:t>分</w:t>
            </w:r>
            <w:r>
              <w:rPr>
                <w:rFonts w:hint="eastAsia" w:ascii="宋体" w:hAnsi="宋体"/>
                <w:sz w:val="22"/>
                <w:szCs w:val="22"/>
              </w:rPr>
              <w:t xml:space="preserve">                       第8包：血液净化类耗材</w:t>
            </w:r>
            <w:r>
              <w:rPr>
                <w:rFonts w:hint="eastAsia" w:ascii="宋体" w:hAnsi="宋体"/>
              </w:rPr>
              <w:t>让利15% 得6</w:t>
            </w:r>
            <w:r>
              <w:rPr>
                <w:rFonts w:ascii="宋体" w:hAnsi="宋体"/>
              </w:rPr>
              <w:t>0</w:t>
            </w:r>
            <w:r>
              <w:rPr>
                <w:rFonts w:hint="eastAsia" w:ascii="宋体" w:hAnsi="宋体"/>
              </w:rPr>
              <w:t>分</w:t>
            </w:r>
          </w:p>
          <w:p>
            <w:pPr>
              <w:rPr>
                <w:rFonts w:hint="eastAsia" w:ascii="宋体" w:hAnsi="宋体"/>
                <w:sz w:val="22"/>
                <w:szCs w:val="22"/>
              </w:rPr>
            </w:pPr>
            <w:r>
              <w:rPr>
                <w:rFonts w:hint="eastAsia" w:ascii="宋体" w:hAnsi="宋体"/>
                <w:sz w:val="22"/>
                <w:szCs w:val="22"/>
              </w:rPr>
              <w:t>第9包：手术室、呼吸麻醉类耗材</w:t>
            </w:r>
            <w:r>
              <w:rPr>
                <w:rFonts w:hint="eastAsia" w:ascii="宋体" w:hAnsi="宋体"/>
              </w:rPr>
              <w:t>让利20% 得6</w:t>
            </w:r>
            <w:r>
              <w:rPr>
                <w:rFonts w:ascii="宋体" w:hAnsi="宋体"/>
              </w:rPr>
              <w:t>0</w:t>
            </w:r>
            <w:r>
              <w:rPr>
                <w:rFonts w:hint="eastAsia" w:ascii="宋体" w:hAnsi="宋体"/>
              </w:rPr>
              <w:t>分</w:t>
            </w:r>
            <w:r>
              <w:rPr>
                <w:rFonts w:hint="eastAsia" w:ascii="宋体" w:hAnsi="宋体"/>
                <w:sz w:val="22"/>
                <w:szCs w:val="22"/>
              </w:rPr>
              <w:t xml:space="preserve">             第10包：护理及一般医疗用品类</w:t>
            </w:r>
            <w:r>
              <w:rPr>
                <w:rFonts w:hint="eastAsia" w:ascii="宋体" w:hAnsi="宋体"/>
              </w:rPr>
              <w:t>让利10% 得6</w:t>
            </w:r>
            <w:r>
              <w:rPr>
                <w:rFonts w:ascii="宋体" w:hAnsi="宋体"/>
              </w:rPr>
              <w:t>0</w:t>
            </w:r>
            <w:r>
              <w:rPr>
                <w:rFonts w:hint="eastAsia" w:ascii="宋体" w:hAnsi="宋体"/>
              </w:rPr>
              <w:t>分</w:t>
            </w:r>
          </w:p>
          <w:p>
            <w:pPr>
              <w:rPr>
                <w:rFonts w:hint="eastAsia" w:ascii="宋体" w:hAnsi="宋体"/>
              </w:rPr>
            </w:pPr>
            <w:r>
              <w:rPr>
                <w:rFonts w:hint="eastAsia" w:ascii="宋体" w:hAnsi="宋体"/>
                <w:sz w:val="22"/>
                <w:szCs w:val="22"/>
              </w:rPr>
              <w:t>第11包：消毒、供应室类耗材</w:t>
            </w:r>
            <w:r>
              <w:rPr>
                <w:rFonts w:hint="eastAsia" w:ascii="宋体" w:hAnsi="宋体"/>
              </w:rPr>
              <w:t>让利15% 得6</w:t>
            </w:r>
            <w:r>
              <w:rPr>
                <w:rFonts w:ascii="宋体" w:hAnsi="宋体"/>
              </w:rPr>
              <w:t>0</w:t>
            </w:r>
            <w:r>
              <w:rPr>
                <w:rFonts w:hint="eastAsia" w:ascii="宋体" w:hAnsi="宋体"/>
              </w:rPr>
              <w:t>分</w:t>
            </w:r>
          </w:p>
          <w:p>
            <w:pPr>
              <w:ind w:firstLine="420" w:firstLineChars="200"/>
              <w:rPr>
                <w:rFonts w:hint="eastAsia"/>
              </w:rPr>
            </w:pPr>
            <w:r>
              <w:rPr>
                <w:rFonts w:hint="eastAsia"/>
              </w:rPr>
              <w:t>让利幅度计算方法：以上述列明的让利为基准让利，得60分；每偏离1%扣(60/基准降幅)，不足整数，以实际数计算，小数点保留两位。例如：医用胶片包基准降幅10%，甲企业让利9%，其得分=</w:t>
            </w:r>
            <w:r>
              <w:t xml:space="preserve"> </w:t>
            </w:r>
            <w:r>
              <w:rPr>
                <w:rFonts w:hint="eastAsia"/>
              </w:rPr>
              <w:t>60</w:t>
            </w:r>
            <w:r>
              <w:t xml:space="preserve"> </w:t>
            </w:r>
            <w:r>
              <w:rPr>
                <w:rFonts w:hint="eastAsia"/>
              </w:rPr>
              <w:t>-（10-9）</w:t>
            </w:r>
            <w:r>
              <w:rPr>
                <w:rFonts w:hint="eastAsia" w:ascii="宋体" w:hAnsi="宋体"/>
                <w:sz w:val="18"/>
                <w:szCs w:val="18"/>
              </w:rPr>
              <w:t>×</w:t>
            </w:r>
            <w:r>
              <w:rPr>
                <w:rFonts w:hint="eastAsia"/>
              </w:rPr>
              <w:t>（60/10）=</w:t>
            </w:r>
            <w:r>
              <w:t xml:space="preserve"> </w:t>
            </w:r>
            <w:r>
              <w:rPr>
                <w:rFonts w:hint="eastAsia"/>
              </w:rPr>
              <w:t>54分；</w:t>
            </w:r>
            <w:r>
              <w:t>乙企业让利</w:t>
            </w:r>
            <w:r>
              <w:rPr>
                <w:rFonts w:hint="eastAsia"/>
              </w:rPr>
              <w:t>11</w:t>
            </w:r>
            <w:r>
              <w:t>%，</w:t>
            </w:r>
            <w:r>
              <w:rPr>
                <w:rFonts w:hint="eastAsia"/>
              </w:rPr>
              <w:t>其得分=</w:t>
            </w:r>
            <w:r>
              <w:t xml:space="preserve"> </w:t>
            </w:r>
            <w:r>
              <w:rPr>
                <w:rFonts w:hint="eastAsia"/>
              </w:rPr>
              <w:t>60</w:t>
            </w:r>
            <w:r>
              <w:t xml:space="preserve"> </w:t>
            </w:r>
            <w:r>
              <w:rPr>
                <w:rFonts w:hint="eastAsia"/>
              </w:rPr>
              <w:t>-（10-11）</w:t>
            </w:r>
            <w:r>
              <w:rPr>
                <w:rFonts w:hint="eastAsia" w:ascii="宋体" w:hAnsi="宋体"/>
                <w:sz w:val="18"/>
                <w:szCs w:val="18"/>
              </w:rPr>
              <w:t>×</w:t>
            </w:r>
            <w:r>
              <w:rPr>
                <w:rFonts w:hint="eastAsia"/>
              </w:rPr>
              <w:t>（60/10）=</w:t>
            </w:r>
            <w:r>
              <w:t xml:space="preserve"> </w:t>
            </w:r>
            <w:r>
              <w:rPr>
                <w:rFonts w:hint="eastAsia"/>
              </w:rPr>
              <w:t>66分。</w:t>
            </w:r>
          </w:p>
          <w:p>
            <w:pPr>
              <w:ind w:firstLine="420" w:firstLineChars="200"/>
              <w:rPr>
                <w:rFonts w:hint="eastAsia"/>
              </w:rPr>
            </w:pPr>
            <w:r>
              <w:rPr>
                <w:rFonts w:hint="eastAsia" w:ascii="宋体" w:hAnsi="宋体" w:cs="宋体"/>
                <w:color w:val="auto"/>
                <w:szCs w:val="21"/>
              </w:rPr>
              <w:t>让利幅度报价严重偏离项目</w:t>
            </w:r>
            <w:r>
              <w:rPr>
                <w:rFonts w:ascii="宋体" w:hAnsi="宋体" w:cs="宋体"/>
                <w:color w:val="auto"/>
                <w:szCs w:val="21"/>
              </w:rPr>
              <w:t>主体人</w:t>
            </w:r>
            <w:r>
              <w:rPr>
                <w:rFonts w:hint="eastAsia" w:ascii="宋体" w:hAnsi="宋体" w:cs="宋体"/>
                <w:color w:val="auto"/>
                <w:szCs w:val="21"/>
              </w:rPr>
              <w:t>设定的基准幅度（正、负偏离</w:t>
            </w:r>
            <w:r>
              <w:rPr>
                <w:rFonts w:hint="eastAsia" w:ascii="Adobe 宋体 Std L" w:hAnsi="Adobe 宋体 Std L" w:eastAsia="Adobe 宋体 Std L" w:cs="宋体"/>
                <w:color w:val="auto"/>
                <w:szCs w:val="21"/>
              </w:rPr>
              <w:t>＞50%</w:t>
            </w:r>
            <w:r>
              <w:rPr>
                <w:rFonts w:hint="eastAsia" w:ascii="宋体" w:hAnsi="宋体" w:cs="宋体"/>
                <w:color w:val="auto"/>
                <w:szCs w:val="21"/>
              </w:rPr>
              <w:t>基准让利幅度）视为废标</w:t>
            </w:r>
          </w:p>
        </w:tc>
        <w:tc>
          <w:tcPr>
            <w:tcW w:w="772" w:type="dxa"/>
            <w:tcBorders>
              <w:left w:val="single" w:color="auto" w:sz="4" w:space="0"/>
            </w:tcBorders>
            <w:vAlign w:val="center"/>
          </w:tcPr>
          <w:p>
            <w:pPr>
              <w:jc w:val="center"/>
            </w:pPr>
            <w:r>
              <w:t>客观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63" w:hRule="atLeast"/>
          <w:jc w:val="center"/>
        </w:trPr>
        <w:tc>
          <w:tcPr>
            <w:tcW w:w="712" w:type="dxa"/>
            <w:vMerge w:val="restart"/>
            <w:vAlign w:val="center"/>
          </w:tcPr>
          <w:p>
            <w:pPr>
              <w:jc w:val="center"/>
            </w:pPr>
            <w:r>
              <w:t>服务</w:t>
            </w:r>
          </w:p>
        </w:tc>
        <w:tc>
          <w:tcPr>
            <w:tcW w:w="774" w:type="dxa"/>
            <w:vMerge w:val="restart"/>
            <w:vAlign w:val="center"/>
          </w:tcPr>
          <w:p>
            <w:pPr>
              <w:jc w:val="center"/>
              <w:rPr>
                <w:rFonts w:hint="eastAsia"/>
              </w:rPr>
            </w:pPr>
            <w:r>
              <w:rPr>
                <w:rFonts w:hint="eastAsia"/>
              </w:rPr>
              <w:t>17</w:t>
            </w:r>
          </w:p>
        </w:tc>
        <w:tc>
          <w:tcPr>
            <w:tcW w:w="957" w:type="dxa"/>
            <w:vAlign w:val="center"/>
          </w:tcPr>
          <w:p>
            <w:pPr>
              <w:jc w:val="center"/>
              <w:rPr>
                <w:rFonts w:hint="eastAsia"/>
              </w:rPr>
            </w:pPr>
            <w:r>
              <w:t>配送</w:t>
            </w:r>
          </w:p>
          <w:p>
            <w:pPr>
              <w:jc w:val="center"/>
            </w:pPr>
            <w:r>
              <w:t>承诺</w:t>
            </w:r>
          </w:p>
        </w:tc>
        <w:tc>
          <w:tcPr>
            <w:tcW w:w="581" w:type="dxa"/>
            <w:tcBorders>
              <w:right w:val="single" w:color="auto" w:sz="4" w:space="0"/>
            </w:tcBorders>
            <w:vAlign w:val="center"/>
          </w:tcPr>
          <w:p>
            <w:pPr>
              <w:jc w:val="center"/>
            </w:pPr>
            <w:r>
              <w:rPr>
                <w:rFonts w:hint="eastAsia"/>
              </w:rPr>
              <w:t>4</w:t>
            </w:r>
          </w:p>
        </w:tc>
        <w:tc>
          <w:tcPr>
            <w:tcW w:w="12190" w:type="dxa"/>
            <w:tcBorders>
              <w:left w:val="single" w:color="auto" w:sz="4" w:space="0"/>
              <w:right w:val="single" w:color="auto" w:sz="4" w:space="0"/>
            </w:tcBorders>
            <w:vAlign w:val="center"/>
          </w:tcPr>
          <w:p>
            <w:r>
              <w:t>提交配送承诺</w:t>
            </w:r>
            <w:r>
              <w:rPr>
                <w:rFonts w:hint="eastAsia"/>
              </w:rPr>
              <w:t>和执行“两票制”</w:t>
            </w:r>
            <w:r>
              <w:t>的得</w:t>
            </w:r>
            <w:r>
              <w:rPr>
                <w:rFonts w:hint="eastAsia"/>
              </w:rPr>
              <w:t>2分，未提交或未按格式要求提交的不得分，在相关政策规定的时间节点能执行“两票制”的以参选</w:t>
            </w:r>
            <w:r>
              <w:t>企业</w:t>
            </w:r>
            <w:r>
              <w:rPr>
                <w:rFonts w:hint="eastAsia"/>
              </w:rPr>
              <w:t>提交的配送承诺书为评价依据。能够做到且承诺1票制的供货企业得2分，但在让利报价中选后的价格上再次让利3%且不另外加分，以参选</w:t>
            </w:r>
            <w:r>
              <w:t>企业</w:t>
            </w:r>
            <w:r>
              <w:rPr>
                <w:rFonts w:hint="eastAsia"/>
              </w:rPr>
              <w:t>提交的配送承诺书为评价依据。其承诺未能兑现，则取消其配送资质并在履约保证金中扣除不低于10%的违约金。</w:t>
            </w:r>
          </w:p>
        </w:tc>
        <w:tc>
          <w:tcPr>
            <w:tcW w:w="772" w:type="dxa"/>
            <w:tcBorders>
              <w:left w:val="single" w:color="auto" w:sz="4" w:space="0"/>
            </w:tcBorders>
            <w:vAlign w:val="center"/>
          </w:tcPr>
          <w:p>
            <w:pPr>
              <w:jc w:val="center"/>
            </w:pPr>
            <w:r>
              <w:t>客观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22" w:hRule="atLeast"/>
          <w:jc w:val="center"/>
        </w:trPr>
        <w:tc>
          <w:tcPr>
            <w:tcW w:w="712" w:type="dxa"/>
            <w:vMerge w:val="continue"/>
            <w:vAlign w:val="center"/>
          </w:tcPr>
          <w:p>
            <w:pPr>
              <w:jc w:val="center"/>
            </w:pPr>
          </w:p>
        </w:tc>
        <w:tc>
          <w:tcPr>
            <w:tcW w:w="774" w:type="dxa"/>
            <w:vMerge w:val="continue"/>
            <w:vAlign w:val="center"/>
          </w:tcPr>
          <w:p>
            <w:pPr>
              <w:jc w:val="center"/>
              <w:rPr>
                <w:rFonts w:hint="eastAsia"/>
              </w:rPr>
            </w:pPr>
          </w:p>
        </w:tc>
        <w:tc>
          <w:tcPr>
            <w:tcW w:w="957" w:type="dxa"/>
            <w:vAlign w:val="center"/>
          </w:tcPr>
          <w:p>
            <w:pPr>
              <w:jc w:val="center"/>
            </w:pPr>
            <w:r>
              <w:t>承诺不促销</w:t>
            </w:r>
          </w:p>
        </w:tc>
        <w:tc>
          <w:tcPr>
            <w:tcW w:w="581" w:type="dxa"/>
            <w:tcBorders>
              <w:right w:val="single" w:color="auto" w:sz="4" w:space="0"/>
            </w:tcBorders>
            <w:vAlign w:val="center"/>
          </w:tcPr>
          <w:p>
            <w:pPr>
              <w:jc w:val="center"/>
            </w:pPr>
            <w:r>
              <w:rPr>
                <w:rFonts w:hint="eastAsia"/>
              </w:rPr>
              <w:t>3</w:t>
            </w:r>
          </w:p>
        </w:tc>
        <w:tc>
          <w:tcPr>
            <w:tcW w:w="12190" w:type="dxa"/>
            <w:tcBorders>
              <w:left w:val="single" w:color="auto" w:sz="4" w:space="0"/>
              <w:right w:val="single" w:color="auto" w:sz="4" w:space="0"/>
            </w:tcBorders>
            <w:vAlign w:val="center"/>
          </w:tcPr>
          <w:p>
            <w:r>
              <w:t>提交</w:t>
            </w:r>
            <w:r>
              <w:rPr>
                <w:rFonts w:hint="eastAsia"/>
              </w:rPr>
              <w:t>不</w:t>
            </w:r>
            <w:r>
              <w:t>促销承诺的得</w:t>
            </w:r>
            <w:r>
              <w:rPr>
                <w:rFonts w:hint="eastAsia"/>
              </w:rPr>
              <w:t>3分，未提交或未按格式要求提交的不得分。以参选企业提交的不促销承诺书为评价依据。</w:t>
            </w:r>
          </w:p>
        </w:tc>
        <w:tc>
          <w:tcPr>
            <w:tcW w:w="772" w:type="dxa"/>
            <w:tcBorders>
              <w:left w:val="single" w:color="auto" w:sz="4" w:space="0"/>
            </w:tcBorders>
            <w:vAlign w:val="center"/>
          </w:tcPr>
          <w:p>
            <w:pPr>
              <w:jc w:val="center"/>
            </w:pPr>
            <w:r>
              <w:t>客观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12" w:type="dxa"/>
            <w:vMerge w:val="continue"/>
            <w:vAlign w:val="center"/>
          </w:tcPr>
          <w:p>
            <w:pPr>
              <w:jc w:val="center"/>
            </w:pPr>
          </w:p>
        </w:tc>
        <w:tc>
          <w:tcPr>
            <w:tcW w:w="774" w:type="dxa"/>
            <w:vMerge w:val="continue"/>
            <w:vAlign w:val="center"/>
          </w:tcPr>
          <w:p>
            <w:pPr>
              <w:jc w:val="center"/>
              <w:rPr>
                <w:rFonts w:hint="eastAsia"/>
              </w:rPr>
            </w:pPr>
          </w:p>
        </w:tc>
        <w:tc>
          <w:tcPr>
            <w:tcW w:w="957" w:type="dxa"/>
            <w:vAlign w:val="center"/>
          </w:tcPr>
          <w:p>
            <w:pPr>
              <w:jc w:val="center"/>
              <w:rPr>
                <w:rFonts w:hint="eastAsia"/>
              </w:rPr>
            </w:pPr>
            <w:r>
              <w:rPr>
                <w:rFonts w:hint="eastAsia"/>
              </w:rPr>
              <w:t>配送</w:t>
            </w:r>
          </w:p>
          <w:p>
            <w:pPr>
              <w:jc w:val="center"/>
              <w:rPr>
                <w:rFonts w:hint="eastAsia"/>
              </w:rPr>
            </w:pPr>
            <w:r>
              <w:rPr>
                <w:rFonts w:hint="eastAsia"/>
              </w:rPr>
              <w:t>距离</w:t>
            </w:r>
          </w:p>
        </w:tc>
        <w:tc>
          <w:tcPr>
            <w:tcW w:w="581" w:type="dxa"/>
            <w:tcBorders>
              <w:right w:val="single" w:color="auto" w:sz="4" w:space="0"/>
            </w:tcBorders>
            <w:vAlign w:val="center"/>
          </w:tcPr>
          <w:p>
            <w:pPr>
              <w:jc w:val="center"/>
            </w:pPr>
            <w:r>
              <w:rPr>
                <w:rFonts w:hint="eastAsia"/>
              </w:rPr>
              <w:t>5</w:t>
            </w:r>
          </w:p>
        </w:tc>
        <w:tc>
          <w:tcPr>
            <w:tcW w:w="12190" w:type="dxa"/>
            <w:tcBorders>
              <w:left w:val="single" w:color="auto" w:sz="4" w:space="0"/>
              <w:right w:val="single" w:color="auto" w:sz="4" w:space="0"/>
            </w:tcBorders>
            <w:vAlign w:val="center"/>
          </w:tcPr>
          <w:p>
            <w:r>
              <w:t>以</w:t>
            </w:r>
            <w:r>
              <w:rPr>
                <w:rFonts w:hint="eastAsia" w:ascii="宋体" w:hAnsi="宋体"/>
              </w:rPr>
              <w:t>参选企业提交的《医疗器械经营企业许可证》上所载仓库地址与滁州市政务中心之间百度测距直线距离为核查依据。50公里（不含）以内的得5分；50公里（含）至100公里（不含）的得3分；100公里（含）至150公里（不含）得2分，大于150公里不得分并取消参选资格。本项满分5分。外地中选企业必须在滁州市区内设有200平米以上的仓储地的分公司，三个月内提交当地药监部门证明，否则取消其配送权，该公司自动出局由候补企业替代。</w:t>
            </w:r>
          </w:p>
        </w:tc>
        <w:tc>
          <w:tcPr>
            <w:tcW w:w="772" w:type="dxa"/>
            <w:tcBorders>
              <w:left w:val="single" w:color="auto" w:sz="4" w:space="0"/>
            </w:tcBorders>
            <w:vAlign w:val="center"/>
          </w:tcPr>
          <w:p>
            <w:pPr>
              <w:jc w:val="center"/>
            </w:pPr>
            <w:r>
              <w:t>客观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82" w:hRule="atLeast"/>
          <w:jc w:val="center"/>
        </w:trPr>
        <w:tc>
          <w:tcPr>
            <w:tcW w:w="712" w:type="dxa"/>
            <w:vMerge w:val="continue"/>
            <w:vAlign w:val="center"/>
          </w:tcPr>
          <w:p>
            <w:pPr>
              <w:jc w:val="center"/>
            </w:pPr>
          </w:p>
        </w:tc>
        <w:tc>
          <w:tcPr>
            <w:tcW w:w="774" w:type="dxa"/>
            <w:vMerge w:val="continue"/>
            <w:vAlign w:val="center"/>
          </w:tcPr>
          <w:p>
            <w:pPr>
              <w:jc w:val="center"/>
              <w:rPr>
                <w:rFonts w:hint="eastAsia"/>
              </w:rPr>
            </w:pPr>
          </w:p>
        </w:tc>
        <w:tc>
          <w:tcPr>
            <w:tcW w:w="957" w:type="dxa"/>
            <w:vAlign w:val="center"/>
          </w:tcPr>
          <w:p>
            <w:pPr>
              <w:jc w:val="center"/>
              <w:rPr>
                <w:rFonts w:hint="eastAsia"/>
              </w:rPr>
            </w:pPr>
            <w:r>
              <w:t>配送</w:t>
            </w:r>
          </w:p>
          <w:p>
            <w:pPr>
              <w:jc w:val="center"/>
            </w:pPr>
            <w:r>
              <w:t>方案</w:t>
            </w:r>
          </w:p>
        </w:tc>
        <w:tc>
          <w:tcPr>
            <w:tcW w:w="581" w:type="dxa"/>
            <w:tcBorders>
              <w:right w:val="single" w:color="auto" w:sz="4" w:space="0"/>
            </w:tcBorders>
            <w:vAlign w:val="center"/>
          </w:tcPr>
          <w:p>
            <w:pPr>
              <w:jc w:val="center"/>
            </w:pPr>
            <w:r>
              <w:rPr>
                <w:rFonts w:hint="eastAsia"/>
              </w:rPr>
              <w:t>5</w:t>
            </w:r>
          </w:p>
        </w:tc>
        <w:tc>
          <w:tcPr>
            <w:tcW w:w="12190" w:type="dxa"/>
            <w:tcBorders>
              <w:left w:val="single" w:color="auto" w:sz="4" w:space="0"/>
              <w:right w:val="single" w:color="auto" w:sz="4" w:space="0"/>
            </w:tcBorders>
            <w:vAlign w:val="center"/>
          </w:tcPr>
          <w:p>
            <w:r>
              <w:t>评审专家根据</w:t>
            </w:r>
            <w:r>
              <w:rPr>
                <w:rFonts w:hint="eastAsia"/>
              </w:rPr>
              <w:t>参选企业提</w:t>
            </w:r>
            <w:r>
              <w:t>交的《配送方案》进行打分。配送方案应切合</w:t>
            </w:r>
            <w:r>
              <w:rPr>
                <w:rFonts w:hint="eastAsia"/>
              </w:rPr>
              <w:t>项目主体人</w:t>
            </w:r>
            <w:r>
              <w:t>所处的地理位置以及实际</w:t>
            </w:r>
            <w:r>
              <w:rPr>
                <w:rFonts w:hint="eastAsia"/>
              </w:rPr>
              <w:t>工作</w:t>
            </w:r>
            <w:r>
              <w:t>需求在人员配置</w:t>
            </w:r>
            <w:r>
              <w:rPr>
                <w:rFonts w:hint="eastAsia"/>
              </w:rPr>
              <w:t>、设备配置、急救配送、跟台、退换货、随访、学术等方面进行规划，评审专家根据配送方案的完整性、可行（操作）性、及时性进行评价，本项最高得分5分。</w:t>
            </w:r>
          </w:p>
        </w:tc>
        <w:tc>
          <w:tcPr>
            <w:tcW w:w="772" w:type="dxa"/>
            <w:tcBorders>
              <w:left w:val="single" w:color="auto" w:sz="4" w:space="0"/>
            </w:tcBorders>
            <w:vAlign w:val="center"/>
          </w:tcPr>
          <w:p>
            <w:pPr>
              <w:jc w:val="center"/>
            </w:pPr>
            <w:r>
              <w:t>主观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98" w:hRule="atLeast"/>
          <w:jc w:val="center"/>
        </w:trPr>
        <w:tc>
          <w:tcPr>
            <w:tcW w:w="712" w:type="dxa"/>
            <w:vAlign w:val="center"/>
          </w:tcPr>
          <w:p>
            <w:pPr>
              <w:jc w:val="center"/>
            </w:pPr>
            <w:r>
              <w:t>信誉</w:t>
            </w:r>
          </w:p>
        </w:tc>
        <w:tc>
          <w:tcPr>
            <w:tcW w:w="774" w:type="dxa"/>
            <w:vAlign w:val="center"/>
          </w:tcPr>
          <w:p>
            <w:pPr>
              <w:jc w:val="center"/>
              <w:rPr>
                <w:rFonts w:hint="eastAsia"/>
              </w:rPr>
            </w:pPr>
            <w:r>
              <w:rPr>
                <w:rFonts w:hint="eastAsia"/>
              </w:rPr>
              <w:t>2</w:t>
            </w:r>
          </w:p>
        </w:tc>
        <w:tc>
          <w:tcPr>
            <w:tcW w:w="957" w:type="dxa"/>
            <w:vAlign w:val="center"/>
          </w:tcPr>
          <w:p>
            <w:pPr>
              <w:jc w:val="center"/>
              <w:rPr>
                <w:rFonts w:hint="eastAsia"/>
              </w:rPr>
            </w:pPr>
            <w:r>
              <w:t>公益</w:t>
            </w:r>
          </w:p>
          <w:p>
            <w:pPr>
              <w:jc w:val="center"/>
            </w:pPr>
            <w:r>
              <w:rPr>
                <w:rFonts w:hint="eastAsia"/>
              </w:rPr>
              <w:t>评</w:t>
            </w:r>
            <w:r>
              <w:t>价</w:t>
            </w:r>
          </w:p>
        </w:tc>
        <w:tc>
          <w:tcPr>
            <w:tcW w:w="581" w:type="dxa"/>
            <w:tcBorders>
              <w:right w:val="single" w:color="auto" w:sz="4" w:space="0"/>
            </w:tcBorders>
            <w:vAlign w:val="center"/>
          </w:tcPr>
          <w:p>
            <w:pPr>
              <w:jc w:val="center"/>
            </w:pPr>
            <w:r>
              <w:rPr>
                <w:rFonts w:hint="eastAsia"/>
              </w:rPr>
              <w:t>2</w:t>
            </w:r>
          </w:p>
        </w:tc>
        <w:tc>
          <w:tcPr>
            <w:tcW w:w="12190" w:type="dxa"/>
            <w:tcBorders>
              <w:left w:val="single" w:color="auto" w:sz="4" w:space="0"/>
              <w:right w:val="single" w:color="auto" w:sz="4" w:space="0"/>
            </w:tcBorders>
            <w:vAlign w:val="center"/>
          </w:tcPr>
          <w:p>
            <w:r>
              <w:rPr>
                <w:rFonts w:hint="eastAsia" w:ascii="宋体" w:hAnsi="宋体"/>
              </w:rPr>
              <w:t>以2015年1月1至2016年12月31日期间，参选企业在社会公益事业中荣获的相关证书或凭据为评价依据。本社会公益事业是指在救助灾害、救济贫困、扶助伤残等困难的社会群体和个人的活动。提供政府部门或事业单位出具的证明材料得2分，未提供不得分。本项满分2分。</w:t>
            </w:r>
          </w:p>
        </w:tc>
        <w:tc>
          <w:tcPr>
            <w:tcW w:w="772" w:type="dxa"/>
            <w:tcBorders>
              <w:left w:val="single" w:color="auto" w:sz="4" w:space="0"/>
            </w:tcBorders>
            <w:vAlign w:val="center"/>
          </w:tcPr>
          <w:p>
            <w:pPr>
              <w:jc w:val="center"/>
            </w:pPr>
            <w:r>
              <w:rPr>
                <w:rFonts w:hint="eastAsia"/>
              </w:rPr>
              <w:t>客观</w:t>
            </w:r>
          </w:p>
        </w:tc>
      </w:tr>
    </w:tbl>
    <w:p/>
    <w:sectPr>
      <w:pgSz w:w="16838" w:h="11906" w:orient="landscape"/>
      <w:pgMar w:top="779" w:right="1440" w:bottom="1246"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Adobe 宋体 Std L">
    <w:altName w:val="微软雅黑"/>
    <w:panose1 w:val="00000000000000000000"/>
    <w:charset w:val="86"/>
    <w:family w:val="roman"/>
    <w:pitch w:val="default"/>
    <w:sig w:usb0="00000207" w:usb1="0A0F1810" w:usb2="00000016" w:usb3="00000000" w:csb0="00060007" w:csb1="00000000"/>
  </w:font>
  <w:font w:name="微软雅黑">
    <w:panose1 w:val="020B0503020204020204"/>
    <w:charset w:val="86"/>
    <w:family w:val="auto"/>
    <w:pitch w:val="default"/>
    <w:sig w:usb0="80000287" w:usb1="1A0F3C52" w:usb2="00000010"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191"/>
    <w:rsid w:val="00040191"/>
    <w:rsid w:val="00067F1D"/>
    <w:rsid w:val="000D409C"/>
    <w:rsid w:val="000E30E4"/>
    <w:rsid w:val="001058D4"/>
    <w:rsid w:val="001238D6"/>
    <w:rsid w:val="001937BB"/>
    <w:rsid w:val="003323B6"/>
    <w:rsid w:val="003517E1"/>
    <w:rsid w:val="00486B57"/>
    <w:rsid w:val="00493962"/>
    <w:rsid w:val="005C511F"/>
    <w:rsid w:val="007B4B9C"/>
    <w:rsid w:val="00842C8D"/>
    <w:rsid w:val="00885504"/>
    <w:rsid w:val="008A3CE8"/>
    <w:rsid w:val="009A74DD"/>
    <w:rsid w:val="009E7942"/>
    <w:rsid w:val="00A22E23"/>
    <w:rsid w:val="00BD0A95"/>
    <w:rsid w:val="00BD1444"/>
    <w:rsid w:val="00BD75B0"/>
    <w:rsid w:val="00C551EB"/>
    <w:rsid w:val="00CB2855"/>
    <w:rsid w:val="00D12372"/>
    <w:rsid w:val="00D36A13"/>
    <w:rsid w:val="00DD5330"/>
    <w:rsid w:val="00EA6F5A"/>
    <w:rsid w:val="00F60711"/>
    <w:rsid w:val="00F76718"/>
    <w:rsid w:val="00FF5F4D"/>
    <w:rsid w:val="0D064C2C"/>
    <w:rsid w:val="7AB72D7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color w:val="000000"/>
      <w:sz w:val="21"/>
      <w:u w:val="none" w:color="000000"/>
      <w:lang w:val="en-US" w:eastAsia="zh-CN" w:bidi="ar-SA"/>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style>
  <w:style w:type="paragraph" w:styleId="2">
    <w:name w:val="footer"/>
    <w:basedOn w:val="1"/>
    <w:link w:val="6"/>
    <w:uiPriority w:val="0"/>
    <w:pPr>
      <w:tabs>
        <w:tab w:val="center" w:pos="4153"/>
        <w:tab w:val="right" w:pos="8306"/>
      </w:tabs>
      <w:snapToGrid w:val="0"/>
      <w:spacing w:line="240" w:lineRule="atLeast"/>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脚 Char"/>
    <w:basedOn w:val="4"/>
    <w:link w:val="2"/>
    <w:uiPriority w:val="0"/>
    <w:rPr>
      <w:color w:val="000000"/>
      <w:sz w:val="18"/>
      <w:szCs w:val="18"/>
      <w:u w:val="none" w:color="000000"/>
    </w:rPr>
  </w:style>
  <w:style w:type="character" w:customStyle="1" w:styleId="7">
    <w:name w:val="页眉 Char"/>
    <w:basedOn w:val="4"/>
    <w:link w:val="3"/>
    <w:uiPriority w:val="0"/>
    <w:rPr>
      <w:color w:val="000000"/>
      <w:sz w:val="18"/>
      <w:szCs w:val="18"/>
      <w:u w:val="none" w:color="00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1</Pages>
  <Words>264</Words>
  <Characters>1506</Characters>
  <Lines>12</Lines>
  <Paragraphs>3</Paragraphs>
  <ScaleCrop>false</ScaleCrop>
  <LinksUpToDate>false</LinksUpToDate>
  <CharactersWithSpaces>1767</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2017-06-08T05:43:00Z</dcterms:created>
  <dc:creator>微软用户</dc:creator>
  <cp:lastModifiedBy>Administrator</cp:lastModifiedBy>
  <dcterms:modified xsi:type="dcterms:W3CDTF">2017-06-21T09:17:00Z</dcterms:modified>
  <dc:title>四 比较与评审</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