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pageBreakBefore w:val="0"/>
        <w:kinsoku/>
        <w:wordWrap/>
        <w:topLinePunct w:val="0"/>
        <w:autoSpaceDE/>
        <w:autoSpaceDN/>
        <w:bidi w:val="0"/>
        <w:adjustRightInd w:val="0"/>
        <w:snapToGrid w:val="0"/>
        <w:spacing w:line="240" w:lineRule="auto"/>
        <w:ind w:left="0" w:leftChars="0" w:right="0"/>
        <w:jc w:val="both"/>
        <w:rPr>
          <w:rFonts w:hint="eastAsia" w:asciiTheme="majorEastAsia" w:hAnsiTheme="majorEastAsia" w:eastAsiaTheme="majorEastAsia"/>
          <w:sz w:val="24"/>
          <w:szCs w:val="24"/>
          <w:lang w:val="en-US" w:eastAsia="zh-CN"/>
        </w:rPr>
      </w:pPr>
      <w:bookmarkStart w:id="0" w:name="_Toc501897063"/>
      <w:bookmarkStart w:id="1" w:name="_Toc504303537"/>
      <w:r>
        <w:rPr>
          <w:rFonts w:hint="eastAsia" w:asciiTheme="majorEastAsia" w:hAnsiTheme="majorEastAsia" w:eastAsiaTheme="majorEastAsia"/>
          <w:sz w:val="24"/>
          <w:szCs w:val="24"/>
          <w:lang w:eastAsia="zh-CN"/>
        </w:rPr>
        <w:t>附件</w:t>
      </w:r>
      <w:r>
        <w:rPr>
          <w:rFonts w:hint="eastAsia" w:asciiTheme="majorEastAsia" w:hAnsiTheme="majorEastAsia" w:eastAsiaTheme="majorEastAsia"/>
          <w:sz w:val="24"/>
          <w:szCs w:val="24"/>
          <w:lang w:val="en-US" w:eastAsia="zh-CN"/>
        </w:rPr>
        <w:t>2：</w:t>
      </w:r>
    </w:p>
    <w:p>
      <w:pPr>
        <w:pStyle w:val="53"/>
        <w:pageBreakBefore w:val="0"/>
        <w:kinsoku/>
        <w:wordWrap/>
        <w:topLinePunct w:val="0"/>
        <w:autoSpaceDE/>
        <w:autoSpaceDN/>
        <w:bidi w:val="0"/>
        <w:adjustRightInd w:val="0"/>
        <w:snapToGrid w:val="0"/>
        <w:spacing w:line="240" w:lineRule="auto"/>
        <w:ind w:left="0" w:leftChars="0" w:right="0"/>
        <w:rPr>
          <w:rFonts w:hint="eastAsia" w:asciiTheme="majorEastAsia" w:hAnsiTheme="majorEastAsia" w:eastAsiaTheme="majorEastAsia"/>
          <w:sz w:val="36"/>
          <w:szCs w:val="36"/>
          <w:lang w:eastAsia="zh-CN"/>
        </w:rPr>
      </w:pPr>
      <w:r>
        <w:rPr>
          <w:rFonts w:hint="eastAsia" w:asciiTheme="majorEastAsia" w:hAnsiTheme="majorEastAsia" w:eastAsiaTheme="majorEastAsia"/>
          <w:sz w:val="36"/>
          <w:szCs w:val="36"/>
          <w:lang w:eastAsia="zh-CN"/>
        </w:rPr>
        <w:t>滁州市一院南区消防系统维保项目</w:t>
      </w:r>
    </w:p>
    <w:p>
      <w:pPr>
        <w:pStyle w:val="53"/>
        <w:pageBreakBefore w:val="0"/>
        <w:kinsoku/>
        <w:wordWrap/>
        <w:topLinePunct w:val="0"/>
        <w:autoSpaceDE/>
        <w:autoSpaceDN/>
        <w:bidi w:val="0"/>
        <w:adjustRightInd w:val="0"/>
        <w:snapToGrid w:val="0"/>
        <w:spacing w:line="240" w:lineRule="auto"/>
        <w:ind w:left="0" w:leftChars="0" w:right="0"/>
        <w:rPr>
          <w:rFonts w:hint="eastAsia" w:asciiTheme="majorEastAsia" w:hAnsiTheme="majorEastAsia" w:eastAsiaTheme="majorEastAsia"/>
          <w:sz w:val="36"/>
          <w:szCs w:val="36"/>
          <w:lang w:eastAsia="zh-CN"/>
        </w:rPr>
      </w:pPr>
      <w:r>
        <w:rPr>
          <w:rFonts w:hint="eastAsia" w:asciiTheme="majorEastAsia" w:hAnsiTheme="majorEastAsia" w:eastAsiaTheme="majorEastAsia"/>
          <w:sz w:val="36"/>
          <w:szCs w:val="36"/>
        </w:rPr>
        <w:t>招标内容</w:t>
      </w:r>
      <w:bookmarkEnd w:id="0"/>
      <w:bookmarkEnd w:id="1"/>
      <w:r>
        <w:rPr>
          <w:rFonts w:hint="eastAsia" w:asciiTheme="majorEastAsia" w:hAnsiTheme="majorEastAsia" w:eastAsiaTheme="majorEastAsia"/>
          <w:sz w:val="36"/>
          <w:szCs w:val="36"/>
          <w:lang w:eastAsia="zh-CN"/>
        </w:rPr>
        <w:t>及要求</w:t>
      </w:r>
    </w:p>
    <w:p>
      <w:pPr>
        <w:pageBreakBefore w:val="0"/>
        <w:kinsoku/>
        <w:wordWrap/>
        <w:topLinePunct w:val="0"/>
        <w:autoSpaceDE/>
        <w:autoSpaceDN/>
        <w:bidi w:val="0"/>
        <w:adjustRightInd w:val="0"/>
        <w:snapToGrid w:val="0"/>
        <w:spacing w:line="240" w:lineRule="auto"/>
        <w:ind w:left="0" w:leftChars="0" w:right="0"/>
        <w:rPr>
          <w:sz w:val="24"/>
          <w:szCs w:val="24"/>
        </w:rPr>
      </w:pP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hint="eastAsia" w:ascii="宋体" w:hAnsi="宋体" w:eastAsia="宋体"/>
          <w:sz w:val="24"/>
          <w:szCs w:val="24"/>
        </w:rPr>
        <w:t>一、项目概况及招标范围</w:t>
      </w:r>
    </w:p>
    <w:p>
      <w:pPr>
        <w:pageBreakBefore w:val="0"/>
        <w:kinsoku/>
        <w:wordWrap/>
        <w:topLinePunct w:val="0"/>
        <w:autoSpaceDE/>
        <w:autoSpaceDN/>
        <w:bidi w:val="0"/>
        <w:adjustRightInd w:val="0"/>
        <w:snapToGrid w:val="0"/>
        <w:spacing w:line="240" w:lineRule="auto"/>
        <w:ind w:left="0" w:leftChars="0" w:right="0" w:firstLine="420" w:firstLineChars="175"/>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工程概况：</w:t>
      </w:r>
    </w:p>
    <w:p>
      <w:pPr>
        <w:pageBreakBefore w:val="0"/>
        <w:kinsoku/>
        <w:wordWrap/>
        <w:topLinePunct w:val="0"/>
        <w:autoSpaceDE/>
        <w:autoSpaceDN/>
        <w:bidi w:val="0"/>
        <w:adjustRightInd w:val="0"/>
        <w:snapToGrid w:val="0"/>
        <w:spacing w:line="240" w:lineRule="auto"/>
        <w:ind w:right="0" w:firstLine="480" w:firstLineChars="200"/>
        <w:rPr>
          <w:rFonts w:ascii="宋体" w:hAnsi="宋体" w:eastAsia="宋体"/>
          <w:sz w:val="24"/>
          <w:szCs w:val="24"/>
        </w:rPr>
      </w:pPr>
      <w:r>
        <w:rPr>
          <w:rFonts w:hint="eastAsia" w:ascii="宋体" w:hAnsi="宋体" w:eastAsia="宋体"/>
          <w:sz w:val="24"/>
          <w:szCs w:val="24"/>
        </w:rPr>
        <w:t>项目名称：滁州市第一人民医院（南区）消防系统维保工程</w:t>
      </w:r>
    </w:p>
    <w:p>
      <w:pPr>
        <w:pageBreakBefore w:val="0"/>
        <w:kinsoku/>
        <w:wordWrap/>
        <w:topLinePunct w:val="0"/>
        <w:autoSpaceDE/>
        <w:autoSpaceDN/>
        <w:bidi w:val="0"/>
        <w:adjustRightInd w:val="0"/>
        <w:snapToGrid w:val="0"/>
        <w:spacing w:line="240" w:lineRule="auto"/>
        <w:ind w:right="0" w:firstLine="480" w:firstLineChars="200"/>
        <w:rPr>
          <w:rFonts w:ascii="宋体" w:hAnsi="宋体" w:eastAsia="宋体"/>
          <w:sz w:val="24"/>
          <w:szCs w:val="24"/>
        </w:rPr>
      </w:pPr>
      <w:r>
        <w:rPr>
          <w:rFonts w:hint="eastAsia" w:ascii="宋体" w:hAnsi="宋体" w:eastAsia="宋体"/>
          <w:sz w:val="24"/>
          <w:szCs w:val="24"/>
        </w:rPr>
        <w:t>建筑情况：</w:t>
      </w:r>
      <w:r>
        <w:rPr>
          <w:rFonts w:hint="eastAsia" w:asciiTheme="minorEastAsia" w:hAnsiTheme="minorEastAsia" w:eastAsiaTheme="minorEastAsia"/>
          <w:sz w:val="24"/>
          <w:szCs w:val="24"/>
        </w:rPr>
        <w:t>滁州市第一人民医院（南区）于2016年10月1日投入使用，地上24层，高102米，地下2层，建筑面积12万平方米，分急诊部、门诊部、住院部、行政部四大区域及室外消防系统，消防设施齐备。</w:t>
      </w:r>
    </w:p>
    <w:p>
      <w:pPr>
        <w:pageBreakBefore w:val="0"/>
        <w:kinsoku/>
        <w:wordWrap/>
        <w:topLinePunct w:val="0"/>
        <w:autoSpaceDE/>
        <w:autoSpaceDN/>
        <w:bidi w:val="0"/>
        <w:adjustRightInd w:val="0"/>
        <w:snapToGrid w:val="0"/>
        <w:spacing w:line="240" w:lineRule="auto"/>
        <w:ind w:left="0" w:leftChars="0" w:right="0" w:firstLine="660" w:firstLineChars="275"/>
        <w:rPr>
          <w:rFonts w:ascii="宋体" w:hAnsi="宋体" w:eastAsia="宋体"/>
          <w:sz w:val="24"/>
          <w:szCs w:val="24"/>
        </w:rPr>
      </w:pPr>
      <w:r>
        <w:rPr>
          <w:rFonts w:hint="eastAsia" w:ascii="宋体" w:hAnsi="宋体" w:eastAsia="宋体"/>
          <w:sz w:val="24"/>
          <w:szCs w:val="24"/>
        </w:rPr>
        <w:t>项目地点：</w:t>
      </w:r>
      <w:r>
        <w:rPr>
          <w:rFonts w:hint="eastAsia" w:ascii="宋体" w:hAnsi="宋体" w:eastAsia="宋体" w:cs="宋体"/>
          <w:sz w:val="24"/>
          <w:szCs w:val="24"/>
        </w:rPr>
        <w:t>滁州市南谯区醉翁</w:t>
      </w:r>
      <w:r>
        <w:rPr>
          <w:rFonts w:hint="eastAsia" w:ascii="宋体" w:hAnsi="宋体" w:eastAsia="宋体" w:cs="宋体"/>
          <w:sz w:val="24"/>
          <w:szCs w:val="24"/>
          <w:lang w:eastAsia="zh-CN"/>
        </w:rPr>
        <w:t>西</w:t>
      </w:r>
      <w:r>
        <w:rPr>
          <w:rFonts w:hint="eastAsia" w:ascii="宋体" w:hAnsi="宋体" w:eastAsia="宋体" w:cs="宋体"/>
          <w:sz w:val="24"/>
          <w:szCs w:val="24"/>
        </w:rPr>
        <w:t>路369号</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维保范围：</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室内外消火栓灭火系统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火灾自动报警器系统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气体灭火系统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消防广播、消防对讲系统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消防喷淋系统及消防水炮</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防排烟系统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应急照明及疏散指示系统等</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防火卷帘系统</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lang w:eastAsia="zh-CN"/>
        </w:rPr>
        <w:t>）防火门</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lang w:eastAsia="zh-CN"/>
        </w:rPr>
        <w:t>）消防水池</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8"/>
          <w:szCs w:val="28"/>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院区内所有的消防设施（详情见建设图纸）</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3、维保要求：</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）定期维护保养服务</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维保单位定期派专业工程师定期到医院对消防系统设备进行常规维护保养。并出具消防设施维护检测报告书。根据年度保养服务计划（见合同附件），以便招标人进行合理安排。</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保养中发现的有关问题及故障处理</w:t>
      </w:r>
      <w:r>
        <w:rPr>
          <w:rFonts w:ascii="宋体" w:hAnsi="宋体" w:eastAsia="宋体"/>
          <w:sz w:val="24"/>
          <w:szCs w:val="24"/>
        </w:rPr>
        <w:t>,</w:t>
      </w:r>
      <w:r>
        <w:rPr>
          <w:rFonts w:hint="eastAsia" w:ascii="宋体" w:hAnsi="宋体" w:eastAsia="宋体"/>
          <w:sz w:val="24"/>
          <w:szCs w:val="24"/>
        </w:rPr>
        <w:t>系统可能存在潜在隐患的发现及处理</w:t>
      </w:r>
      <w:r>
        <w:rPr>
          <w:rFonts w:ascii="宋体" w:hAnsi="宋体" w:eastAsia="宋体"/>
          <w:sz w:val="24"/>
          <w:szCs w:val="24"/>
        </w:rPr>
        <w:t>,</w:t>
      </w:r>
      <w:r>
        <w:rPr>
          <w:rFonts w:hint="eastAsia" w:ascii="宋体" w:hAnsi="宋体" w:eastAsia="宋体"/>
          <w:sz w:val="24"/>
          <w:szCs w:val="24"/>
        </w:rPr>
        <w:t>系统改造升级建议</w:t>
      </w:r>
      <w:r>
        <w:rPr>
          <w:rFonts w:ascii="宋体" w:hAnsi="宋体" w:eastAsia="宋体"/>
          <w:sz w:val="24"/>
          <w:szCs w:val="24"/>
        </w:rPr>
        <w:t>,</w:t>
      </w:r>
      <w:r>
        <w:rPr>
          <w:rFonts w:hint="eastAsia" w:ascii="宋体" w:hAnsi="宋体" w:eastAsia="宋体"/>
          <w:sz w:val="24"/>
          <w:szCs w:val="24"/>
        </w:rPr>
        <w:t>系统备件状况的检查及更新</w:t>
      </w:r>
      <w:r>
        <w:rPr>
          <w:rFonts w:ascii="宋体" w:hAnsi="宋体" w:eastAsia="宋体"/>
          <w:sz w:val="24"/>
          <w:szCs w:val="24"/>
        </w:rPr>
        <w:t>,</w:t>
      </w:r>
      <w:r>
        <w:rPr>
          <w:rFonts w:hint="eastAsia" w:ascii="宋体" w:hAnsi="宋体" w:eastAsia="宋体"/>
          <w:sz w:val="24"/>
          <w:szCs w:val="24"/>
        </w:rPr>
        <w:t>以及下次保养服务的内容和时间安排定期维护保养服务的具体范围和内容如下</w:t>
      </w:r>
      <w:r>
        <w:rPr>
          <w:rFonts w:ascii="宋体" w:hAnsi="宋体" w:eastAsia="宋体"/>
          <w:sz w:val="24"/>
          <w:szCs w:val="24"/>
        </w:rPr>
        <w:t>:</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）维保单位定期对招标人的系统设备进行设备综合检查和作相应的联动测试</w:t>
      </w:r>
      <w:r>
        <w:rPr>
          <w:rFonts w:ascii="宋体" w:hAnsi="宋体" w:eastAsia="宋体"/>
          <w:sz w:val="24"/>
          <w:szCs w:val="24"/>
        </w:rPr>
        <w:t>,</w:t>
      </w:r>
      <w:r>
        <w:rPr>
          <w:rFonts w:hint="eastAsia" w:ascii="宋体" w:hAnsi="宋体" w:eastAsia="宋体"/>
          <w:sz w:val="24"/>
          <w:szCs w:val="24"/>
        </w:rPr>
        <w:t>并协助现场人员解决和排除一些突发的报警事件和事故隐患</w:t>
      </w:r>
      <w:r>
        <w:rPr>
          <w:rFonts w:ascii="宋体" w:hAnsi="宋体" w:eastAsia="宋体"/>
          <w:sz w:val="24"/>
          <w:szCs w:val="24"/>
        </w:rPr>
        <w:t>,</w:t>
      </w:r>
      <w:r>
        <w:rPr>
          <w:rFonts w:hint="eastAsia" w:ascii="宋体" w:hAnsi="宋体" w:eastAsia="宋体"/>
          <w:sz w:val="24"/>
          <w:szCs w:val="24"/>
        </w:rPr>
        <w:t>同时配合招标人不断完善系统</w:t>
      </w:r>
      <w:r>
        <w:rPr>
          <w:rFonts w:ascii="宋体" w:hAnsi="宋体" w:eastAsia="宋体"/>
          <w:sz w:val="24"/>
          <w:szCs w:val="24"/>
        </w:rPr>
        <w:t>,</w:t>
      </w:r>
      <w:r>
        <w:rPr>
          <w:rFonts w:hint="eastAsia" w:ascii="宋体" w:hAnsi="宋体" w:eastAsia="宋体"/>
          <w:sz w:val="24"/>
          <w:szCs w:val="24"/>
        </w:rPr>
        <w:t>通过消防的年检。如出现未通过检查的情况，视为供应商违约，招标人有权终止合同并要求赔偿。</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将对招标人系统设备进行定期例行的检查，并及时解决和排除现场设备出现的故障及问题。</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对招标人系统设备进行例行的检查后，</w:t>
      </w:r>
      <w:r>
        <w:rPr>
          <w:rFonts w:ascii="宋体" w:hAnsi="宋体" w:eastAsia="宋体"/>
          <w:sz w:val="24"/>
          <w:szCs w:val="24"/>
        </w:rPr>
        <w:t>8</w:t>
      </w:r>
      <w:r>
        <w:rPr>
          <w:rFonts w:hint="eastAsia" w:ascii="宋体" w:hAnsi="宋体" w:eastAsia="宋体"/>
          <w:sz w:val="24"/>
          <w:szCs w:val="24"/>
        </w:rPr>
        <w:t>个工作日内维保单位将提供给招标人详细的服务内容、设备检测结果及相关的需招标人现场改进的建议报告（监管方根据保养报告对供应商进行考核，招标人根据监管方的考核报告作为供应商的支付依据），维保单位将有关季度保养报告一式三份，交招标人和监管方签字确认。（甲、乙、监管方各执一份存档，一份用于办理请款）。</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）在每次定期维护、维修服务和紧急维修服务期间</w:t>
      </w:r>
      <w:r>
        <w:rPr>
          <w:rFonts w:ascii="宋体" w:hAnsi="宋体" w:eastAsia="宋体"/>
          <w:sz w:val="24"/>
          <w:szCs w:val="24"/>
        </w:rPr>
        <w:t>,</w:t>
      </w:r>
      <w:r>
        <w:rPr>
          <w:rFonts w:hint="eastAsia" w:ascii="宋体" w:hAnsi="宋体" w:eastAsia="宋体"/>
          <w:sz w:val="24"/>
          <w:szCs w:val="24"/>
        </w:rPr>
        <w:t>若工作需要关闭相应系统设备及由此引起的影响面较大时，维保单位需事先征得采购人书面同意后，方能予以实施。</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）若当人为或其他不可抗力因素引发故障或损害事件发生时，维保单位须将尽快恢复故障放在首位，使系统恢复正常运行，尽量使由此造成的直接、间接损失控制在最低限度。</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宋体" w:hAnsi="宋体" w:eastAsia="宋体"/>
          <w:sz w:val="24"/>
          <w:szCs w:val="24"/>
        </w:rPr>
      </w:pPr>
      <w:r>
        <w:rPr>
          <w:rFonts w:ascii="宋体" w:hAnsi="宋体" w:eastAsia="宋体"/>
          <w:sz w:val="24"/>
          <w:szCs w:val="24"/>
        </w:rPr>
        <w:t>6</w:t>
      </w:r>
      <w:r>
        <w:rPr>
          <w:rFonts w:hint="eastAsia" w:ascii="宋体" w:hAnsi="宋体" w:eastAsia="宋体"/>
          <w:sz w:val="24"/>
          <w:szCs w:val="24"/>
        </w:rPr>
        <w:t>）维保单位配合招标人进行每年两次的消防演习。</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）紧急维护保养服务</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在本合同有效期内，如招标人提出要求，在接到招标人书面或电话通知后供应商将在正常工作时间内</w:t>
      </w:r>
      <w:r>
        <w:rPr>
          <w:rFonts w:ascii="宋体" w:hAnsi="宋体" w:eastAsia="宋体"/>
          <w:sz w:val="24"/>
          <w:szCs w:val="24"/>
        </w:rPr>
        <w:t>0.5</w:t>
      </w:r>
      <w:r>
        <w:rPr>
          <w:rFonts w:hint="eastAsia" w:ascii="宋体" w:hAnsi="宋体" w:eastAsia="宋体"/>
          <w:sz w:val="24"/>
          <w:szCs w:val="24"/>
        </w:rPr>
        <w:t>小时之内做出响应，并派遣专业的工程师以最快的交通方式到达现场提供紧急服务，在正常工作时间之外，</w:t>
      </w:r>
      <w:r>
        <w:rPr>
          <w:rFonts w:ascii="宋体" w:hAnsi="宋体" w:eastAsia="宋体"/>
          <w:sz w:val="24"/>
          <w:szCs w:val="24"/>
        </w:rPr>
        <w:t>4</w:t>
      </w:r>
      <w:r>
        <w:rPr>
          <w:rFonts w:hint="eastAsia" w:ascii="宋体" w:hAnsi="宋体" w:eastAsia="宋体"/>
          <w:sz w:val="24"/>
          <w:szCs w:val="24"/>
        </w:rPr>
        <w:t>小时之内做出响应，同样以最快的交通方式到达现场提供紧急服务。如未能按以上时间作出响应第一次招标人采取严重警告，仍未改正招标人有权按合同金额的百分之一进行处罚。</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宋体" w:hAnsi="宋体" w:eastAsia="宋体"/>
          <w:sz w:val="24"/>
          <w:szCs w:val="24"/>
          <w:lang w:eastAsia="zh-CN"/>
        </w:rPr>
      </w:pPr>
      <w:r>
        <w:rPr>
          <w:rFonts w:hint="eastAsia" w:ascii="宋体" w:hAnsi="宋体" w:eastAsia="宋体"/>
          <w:sz w:val="24"/>
          <w:szCs w:val="24"/>
        </w:rPr>
        <w:t>在每次紧急叫修服务完成后</w:t>
      </w:r>
      <w:r>
        <w:rPr>
          <w:rFonts w:ascii="宋体" w:hAnsi="宋体" w:eastAsia="宋体"/>
          <w:sz w:val="24"/>
          <w:szCs w:val="24"/>
        </w:rPr>
        <w:t>5</w:t>
      </w:r>
      <w:r>
        <w:rPr>
          <w:rFonts w:hint="eastAsia" w:ascii="宋体" w:hAnsi="宋体" w:eastAsia="宋体"/>
          <w:sz w:val="24"/>
          <w:szCs w:val="24"/>
        </w:rPr>
        <w:t>个工作日内</w:t>
      </w:r>
      <w:r>
        <w:rPr>
          <w:rFonts w:ascii="宋体" w:hAnsi="宋体" w:eastAsia="宋体"/>
          <w:sz w:val="24"/>
          <w:szCs w:val="24"/>
        </w:rPr>
        <w:t>,</w:t>
      </w:r>
      <w:r>
        <w:rPr>
          <w:rFonts w:hint="eastAsia" w:ascii="宋体" w:hAnsi="宋体" w:eastAsia="宋体"/>
          <w:sz w:val="24"/>
          <w:szCs w:val="24"/>
        </w:rPr>
        <w:t>维保单位向招标人提供书面报告</w:t>
      </w:r>
      <w:r>
        <w:rPr>
          <w:rFonts w:ascii="宋体" w:hAnsi="宋体" w:eastAsia="宋体"/>
          <w:sz w:val="24"/>
          <w:szCs w:val="24"/>
        </w:rPr>
        <w:t>,</w:t>
      </w:r>
      <w:r>
        <w:rPr>
          <w:rFonts w:hint="eastAsia" w:ascii="宋体" w:hAnsi="宋体" w:eastAsia="宋体"/>
          <w:sz w:val="24"/>
          <w:szCs w:val="24"/>
        </w:rPr>
        <w:t>包括本次紧急叫修服务的具体服务内容</w:t>
      </w:r>
      <w:r>
        <w:rPr>
          <w:rFonts w:ascii="宋体" w:hAnsi="宋体" w:eastAsia="宋体"/>
          <w:sz w:val="24"/>
          <w:szCs w:val="24"/>
        </w:rPr>
        <w:t>,</w:t>
      </w:r>
      <w:r>
        <w:rPr>
          <w:rFonts w:hint="eastAsia" w:ascii="宋体" w:hAnsi="宋体" w:eastAsia="宋体"/>
          <w:sz w:val="24"/>
          <w:szCs w:val="24"/>
        </w:rPr>
        <w:t>异常的具体处理方法及原因分析</w:t>
      </w:r>
      <w:r>
        <w:rPr>
          <w:rFonts w:ascii="宋体" w:hAnsi="宋体" w:eastAsia="宋体"/>
          <w:sz w:val="24"/>
          <w:szCs w:val="24"/>
        </w:rPr>
        <w:t>,</w:t>
      </w:r>
      <w:r>
        <w:rPr>
          <w:rFonts w:hint="eastAsia" w:ascii="宋体" w:hAnsi="宋体" w:eastAsia="宋体"/>
          <w:sz w:val="24"/>
          <w:szCs w:val="24"/>
        </w:rPr>
        <w:t>以及如何预防类似异常的校正措施和具体实施方法</w:t>
      </w:r>
      <w:r>
        <w:rPr>
          <w:rFonts w:hint="eastAsia" w:ascii="宋体" w:hAnsi="宋体" w:eastAsia="宋体"/>
          <w:sz w:val="24"/>
          <w:szCs w:val="24"/>
          <w:lang w:eastAsia="zh-CN"/>
        </w:rPr>
        <w:t>。</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以上紧急服务费用已包含在定期维护保养服务费用中，不得再增加费用。</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）设备备件供应</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招标人如在系统使用中需更换备品备件，招标人应向维保单位采购，维保单位为承诺将给予招标人最为优惠的价格，保证维修保养过程中所使用的消防器材及设备质量是符合国家相关的消防法规的，保证消防系统能准确、优质、高效、安全的运行，并提供备品备件及主要部件的价格清单。如维保单位提供的备品备件的价格高于市场价格的，则应予调整</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）特殊服务内容</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下列情况下，维保单位可以根据招标人的要求决定提供特殊服务，具体服务费用由双方另行协商决定：</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1</w:t>
      </w:r>
      <w:r>
        <w:rPr>
          <w:rFonts w:hint="eastAsia" w:ascii="宋体" w:hAnsi="宋体" w:eastAsia="宋体"/>
          <w:sz w:val="24"/>
          <w:szCs w:val="24"/>
        </w:rPr>
        <w:t>）天灾、地震、政府行为等不可抗力事由造成的系统设备损坏。</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2</w:t>
      </w:r>
      <w:r>
        <w:rPr>
          <w:rFonts w:hint="eastAsia" w:ascii="宋体" w:hAnsi="宋体" w:eastAsia="宋体"/>
          <w:sz w:val="24"/>
          <w:szCs w:val="24"/>
        </w:rPr>
        <w:t>）非维保单位之过失所造成之系统设备损坏。</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3</w:t>
      </w:r>
      <w:r>
        <w:rPr>
          <w:rFonts w:hint="eastAsia" w:ascii="宋体" w:hAnsi="宋体" w:eastAsia="宋体"/>
          <w:sz w:val="24"/>
          <w:szCs w:val="24"/>
        </w:rPr>
        <w:t>）系统设备赖以运行的工作环境较制约时发生改变，且该改变非供应商于制约时所能合理预料。</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4</w:t>
      </w:r>
      <w:r>
        <w:rPr>
          <w:rFonts w:hint="eastAsia" w:ascii="宋体" w:hAnsi="宋体" w:eastAsia="宋体"/>
          <w:sz w:val="24"/>
          <w:szCs w:val="24"/>
        </w:rPr>
        <w:t>）其他定期维护保养服务范围之外的事宜。</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）本合同服务范围不包括新增加的消防设备</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培训服务</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在维护保养服务中，对于招标人所指定的工作人员提供现行使用的系统、设备的管理、设备的操作以及设备故障的排除等方面进行现场培训。培训内容如下：</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 xml:space="preserve">a. </w:t>
      </w:r>
      <w:r>
        <w:rPr>
          <w:rFonts w:hint="eastAsia" w:ascii="宋体" w:hAnsi="宋体" w:eastAsia="宋体"/>
          <w:sz w:val="24"/>
          <w:szCs w:val="24"/>
        </w:rPr>
        <w:t>系统设备的操作和管理。</w:t>
      </w:r>
    </w:p>
    <w:p>
      <w:pPr>
        <w:pageBreakBefore w:val="0"/>
        <w:tabs>
          <w:tab w:val="left" w:pos="360"/>
        </w:tabs>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b.</w:t>
      </w:r>
      <w:r>
        <w:rPr>
          <w:rFonts w:hint="eastAsia" w:ascii="宋体" w:hAnsi="宋体" w:eastAsia="宋体"/>
          <w:sz w:val="24"/>
          <w:szCs w:val="24"/>
        </w:rPr>
        <w:t>系统设备故障的排除。</w:t>
      </w:r>
    </w:p>
    <w:p>
      <w:pPr>
        <w:pageBreakBefore w:val="0"/>
        <w:tabs>
          <w:tab w:val="left" w:pos="360"/>
        </w:tabs>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c.</w:t>
      </w:r>
      <w:r>
        <w:rPr>
          <w:rFonts w:hint="eastAsia" w:ascii="宋体" w:hAnsi="宋体" w:eastAsia="宋体"/>
          <w:sz w:val="24"/>
          <w:szCs w:val="24"/>
        </w:rPr>
        <w:t>系统数据的定期备份和报警纪录的分析。</w:t>
      </w:r>
    </w:p>
    <w:p>
      <w:pPr>
        <w:pageBreakBefore w:val="0"/>
        <w:tabs>
          <w:tab w:val="left" w:pos="360"/>
        </w:tabs>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d.</w:t>
      </w:r>
      <w:r>
        <w:rPr>
          <w:rFonts w:hint="eastAsia" w:ascii="宋体" w:hAnsi="宋体" w:eastAsia="宋体"/>
          <w:sz w:val="24"/>
          <w:szCs w:val="24"/>
        </w:rPr>
        <w:t>最新产品及其性能介绍。</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培训时间分为每年四月和每年十月共两次进行。</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hint="eastAsia" w:ascii="宋体" w:hAnsi="宋体" w:eastAsia="宋体"/>
          <w:sz w:val="24"/>
          <w:szCs w:val="24"/>
        </w:rPr>
        <w:t>四、商务要求</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 xml:space="preserve">1. </w:t>
      </w:r>
      <w:r>
        <w:rPr>
          <w:rFonts w:hint="eastAsia" w:ascii="宋体" w:hAnsi="宋体" w:eastAsia="宋体"/>
          <w:sz w:val="24"/>
          <w:szCs w:val="24"/>
        </w:rPr>
        <w:t>维保单位投标价格应包括但不限于除更换设备及零部件费用外的日常修理、保养维护、清洗等相关人工费、机械费、培训费、维护辅材费、劳保费、办公费、利润、税金等一切费用。</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2.维保单位</w:t>
      </w:r>
      <w:r>
        <w:rPr>
          <w:rFonts w:hint="eastAsia" w:ascii="宋体" w:hAnsi="宋体" w:eastAsia="宋体"/>
          <w:sz w:val="24"/>
          <w:szCs w:val="24"/>
        </w:rPr>
        <w:t>接到招标人通知后未能按照要求到现场处理或处理不当造成的损失，由此造成的费用维保单位负责。</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维保单位须确保投标项目在维保服务期间，消防系统功能正常并确保消防部门检查顺利通过。</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维保单位工程技术人员在服务期间需提供全天候的维护服务，保证</w:t>
      </w:r>
      <w:r>
        <w:rPr>
          <w:rFonts w:ascii="宋体" w:hAnsi="宋体" w:eastAsia="宋体"/>
          <w:sz w:val="24"/>
          <w:szCs w:val="24"/>
        </w:rPr>
        <w:t>24</w:t>
      </w:r>
      <w:r>
        <w:rPr>
          <w:rFonts w:hint="eastAsia" w:ascii="宋体" w:hAnsi="宋体" w:eastAsia="宋体"/>
          <w:sz w:val="24"/>
          <w:szCs w:val="24"/>
        </w:rPr>
        <w:t>小时通迅畅通，随叫随到，到达现场时间不超过</w:t>
      </w:r>
      <w:r>
        <w:rPr>
          <w:rFonts w:ascii="宋体" w:hAnsi="宋体" w:eastAsia="宋体"/>
          <w:sz w:val="24"/>
          <w:szCs w:val="24"/>
        </w:rPr>
        <w:t>2</w:t>
      </w:r>
      <w:r>
        <w:rPr>
          <w:rFonts w:hint="eastAsia" w:ascii="宋体" w:hAnsi="宋体" w:eastAsia="宋体"/>
          <w:sz w:val="24"/>
          <w:szCs w:val="24"/>
        </w:rPr>
        <w:t>小时。现场值守维修人员星期一至星期六当值。</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每逢节假日前，中标人须提前对该工程消防设施、设备进行检查，并留存记录，抄报招标人项目处，保证消防系统的正常、稳定运行。</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每月中旬（遇节假日顺延）检查设备运行状况，同时向招标人提交设备保养情况单，真实反映设备运行情况</w:t>
      </w:r>
      <w:bookmarkStart w:id="2" w:name="_Toc501741540"/>
      <w:bookmarkEnd w:id="2"/>
      <w:bookmarkStart w:id="3" w:name="_Toc501741547"/>
      <w:bookmarkEnd w:id="3"/>
      <w:bookmarkStart w:id="4" w:name="_Toc501741543"/>
      <w:bookmarkEnd w:id="4"/>
      <w:bookmarkStart w:id="5" w:name="_Toc501741687"/>
      <w:bookmarkEnd w:id="5"/>
      <w:bookmarkStart w:id="6" w:name="_Toc501741727"/>
      <w:bookmarkEnd w:id="6"/>
      <w:bookmarkStart w:id="7" w:name="_Toc501741731"/>
      <w:bookmarkEnd w:id="7"/>
      <w:bookmarkStart w:id="8" w:name="_Toc501741733"/>
      <w:bookmarkEnd w:id="8"/>
      <w:bookmarkStart w:id="9" w:name="_Toc501741541"/>
      <w:bookmarkEnd w:id="9"/>
      <w:bookmarkStart w:id="10" w:name="_Toc501741735"/>
      <w:bookmarkEnd w:id="10"/>
      <w:bookmarkStart w:id="11" w:name="_Toc501741546"/>
      <w:bookmarkEnd w:id="11"/>
      <w:bookmarkStart w:id="12" w:name="_Toc501741686"/>
      <w:bookmarkEnd w:id="12"/>
      <w:bookmarkStart w:id="13" w:name="_Toc501741690"/>
      <w:bookmarkEnd w:id="13"/>
      <w:bookmarkStart w:id="14" w:name="_Toc501741689"/>
      <w:bookmarkEnd w:id="14"/>
      <w:bookmarkStart w:id="15" w:name="_Toc501741728"/>
      <w:bookmarkEnd w:id="15"/>
      <w:bookmarkStart w:id="16" w:name="_Toc501741685"/>
      <w:bookmarkEnd w:id="16"/>
      <w:bookmarkStart w:id="17" w:name="_Toc501741732"/>
      <w:bookmarkEnd w:id="17"/>
      <w:bookmarkStart w:id="18" w:name="_Toc501741730"/>
      <w:bookmarkEnd w:id="18"/>
      <w:bookmarkStart w:id="19" w:name="_Toc501741683"/>
      <w:bookmarkEnd w:id="19"/>
      <w:bookmarkStart w:id="20" w:name="_Toc501741684"/>
      <w:bookmarkEnd w:id="20"/>
      <w:bookmarkStart w:id="21" w:name="_Toc501741548"/>
      <w:bookmarkEnd w:id="21"/>
      <w:bookmarkStart w:id="22" w:name="_Toc501741688"/>
      <w:bookmarkEnd w:id="22"/>
      <w:bookmarkStart w:id="23" w:name="_Toc501741542"/>
      <w:bookmarkEnd w:id="23"/>
      <w:bookmarkStart w:id="24" w:name="_Toc501741734"/>
      <w:bookmarkEnd w:id="24"/>
      <w:bookmarkStart w:id="25" w:name="_Toc501741545"/>
      <w:bookmarkEnd w:id="25"/>
      <w:bookmarkStart w:id="26" w:name="_Toc501741544"/>
      <w:bookmarkEnd w:id="26"/>
      <w:bookmarkStart w:id="27" w:name="_Toc501741729"/>
      <w:bookmarkEnd w:id="27"/>
      <w:bookmarkStart w:id="28" w:name="_Toc501741682"/>
      <w:bookmarkEnd w:id="28"/>
      <w:r>
        <w:rPr>
          <w:rFonts w:hint="eastAsia" w:ascii="宋体" w:hAnsi="宋体" w:eastAsia="宋体"/>
          <w:sz w:val="24"/>
          <w:szCs w:val="24"/>
        </w:rPr>
        <w:t>；每季度对设备全面检查及调试，检测设备保护装置，同时向招标人提交设备的保养报告。</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、维保单位对维保的工作做好记录，内容为：维保原因，解决方法，耗材等形成档案。</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更换的配件必须与原品牌、型号一致，并经委托方相关管理人员签字确认验收，需提供合格证等相关资料。维保方在标书中应明确提供常用配件的品牌、型号及价格清单。维修配件使用原装配件，原装配件若已停产，需提供厂家停产说明，并提供相应品牌的正规配件。由于维保不善造成同一零配件连续多次损坏，费用由维保方承担。</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、所有维保设备完好率要通过采购人考核，涉及更换配件的设备应有一定质保期，在该更换配件质保期内再次发生故障由供应商免费修复或更换。</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五、其他要求</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本项目要求维保方确保</w:t>
      </w:r>
      <w:r>
        <w:rPr>
          <w:rFonts w:ascii="宋体" w:hAnsi="宋体" w:eastAsia="宋体"/>
          <w:sz w:val="24"/>
          <w:szCs w:val="24"/>
        </w:rPr>
        <w:t>2</w:t>
      </w:r>
      <w:r>
        <w:rPr>
          <w:rFonts w:hint="eastAsia" w:ascii="宋体" w:hAnsi="宋体" w:eastAsia="宋体"/>
          <w:sz w:val="24"/>
          <w:szCs w:val="24"/>
        </w:rPr>
        <w:t>人常驻现场，未经医院同意维保单位不得擅自离岗。（驻场人员食宿由供应商自行解决）。</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2.维保方</w:t>
      </w:r>
      <w:r>
        <w:rPr>
          <w:rFonts w:hint="eastAsia" w:ascii="宋体" w:hAnsi="宋体" w:eastAsia="宋体"/>
          <w:sz w:val="24"/>
          <w:szCs w:val="24"/>
        </w:rPr>
        <w:t>的所有现场维保人员，必须服从招标方指定的管理部门合理正确的管理和指示，并对招标方设备管理人员进行设备日常运行使用维护的知识进行指导。</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）维修人员须服从医院人员的调度、监督。如不服从，招标方可以酌情罚款并延期支付维保费。</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）招标方的消防管理员参与对维修人员的考核。</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）做好消防维修记录，由报修部门验收签字后交相关部门。</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服务范围不包括招标人在本项目服务期内新增加的消防设备。</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4.维保方</w:t>
      </w:r>
      <w:r>
        <w:rPr>
          <w:rFonts w:hint="eastAsia" w:ascii="宋体" w:hAnsi="宋体" w:eastAsia="宋体"/>
          <w:sz w:val="24"/>
          <w:szCs w:val="24"/>
        </w:rPr>
        <w:t>若在服务过程对原建筑或原成品产生破坏，要负责修补复原。</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维保方在维保行为与维保工程结束时要经过招标方验收确认。维保方每次执行维保任务时，必须持有致委托方的联系单（写明维保内容、执行情况、维保人、时间等），经委托方签字确认后作为合同考核及付款凭证，未经委托方确认的，视为无效维护，不计入考核和付款凭证。</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维保方应提供一定数量的备用配件在设备仓库以备急需。</w:t>
      </w:r>
    </w:p>
    <w:p>
      <w:pPr>
        <w:pageBreakBefore w:val="0"/>
        <w:kinsoku/>
        <w:wordWrap/>
        <w:topLinePunct w:val="0"/>
        <w:autoSpaceDE/>
        <w:autoSpaceDN/>
        <w:bidi w:val="0"/>
        <w:adjustRightInd w:val="0"/>
        <w:snapToGrid w:val="0"/>
        <w:spacing w:line="240" w:lineRule="auto"/>
        <w:ind w:left="0" w:leftChars="0" w:right="0"/>
        <w:rPr>
          <w:rFonts w:ascii="宋体" w:hAnsi="宋体" w:eastAsia="宋体" w:cs="宋体"/>
          <w:b/>
          <w:bCs/>
          <w:sz w:val="24"/>
          <w:szCs w:val="24"/>
        </w:rPr>
        <w:sectPr>
          <w:headerReference r:id="rId3" w:type="first"/>
          <w:footerReference r:id="rId4" w:type="first"/>
          <w:pgSz w:w="11906" w:h="16838"/>
          <w:pgMar w:top="1134" w:right="1133" w:bottom="1134" w:left="1508" w:header="567" w:footer="675" w:gutter="0"/>
          <w:cols w:space="720" w:num="1"/>
          <w:docGrid w:linePitch="380" w:charSpace="-5735"/>
        </w:sectPr>
      </w:pPr>
    </w:p>
    <w:p>
      <w:pPr>
        <w:pStyle w:val="53"/>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36"/>
          <w:szCs w:val="36"/>
        </w:rPr>
      </w:pPr>
      <w:bookmarkStart w:id="29" w:name="_Toc501897065"/>
      <w:bookmarkStart w:id="30" w:name="_Toc504303539"/>
      <w:r>
        <w:rPr>
          <w:rFonts w:hint="eastAsia" w:asciiTheme="minorEastAsia" w:hAnsiTheme="minorEastAsia" w:eastAsiaTheme="minorEastAsia"/>
          <w:sz w:val="36"/>
          <w:szCs w:val="36"/>
        </w:rPr>
        <w:t>合同主要条款</w:t>
      </w:r>
      <w:bookmarkEnd w:id="29"/>
      <w:bookmarkEnd w:id="30"/>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招标人（甲方）：</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滁州市第一人民医院（南区）</w:t>
      </w:r>
    </w:p>
    <w:p>
      <w:pPr>
        <w:pageBreakBefore w:val="0"/>
        <w:tabs>
          <w:tab w:val="left" w:pos="1260"/>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地</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址</w:t>
      </w:r>
      <w:r>
        <w:rPr>
          <w:rFonts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滁州市南谯区醉翁</w:t>
      </w:r>
      <w:r>
        <w:rPr>
          <w:rFonts w:hint="eastAsia" w:cs="宋体" w:asciiTheme="minorEastAsia" w:hAnsiTheme="minorEastAsia" w:eastAsiaTheme="minorEastAsia"/>
          <w:sz w:val="24"/>
          <w:szCs w:val="24"/>
          <w:lang w:eastAsia="zh-CN"/>
        </w:rPr>
        <w:t>西</w:t>
      </w:r>
      <w:r>
        <w:rPr>
          <w:rFonts w:hint="eastAsia" w:cs="宋体" w:asciiTheme="minorEastAsia" w:hAnsiTheme="minorEastAsia" w:eastAsiaTheme="minorEastAsia"/>
          <w:sz w:val="24"/>
          <w:szCs w:val="24"/>
        </w:rPr>
        <w:t>路369号</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维保方（乙方）：</w:t>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地</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址</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第一条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合同有效期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本合同有效期自</w:t>
      </w:r>
      <w:r>
        <w:rPr>
          <w:rFonts w:asciiTheme="minorEastAsia" w:hAnsiTheme="minorEastAsia" w:eastAsiaTheme="minorEastAsia"/>
          <w:sz w:val="24"/>
          <w:szCs w:val="24"/>
          <w:u w:val="single"/>
        </w:rPr>
        <w:t>2018</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30</w:t>
      </w:r>
      <w:r>
        <w:rPr>
          <w:rFonts w:hint="eastAsia" w:asciiTheme="minorEastAsia" w:hAnsiTheme="minorEastAsia" w:eastAsiaTheme="minorEastAsia"/>
          <w:sz w:val="24"/>
          <w:szCs w:val="24"/>
        </w:rPr>
        <w:t>日起，至</w:t>
      </w:r>
      <w:r>
        <w:rPr>
          <w:rFonts w:asciiTheme="minorEastAsia" w:hAnsiTheme="minorEastAsia" w:eastAsiaTheme="minorEastAsia"/>
          <w:sz w:val="24"/>
          <w:szCs w:val="24"/>
          <w:u w:val="single"/>
        </w:rPr>
        <w:t>20</w:t>
      </w:r>
      <w:r>
        <w:rPr>
          <w:rFonts w:hint="eastAsia" w:asciiTheme="minorEastAsia" w:hAnsiTheme="minorEastAsia" w:eastAsiaTheme="minorEastAsia"/>
          <w:sz w:val="24"/>
          <w:szCs w:val="24"/>
          <w:u w:val="single"/>
        </w:rPr>
        <w:t>19</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30</w:t>
      </w:r>
      <w:r>
        <w:rPr>
          <w:rFonts w:hint="eastAsia" w:asciiTheme="minorEastAsia" w:hAnsiTheme="minorEastAsia" w:eastAsiaTheme="minorEastAsia"/>
          <w:sz w:val="24"/>
          <w:szCs w:val="24"/>
        </w:rPr>
        <w:t>日止。期满前甲乙双方经协商一致可以将合同有效期续延壹年，否则本合同将于有效期满后自行终止。</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服务范围</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乙方依据本合同提供以下维护保养服务：</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定期维护保养服务</w:t>
      </w:r>
    </w:p>
    <w:p>
      <w:pPr>
        <w:pageBreakBefore w:val="0"/>
        <w:tabs>
          <w:tab w:val="left" w:pos="8460"/>
        </w:tabs>
        <w:kinsoku/>
        <w:wordWrap/>
        <w:topLinePunct w:val="0"/>
        <w:autoSpaceDE/>
        <w:autoSpaceDN/>
        <w:bidi w:val="0"/>
        <w:adjustRightInd w:val="0"/>
        <w:snapToGrid w:val="0"/>
        <w:spacing w:line="240" w:lineRule="auto"/>
        <w:ind w:left="0" w:leftChars="0" w:right="0" w:hanging="36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乙方定期派专业工程师定期到到医院消防系统设备进行常规维护保养。并出具消防设施维护检测报告书。乙方应依据年度保养服务计划（见附件一）。以便甲方进行合理安排。</w:t>
      </w:r>
    </w:p>
    <w:p>
      <w:pPr>
        <w:pageBreakBefore w:val="0"/>
        <w:kinsoku/>
        <w:wordWrap/>
        <w:topLinePunct w:val="0"/>
        <w:autoSpaceDE/>
        <w:autoSpaceDN/>
        <w:bidi w:val="0"/>
        <w:adjustRightInd w:val="0"/>
        <w:snapToGrid w:val="0"/>
        <w:spacing w:line="240" w:lineRule="auto"/>
        <w:ind w:left="0" w:leftChars="0" w:right="0" w:firstLine="16" w:firstLineChars="7"/>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保养中发现的有关问题及故障处理</w:t>
      </w:r>
      <w:r>
        <w:rPr>
          <w:rFonts w:asciiTheme="minorEastAsia" w:hAnsiTheme="minorEastAsia" w:eastAsiaTheme="minorEastAsia"/>
          <w:sz w:val="24"/>
          <w:szCs w:val="24"/>
        </w:rPr>
        <w:t>,</w:t>
      </w:r>
      <w:r>
        <w:rPr>
          <w:rFonts w:hint="eastAsia" w:asciiTheme="minorEastAsia" w:hAnsiTheme="minorEastAsia" w:eastAsiaTheme="minorEastAsia"/>
          <w:sz w:val="24"/>
          <w:szCs w:val="24"/>
        </w:rPr>
        <w:t>系统可能存在潜在隐患的发现及处理</w:t>
      </w:r>
      <w:r>
        <w:rPr>
          <w:rFonts w:asciiTheme="minorEastAsia" w:hAnsiTheme="minorEastAsia" w:eastAsiaTheme="minorEastAsia"/>
          <w:sz w:val="24"/>
          <w:szCs w:val="24"/>
        </w:rPr>
        <w:t>,</w:t>
      </w:r>
      <w:r>
        <w:rPr>
          <w:rFonts w:hint="eastAsia" w:asciiTheme="minorEastAsia" w:hAnsiTheme="minorEastAsia" w:eastAsiaTheme="minorEastAsia"/>
          <w:sz w:val="24"/>
          <w:szCs w:val="24"/>
        </w:rPr>
        <w:t>系统改造升级建议</w:t>
      </w:r>
      <w:r>
        <w:rPr>
          <w:rFonts w:asciiTheme="minorEastAsia" w:hAnsiTheme="minorEastAsia" w:eastAsiaTheme="minorEastAsia"/>
          <w:sz w:val="24"/>
          <w:szCs w:val="24"/>
        </w:rPr>
        <w:t>,</w:t>
      </w:r>
      <w:r>
        <w:rPr>
          <w:rFonts w:hint="eastAsia" w:asciiTheme="minorEastAsia" w:hAnsiTheme="minorEastAsia" w:eastAsiaTheme="minorEastAsia"/>
          <w:sz w:val="24"/>
          <w:szCs w:val="24"/>
        </w:rPr>
        <w:t>系统备件状况的检查及更新</w:t>
      </w:r>
      <w:r>
        <w:rPr>
          <w:rFonts w:asciiTheme="minorEastAsia" w:hAnsiTheme="minorEastAsia" w:eastAsiaTheme="minorEastAsia"/>
          <w:sz w:val="24"/>
          <w:szCs w:val="24"/>
        </w:rPr>
        <w:t>,</w:t>
      </w:r>
      <w:r>
        <w:rPr>
          <w:rFonts w:hint="eastAsia" w:asciiTheme="minorEastAsia" w:hAnsiTheme="minorEastAsia" w:eastAsiaTheme="minorEastAsia"/>
          <w:sz w:val="24"/>
          <w:szCs w:val="24"/>
        </w:rPr>
        <w:t>以及下次保养服务的内容和时间安排定期维护保养服务的具体范围和内容如下</w:t>
      </w:r>
      <w:r>
        <w:rPr>
          <w:rFonts w:asciiTheme="minorEastAsia" w:hAnsiTheme="minorEastAsia" w:eastAsiaTheme="minorEastAsia"/>
          <w:sz w:val="24"/>
          <w:szCs w:val="24"/>
        </w:rPr>
        <w:t>:</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）乙方定期对甲方的系统设备进行设备综合检查和作相应的联动测试</w:t>
      </w:r>
      <w:r>
        <w:rPr>
          <w:rFonts w:asciiTheme="minorEastAsia" w:hAnsiTheme="minorEastAsia" w:eastAsiaTheme="minorEastAsia"/>
          <w:sz w:val="24"/>
          <w:szCs w:val="24"/>
        </w:rPr>
        <w:t>,</w:t>
      </w:r>
      <w:r>
        <w:rPr>
          <w:rFonts w:hint="eastAsia" w:asciiTheme="minorEastAsia" w:hAnsiTheme="minorEastAsia" w:eastAsiaTheme="minorEastAsia"/>
          <w:sz w:val="24"/>
          <w:szCs w:val="24"/>
        </w:rPr>
        <w:t>并协助现场常驻人员解决和排除一些突发的报警事件和事故隐患</w:t>
      </w:r>
      <w:r>
        <w:rPr>
          <w:rFonts w:asciiTheme="minorEastAsia" w:hAnsiTheme="minorEastAsia" w:eastAsiaTheme="minorEastAsia"/>
          <w:sz w:val="24"/>
          <w:szCs w:val="24"/>
        </w:rPr>
        <w:t>,</w:t>
      </w:r>
      <w:r>
        <w:rPr>
          <w:rFonts w:hint="eastAsia" w:asciiTheme="minorEastAsia" w:hAnsiTheme="minorEastAsia" w:eastAsiaTheme="minorEastAsia"/>
          <w:sz w:val="24"/>
          <w:szCs w:val="24"/>
        </w:rPr>
        <w:t>同时配合甲方不断完善系统</w:t>
      </w:r>
      <w:r>
        <w:rPr>
          <w:rFonts w:asciiTheme="minorEastAsia" w:hAnsiTheme="minorEastAsia" w:eastAsiaTheme="minorEastAsia"/>
          <w:sz w:val="24"/>
          <w:szCs w:val="24"/>
        </w:rPr>
        <w:t>,</w:t>
      </w:r>
      <w:r>
        <w:rPr>
          <w:rFonts w:hint="eastAsia" w:asciiTheme="minorEastAsia" w:hAnsiTheme="minorEastAsia" w:eastAsiaTheme="minorEastAsia"/>
          <w:sz w:val="24"/>
          <w:szCs w:val="24"/>
        </w:rPr>
        <w:t>通过消防的年检。如出现未通过检查的情况，视为乙方违约，甲方有权终止合同并要求赔偿。</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乙方将对甲方系统设备进行定期例行的检查，并及时解决和排除现场设备出现的故障及问题。</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乙方在对甲方系统设备进行例行的检查后，</w:t>
      </w:r>
      <w:r>
        <w:rPr>
          <w:rFonts w:asciiTheme="minorEastAsia" w:hAnsiTheme="minorEastAsia" w:eastAsiaTheme="minorEastAsia"/>
          <w:sz w:val="24"/>
          <w:szCs w:val="24"/>
        </w:rPr>
        <w:t>8</w:t>
      </w:r>
      <w:r>
        <w:rPr>
          <w:rFonts w:hint="eastAsia" w:asciiTheme="minorEastAsia" w:hAnsiTheme="minorEastAsia" w:eastAsiaTheme="minorEastAsia"/>
          <w:sz w:val="24"/>
          <w:szCs w:val="24"/>
        </w:rPr>
        <w:t>个工作日内乙方将提供甲方详细的服务内容、设备检测结果及相关的需甲方现场改进的建议报告。乙方将有关季度保养报告一式贰份，交甲方签字确认。（甲、乙方各执一份存档）。</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）在每次定期维护、维修服务和紧急维修服务期间</w:t>
      </w:r>
      <w:r>
        <w:rPr>
          <w:rFonts w:asciiTheme="minorEastAsia" w:hAnsiTheme="minorEastAsia" w:eastAsiaTheme="minorEastAsia"/>
          <w:sz w:val="24"/>
          <w:szCs w:val="24"/>
        </w:rPr>
        <w:t>,</w:t>
      </w:r>
      <w:r>
        <w:rPr>
          <w:rFonts w:hint="eastAsia" w:asciiTheme="minorEastAsia" w:hAnsiTheme="minorEastAsia" w:eastAsiaTheme="minorEastAsia"/>
          <w:sz w:val="24"/>
          <w:szCs w:val="24"/>
        </w:rPr>
        <w:t>若工作需要关闭相应系统设备及由此引起的影响面较大时，乙方需事先征得甲方书面同意后，方能予以实施。</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）若当人为或其他不可抗力因素引发故障或损害事件发生时，乙方须将尽快恢复故障放在首位，使系统恢复正常运行，尽量使由此造成的直接、间接损失控制在最低限度。</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）乙方配合甲方进行每年两次的消防演习。</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、紧急维护保养服务</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在本合同有效期内，如甲方提出要求，</w:t>
      </w:r>
      <w:r>
        <w:rPr>
          <w:rFonts w:hint="eastAsia" w:asciiTheme="minorEastAsia" w:hAnsiTheme="minorEastAsia" w:eastAsiaTheme="minorEastAsia"/>
          <w:color w:val="000000"/>
          <w:sz w:val="24"/>
          <w:szCs w:val="24"/>
        </w:rPr>
        <w:t>在接到甲方</w:t>
      </w:r>
      <w:r>
        <w:rPr>
          <w:rFonts w:hint="eastAsia" w:asciiTheme="minorEastAsia" w:hAnsiTheme="minorEastAsia" w:eastAsiaTheme="minorEastAsia"/>
          <w:sz w:val="24"/>
          <w:szCs w:val="24"/>
        </w:rPr>
        <w:t>书面或电话</w:t>
      </w:r>
      <w:r>
        <w:rPr>
          <w:rFonts w:hint="eastAsia" w:asciiTheme="minorEastAsia" w:hAnsiTheme="minorEastAsia" w:eastAsiaTheme="minorEastAsia"/>
          <w:color w:val="000000"/>
          <w:sz w:val="24"/>
          <w:szCs w:val="24"/>
        </w:rPr>
        <w:t>通知后</w:t>
      </w:r>
      <w:r>
        <w:rPr>
          <w:rFonts w:hint="eastAsia" w:asciiTheme="minorEastAsia" w:hAnsiTheme="minorEastAsia" w:eastAsiaTheme="minorEastAsia"/>
          <w:sz w:val="24"/>
          <w:szCs w:val="24"/>
        </w:rPr>
        <w:t>乙方将在正常工作时间内</w:t>
      </w:r>
      <w:r>
        <w:rPr>
          <w:rFonts w:asciiTheme="minorEastAsia" w:hAnsiTheme="minorEastAsia" w:eastAsiaTheme="minorEastAsia"/>
          <w:sz w:val="24"/>
          <w:szCs w:val="24"/>
        </w:rPr>
        <w:t>0.5</w:t>
      </w:r>
      <w:r>
        <w:rPr>
          <w:rFonts w:hint="eastAsia" w:asciiTheme="minorEastAsia" w:hAnsiTheme="minorEastAsia" w:eastAsiaTheme="minorEastAsia"/>
          <w:sz w:val="24"/>
          <w:szCs w:val="24"/>
        </w:rPr>
        <w:t>小时之内做出响应，并派遣专业的工程师以最快的交通方式到达现场提供紧急服务，在正常工作时间之外，</w:t>
      </w:r>
      <w:r>
        <w:rPr>
          <w:rFonts w:asciiTheme="minorEastAsia" w:hAnsiTheme="minorEastAsia" w:eastAsiaTheme="minorEastAsia"/>
          <w:sz w:val="24"/>
          <w:szCs w:val="24"/>
        </w:rPr>
        <w:t>4</w:t>
      </w:r>
      <w:r>
        <w:rPr>
          <w:rFonts w:hint="eastAsia" w:asciiTheme="minorEastAsia" w:hAnsiTheme="minorEastAsia" w:eastAsiaTheme="minorEastAsia"/>
          <w:sz w:val="24"/>
          <w:szCs w:val="24"/>
        </w:rPr>
        <w:t>小时之内做出响应，同样以最快的交通方式到达现场提供紧急服务。如未能按以上时间作出响应第一次甲方采取严重警告，仍未改正甲方有权按合同金额的</w:t>
      </w:r>
      <w:r>
        <w:rPr>
          <w:rFonts w:hint="eastAsia" w:asciiTheme="minorEastAsia" w:hAnsiTheme="minorEastAsia" w:eastAsiaTheme="minorEastAsia"/>
          <w:b/>
          <w:sz w:val="24"/>
          <w:szCs w:val="24"/>
        </w:rPr>
        <w:t>百分之一</w:t>
      </w:r>
      <w:r>
        <w:rPr>
          <w:rFonts w:hint="eastAsia" w:asciiTheme="minorEastAsia" w:hAnsiTheme="minorEastAsia" w:eastAsiaTheme="minorEastAsia"/>
          <w:sz w:val="24"/>
          <w:szCs w:val="24"/>
        </w:rPr>
        <w:t>进行处罚。</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在每次紧急叫修服务完成后</w:t>
      </w:r>
      <w:r>
        <w:rPr>
          <w:rFonts w:asciiTheme="minorEastAsia" w:hAnsiTheme="minorEastAsia" w:eastAsiaTheme="minorEastAsia"/>
          <w:sz w:val="24"/>
          <w:szCs w:val="24"/>
        </w:rPr>
        <w:t>5</w:t>
      </w:r>
      <w:r>
        <w:rPr>
          <w:rFonts w:hint="eastAsia" w:asciiTheme="minorEastAsia" w:hAnsiTheme="minorEastAsia" w:eastAsiaTheme="minorEastAsia"/>
          <w:sz w:val="24"/>
          <w:szCs w:val="24"/>
        </w:rPr>
        <w:t>个工作日内</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乙方向甲方提供书面报告</w:t>
      </w:r>
      <w:r>
        <w:rPr>
          <w:rFonts w:asciiTheme="minorEastAsia" w:hAnsiTheme="minorEastAsia" w:eastAsiaTheme="minorEastAsia"/>
          <w:sz w:val="24"/>
          <w:szCs w:val="24"/>
        </w:rPr>
        <w:t>,</w:t>
      </w:r>
      <w:r>
        <w:rPr>
          <w:rFonts w:hint="eastAsia" w:asciiTheme="minorEastAsia" w:hAnsiTheme="minorEastAsia" w:eastAsiaTheme="minorEastAsia"/>
          <w:sz w:val="24"/>
          <w:szCs w:val="24"/>
        </w:rPr>
        <w:t>包括本次紧急叫修服务的具体服务内容</w:t>
      </w:r>
      <w:r>
        <w:rPr>
          <w:rFonts w:asciiTheme="minorEastAsia" w:hAnsiTheme="minorEastAsia" w:eastAsiaTheme="minorEastAsia"/>
          <w:sz w:val="24"/>
          <w:szCs w:val="24"/>
        </w:rPr>
        <w:t>,</w:t>
      </w:r>
      <w:r>
        <w:rPr>
          <w:rFonts w:hint="eastAsia" w:asciiTheme="minorEastAsia" w:hAnsiTheme="minorEastAsia" w:eastAsiaTheme="minorEastAsia"/>
          <w:sz w:val="24"/>
          <w:szCs w:val="24"/>
        </w:rPr>
        <w:t>异常的具体处理方法及原因分析</w:t>
      </w:r>
      <w:r>
        <w:rPr>
          <w:rFonts w:asciiTheme="minorEastAsia" w:hAnsiTheme="minorEastAsia" w:eastAsiaTheme="minorEastAsia"/>
          <w:sz w:val="24"/>
          <w:szCs w:val="24"/>
        </w:rPr>
        <w:t>,</w:t>
      </w:r>
      <w:r>
        <w:rPr>
          <w:rFonts w:hint="eastAsia" w:asciiTheme="minorEastAsia" w:hAnsiTheme="minorEastAsia" w:eastAsiaTheme="minorEastAsia"/>
          <w:sz w:val="24"/>
          <w:szCs w:val="24"/>
        </w:rPr>
        <w:t>以及如何预防类似异常的校正措施和具体实施方法</w:t>
      </w:r>
      <w:r>
        <w:rPr>
          <w:rFonts w:asciiTheme="minorEastAsia" w:hAnsiTheme="minorEastAsia" w:eastAsiaTheme="minorEastAsia"/>
          <w:sz w:val="24"/>
          <w:szCs w:val="24"/>
        </w:rPr>
        <w:t>.</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以上紧急服务费用已包含在定期维护保养服务费用中，乙方不得再增加费用。</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、设备备件供应</w:t>
      </w:r>
    </w:p>
    <w:p>
      <w:pPr>
        <w:pageBreakBefore w:val="0"/>
        <w:kinsoku/>
        <w:wordWrap/>
        <w:topLinePunct w:val="0"/>
        <w:autoSpaceDE/>
        <w:autoSpaceDN/>
        <w:bidi w:val="0"/>
        <w:adjustRightInd w:val="0"/>
        <w:snapToGrid w:val="0"/>
        <w:spacing w:line="240" w:lineRule="auto"/>
        <w:ind w:left="120" w:leftChars="0" w:right="0" w:hanging="120" w:hangingChars="5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甲方如在系统使用中需更换备品备件，甲方应向乙方采购，乙方承诺将给予甲方最为优惠的价格，保证维修保养过程中所使用的消防器材及设备质量是符合国家相关的消防法规的，保证消防系统能准确、优质、高效、安全的运行，并提供备品备件及主要部件的价格清单。如乙方提供的备品备件的价格高于市场价格的，则应予调整</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、特殊服务内容</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下列情况下，乙方可以根据甲方的要求决定提供特殊服务，具体服务费用由双方另行协商决定：</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）天灾、地震、政府行为等不可抗力事由造成的系统设备损坏。</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）非乙方之过失所造成之系统设备损坏。</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）系统设备赖以运行的工作环境较制约时发生改变，且该改变非乙方于制约时所能合理预料。</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）其他定期维护保养服务范围之外的事宜。</w:t>
      </w:r>
    </w:p>
    <w:p>
      <w:pPr>
        <w:pageBreakBefore w:val="0"/>
        <w:kinsoku/>
        <w:wordWrap/>
        <w:topLinePunct w:val="0"/>
        <w:autoSpaceDE/>
        <w:autoSpaceDN/>
        <w:bidi w:val="0"/>
        <w:adjustRightInd w:val="0"/>
        <w:snapToGrid w:val="0"/>
        <w:spacing w:line="240" w:lineRule="auto"/>
        <w:ind w:left="-1"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）本合同服务范围不包括新增加的消防设备</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培训服务</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在维护保养服务中，对于甲方所指定的工作人员提供现行使用的系统、设备的管理、设备的操作以及设备故障的排除等方面进行现场培训。培训内容如下：</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442" w:firstLineChars="0"/>
        <w:textAlignment w:val="auto"/>
        <w:outlineLvl w:val="9"/>
        <w:rPr>
          <w:rFonts w:asciiTheme="minorEastAsia" w:hAnsiTheme="minorEastAsia" w:eastAsiaTheme="minorEastAsia"/>
          <w:sz w:val="24"/>
          <w:szCs w:val="24"/>
        </w:rPr>
      </w:pPr>
      <w:r>
        <w:rPr>
          <w:rFonts w:asciiTheme="minorEastAsia" w:hAnsiTheme="minorEastAsia" w:eastAsiaTheme="minorEastAsia"/>
          <w:sz w:val="24"/>
          <w:szCs w:val="24"/>
        </w:rPr>
        <w:t xml:space="preserve">a. </w:t>
      </w:r>
      <w:r>
        <w:rPr>
          <w:rFonts w:hint="eastAsia" w:asciiTheme="minorEastAsia" w:hAnsiTheme="minorEastAsia" w:eastAsiaTheme="minorEastAsia"/>
          <w:sz w:val="24"/>
          <w:szCs w:val="24"/>
        </w:rPr>
        <w:t>系统设备的操作和管理。</w:t>
      </w:r>
    </w:p>
    <w:p>
      <w:pPr>
        <w:pageBreakBefore w:val="0"/>
        <w:widowControl w:val="0"/>
        <w:numPr>
          <w:ilvl w:val="0"/>
          <w:numId w:val="1"/>
        </w:numPr>
        <w:kinsoku/>
        <w:wordWrap/>
        <w:topLinePunct w:val="0"/>
        <w:autoSpaceDE/>
        <w:autoSpaceDN/>
        <w:bidi w:val="0"/>
        <w:adjustRightInd w:val="0"/>
        <w:snapToGrid w:val="0"/>
        <w:spacing w:after="0" w:line="240" w:lineRule="auto"/>
        <w:ind w:left="0" w:leftChars="0" w:right="0" w:firstLine="44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系统设备故障的排除。</w:t>
      </w:r>
    </w:p>
    <w:p>
      <w:pPr>
        <w:pageBreakBefore w:val="0"/>
        <w:widowControl w:val="0"/>
        <w:numPr>
          <w:ilvl w:val="0"/>
          <w:numId w:val="1"/>
        </w:numPr>
        <w:kinsoku/>
        <w:wordWrap/>
        <w:topLinePunct w:val="0"/>
        <w:autoSpaceDE/>
        <w:autoSpaceDN/>
        <w:bidi w:val="0"/>
        <w:adjustRightInd w:val="0"/>
        <w:snapToGrid w:val="0"/>
        <w:spacing w:after="0" w:line="240" w:lineRule="auto"/>
        <w:ind w:left="0" w:leftChars="0" w:right="0" w:firstLine="44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系统数据的定期备份和报警纪录的分析。</w:t>
      </w:r>
    </w:p>
    <w:p>
      <w:pPr>
        <w:pageBreakBefore w:val="0"/>
        <w:widowControl w:val="0"/>
        <w:numPr>
          <w:ilvl w:val="0"/>
          <w:numId w:val="1"/>
        </w:numPr>
        <w:kinsoku/>
        <w:wordWrap/>
        <w:topLinePunct w:val="0"/>
        <w:autoSpaceDE/>
        <w:autoSpaceDN/>
        <w:bidi w:val="0"/>
        <w:adjustRightInd w:val="0"/>
        <w:snapToGrid w:val="0"/>
        <w:spacing w:after="0" w:line="240" w:lineRule="auto"/>
        <w:ind w:left="0" w:leftChars="0" w:right="0" w:firstLine="44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乙方的最新产品及其性能介绍。</w:t>
      </w:r>
    </w:p>
    <w:p>
      <w:pPr>
        <w:pageBreakBefore w:val="0"/>
        <w:widowControl w:val="0"/>
        <w:numPr>
          <w:ilvl w:val="0"/>
          <w:numId w:val="1"/>
        </w:numPr>
        <w:kinsoku/>
        <w:wordWrap/>
        <w:topLinePunct w:val="0"/>
        <w:autoSpaceDE/>
        <w:autoSpaceDN/>
        <w:bidi w:val="0"/>
        <w:adjustRightInd w:val="0"/>
        <w:snapToGrid w:val="0"/>
        <w:spacing w:after="0" w:line="240" w:lineRule="auto"/>
        <w:ind w:left="0" w:leftChars="0" w:right="0" w:firstLine="44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培训时间分为每年四月和每年十月共两次进行。</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合同价款及支付方式</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、合同价款</w:t>
      </w:r>
    </w:p>
    <w:p>
      <w:pPr>
        <w:pageBreakBefore w:val="0"/>
        <w:kinsoku/>
        <w:wordWrap/>
        <w:topLinePunct w:val="0"/>
        <w:autoSpaceDE/>
        <w:autoSpaceDN/>
        <w:bidi w:val="0"/>
        <w:adjustRightInd w:val="0"/>
        <w:snapToGrid w:val="0"/>
        <w:spacing w:line="240" w:lineRule="auto"/>
        <w:ind w:left="0" w:leftChars="0" w:right="0" w:firstLine="360" w:firstLineChars="1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本合同定期维护保养服务费总价为人民币：</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、付款方式</w:t>
      </w:r>
    </w:p>
    <w:p>
      <w:pPr>
        <w:pageBreakBefore w:val="0"/>
        <w:kinsoku/>
        <w:wordWrap/>
        <w:topLinePunct w:val="0"/>
        <w:autoSpaceDE/>
        <w:autoSpaceDN/>
        <w:bidi w:val="0"/>
        <w:adjustRightInd w:val="0"/>
        <w:snapToGrid w:val="0"/>
        <w:spacing w:line="240" w:lineRule="auto"/>
        <w:ind w:left="0" w:leftChars="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）付款方式按季度支付，甲方应在每季度的下个月向乙方支付上季度维保费。</w:t>
      </w:r>
    </w:p>
    <w:p>
      <w:pPr>
        <w:pageBreakBefore w:val="0"/>
        <w:tabs>
          <w:tab w:val="left" w:pos="1260"/>
        </w:tabs>
        <w:kinsoku/>
        <w:wordWrap/>
        <w:topLinePunct w:val="0"/>
        <w:autoSpaceDE/>
        <w:autoSpaceDN/>
        <w:bidi w:val="0"/>
        <w:adjustRightInd w:val="0"/>
        <w:snapToGrid w:val="0"/>
        <w:spacing w:line="240" w:lineRule="auto"/>
        <w:ind w:left="0" w:leftChars="0" w:right="0" w:firstLine="360" w:firstLineChars="15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w:t>
      </w:r>
      <w:r>
        <w:rPr>
          <w:rFonts w:asciiTheme="minorEastAsia" w:hAnsiTheme="minorEastAsia" w:eastAsiaTheme="minorEastAsia"/>
          <w:color w:val="000000"/>
          <w:sz w:val="24"/>
          <w:szCs w:val="24"/>
          <w:lang w:val="zh-CN"/>
        </w:rPr>
        <w:t>2</w:t>
      </w:r>
      <w:r>
        <w:rPr>
          <w:rFonts w:hint="eastAsia" w:asciiTheme="minorEastAsia" w:hAnsiTheme="minorEastAsia" w:eastAsiaTheme="minorEastAsia"/>
          <w:color w:val="000000"/>
          <w:sz w:val="24"/>
          <w:szCs w:val="24"/>
          <w:lang w:val="zh-CN"/>
        </w:rPr>
        <w:t>）每个季度的下个月为支付期，甲方在收到乙方发票后，支付至乙方指定账户；</w:t>
      </w:r>
    </w:p>
    <w:p>
      <w:pPr>
        <w:pageBreakBefore w:val="0"/>
        <w:tabs>
          <w:tab w:val="left" w:pos="1260"/>
        </w:tabs>
        <w:kinsoku/>
        <w:wordWrap/>
        <w:topLinePunct w:val="0"/>
        <w:autoSpaceDE/>
        <w:autoSpaceDN/>
        <w:bidi w:val="0"/>
        <w:adjustRightInd w:val="0"/>
        <w:snapToGrid w:val="0"/>
        <w:spacing w:line="240" w:lineRule="auto"/>
        <w:ind w:left="0" w:leftChars="0" w:right="0" w:firstLine="360" w:firstLineChars="15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w:t>
      </w:r>
      <w:r>
        <w:rPr>
          <w:rFonts w:asciiTheme="minorEastAsia" w:hAnsiTheme="minorEastAsia" w:eastAsiaTheme="minorEastAsia"/>
          <w:color w:val="000000"/>
          <w:sz w:val="24"/>
          <w:szCs w:val="24"/>
          <w:lang w:val="zh-CN"/>
        </w:rPr>
        <w:t>3</w:t>
      </w:r>
      <w:r>
        <w:rPr>
          <w:rFonts w:hint="eastAsia" w:asciiTheme="minorEastAsia" w:hAnsiTheme="minorEastAsia" w:eastAsiaTheme="minorEastAsia"/>
          <w:color w:val="000000"/>
          <w:sz w:val="24"/>
          <w:szCs w:val="24"/>
          <w:lang w:val="zh-CN"/>
        </w:rPr>
        <w:t>）第</w:t>
      </w:r>
      <w:r>
        <w:rPr>
          <w:rFonts w:asciiTheme="minorEastAsia" w:hAnsiTheme="minorEastAsia" w:eastAsiaTheme="minorEastAsia"/>
          <w:color w:val="000000"/>
          <w:sz w:val="24"/>
          <w:szCs w:val="24"/>
          <w:lang w:val="zh-CN"/>
        </w:rPr>
        <w:t>12</w:t>
      </w:r>
      <w:r>
        <w:rPr>
          <w:rFonts w:hint="eastAsia" w:asciiTheme="minorEastAsia" w:hAnsiTheme="minorEastAsia" w:eastAsiaTheme="minorEastAsia"/>
          <w:color w:val="000000"/>
          <w:sz w:val="24"/>
          <w:szCs w:val="24"/>
          <w:lang w:val="zh-CN"/>
        </w:rPr>
        <w:t>期费用在合同期满后</w:t>
      </w:r>
      <w:r>
        <w:rPr>
          <w:rFonts w:asciiTheme="minorEastAsia" w:hAnsiTheme="minorEastAsia" w:eastAsiaTheme="minorEastAsia"/>
          <w:color w:val="000000"/>
          <w:sz w:val="24"/>
          <w:szCs w:val="24"/>
          <w:lang w:val="zh-CN"/>
        </w:rPr>
        <w:t>30</w:t>
      </w:r>
      <w:r>
        <w:rPr>
          <w:rFonts w:hint="eastAsia" w:asciiTheme="minorEastAsia" w:hAnsiTheme="minorEastAsia" w:eastAsiaTheme="minorEastAsia"/>
          <w:color w:val="000000"/>
          <w:sz w:val="24"/>
          <w:szCs w:val="24"/>
          <w:lang w:val="zh-CN"/>
        </w:rPr>
        <w:t>日内，甲方对乙方维保的设备进行检查，在确认乙方所维保的设备确实处于良好的运行状态及没有维保隐患时，甲方予以支付。</w:t>
      </w:r>
    </w:p>
    <w:p>
      <w:pPr>
        <w:pageBreakBefore w:val="0"/>
        <w:kinsoku/>
        <w:wordWrap/>
        <w:topLinePunct w:val="0"/>
        <w:autoSpaceDE/>
        <w:autoSpaceDN/>
        <w:bidi w:val="0"/>
        <w:adjustRightInd w:val="0"/>
        <w:snapToGrid w:val="0"/>
        <w:spacing w:line="240" w:lineRule="auto"/>
        <w:ind w:left="0" w:leftChars="0" w:right="0"/>
        <w:rPr>
          <w:rFonts w:hint="eastAsia"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、税费</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本合同所列维护保养价款含税，其他维修更换配件价格税点另计。</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color w:val="000000"/>
          <w:sz w:val="24"/>
          <w:szCs w:val="24"/>
          <w:lang w:val="zh-CN"/>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color w:val="000000"/>
          <w:sz w:val="24"/>
          <w:szCs w:val="24"/>
          <w:lang w:val="zh-CN"/>
        </w:rPr>
        <w:t>、其他</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a.</w:t>
      </w:r>
      <w:r>
        <w:rPr>
          <w:rFonts w:hint="eastAsia" w:asciiTheme="minorEastAsia" w:hAnsiTheme="minorEastAsia" w:eastAsiaTheme="minorEastAsia"/>
          <w:color w:val="000000"/>
          <w:sz w:val="24"/>
          <w:szCs w:val="24"/>
          <w:lang w:val="zh-CN"/>
        </w:rPr>
        <w:t>本合同所收取的维修保养费系消防系统每年维修保养的服务费用，当本工程发生其它费用时双方商定另行协商决定。</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b.</w:t>
      </w:r>
      <w:r>
        <w:rPr>
          <w:rFonts w:hint="eastAsia" w:asciiTheme="minorEastAsia" w:hAnsiTheme="minorEastAsia" w:eastAsiaTheme="minorEastAsia"/>
          <w:color w:val="000000"/>
          <w:sz w:val="24"/>
          <w:szCs w:val="24"/>
          <w:lang w:val="zh-CN"/>
        </w:rPr>
        <w:t>本合同所收取的维修保养费是在消防系统正常开通运行后的维护保养。</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en-US" w:eastAsia="zh-CN"/>
        </w:rPr>
        <w:t>c</w:t>
      </w:r>
      <w:r>
        <w:rPr>
          <w:rFonts w:asciiTheme="minorEastAsia" w:hAnsiTheme="minorEastAsia" w:eastAsiaTheme="minorEastAsia"/>
          <w:color w:val="000000"/>
          <w:sz w:val="24"/>
          <w:szCs w:val="24"/>
          <w:lang w:val="zh-CN"/>
        </w:rPr>
        <w:t>.</w:t>
      </w:r>
      <w:r>
        <w:rPr>
          <w:rFonts w:hint="eastAsia" w:asciiTheme="minorEastAsia" w:hAnsiTheme="minorEastAsia" w:eastAsiaTheme="minorEastAsia"/>
          <w:color w:val="000000"/>
          <w:sz w:val="24"/>
          <w:szCs w:val="24"/>
          <w:lang w:val="zh-CN"/>
        </w:rPr>
        <w:t>消防设备故障更换，经甲方确认后更换，常用设备更换后按照审核确定的常用备件价格清单（附件三）之价格按季度开票结算，清单未包括设备更换需通过报价竞价审核流程后实施。</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d.</w:t>
      </w:r>
      <w:r>
        <w:rPr>
          <w:rFonts w:hint="eastAsia" w:asciiTheme="minorEastAsia" w:hAnsiTheme="minorEastAsia" w:eastAsiaTheme="minorEastAsia"/>
          <w:color w:val="000000"/>
          <w:sz w:val="24"/>
          <w:szCs w:val="24"/>
          <w:lang w:val="zh-CN"/>
        </w:rPr>
        <w:t>经维修后的消防设施设备，必须按消防规范要求提供完整的维修记录、测试运行合格记录，经乙方和丙方双方技术人员确认后，做好完整的交、接手续，并移交给乙方继续维护管理。</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e.</w:t>
      </w:r>
      <w:r>
        <w:rPr>
          <w:rFonts w:hint="eastAsia" w:asciiTheme="minorEastAsia" w:hAnsiTheme="minorEastAsia" w:eastAsiaTheme="minorEastAsia"/>
          <w:color w:val="000000"/>
          <w:sz w:val="24"/>
          <w:szCs w:val="24"/>
          <w:lang w:val="zh-CN"/>
        </w:rPr>
        <w:t>本合同所收取的维修保养费为滁州市第一人民医院所有消防设备的壹年费用</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维修保养的费用，即：包括日常修理、保养维护等相关人工、现场常驻人员工资福利及培训费用及维护辅材费用；损坏、无效烟感探头更换及200元以内的零配件更换费用；油漆费用；重要部位、无人区探头清洗费用且不少于医院总探头数的30%。不包含防火门、到期灭火剂的修缮更换费用。</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f.</w:t>
      </w:r>
      <w:r>
        <w:rPr>
          <w:rFonts w:hint="eastAsia" w:asciiTheme="minorEastAsia" w:hAnsiTheme="minorEastAsia" w:eastAsiaTheme="minorEastAsia"/>
          <w:color w:val="000000"/>
          <w:sz w:val="24"/>
          <w:szCs w:val="24"/>
          <w:lang w:val="zh-CN"/>
        </w:rPr>
        <w:t>特殊服务由双方另行协商决定。</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g.</w:t>
      </w:r>
      <w:r>
        <w:rPr>
          <w:rFonts w:hint="eastAsia" w:asciiTheme="minorEastAsia" w:hAnsiTheme="minorEastAsia" w:eastAsiaTheme="minorEastAsia"/>
          <w:color w:val="000000"/>
          <w:sz w:val="24"/>
          <w:szCs w:val="24"/>
          <w:lang w:val="zh-CN"/>
        </w:rPr>
        <w:t>因消防维保工作有强烈的责任性、维护工作的经常性和延续性等特点。经双方</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b/>
          <w:color w:val="000000"/>
          <w:sz w:val="24"/>
          <w:szCs w:val="24"/>
          <w:lang w:val="zh-CN"/>
        </w:rPr>
      </w:pPr>
      <w:r>
        <w:rPr>
          <w:rFonts w:hint="eastAsia" w:asciiTheme="minorEastAsia" w:hAnsiTheme="minorEastAsia" w:eastAsiaTheme="minorEastAsia"/>
          <w:color w:val="000000"/>
          <w:sz w:val="24"/>
          <w:szCs w:val="24"/>
          <w:lang w:val="zh-CN"/>
        </w:rPr>
        <w:t>协商决定，在合同到期考评中未发生任何有关消防的安全责任事故的情况下，优先续订消防维护保养合同。</w:t>
      </w:r>
    </w:p>
    <w:p>
      <w:pPr>
        <w:pageBreakBefore w:val="0"/>
        <w:tabs>
          <w:tab w:val="left" w:pos="1260"/>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color w:val="000000"/>
          <w:sz w:val="24"/>
          <w:szCs w:val="24"/>
          <w:lang w:val="zh-CN"/>
        </w:rPr>
      </w:pPr>
      <w:r>
        <w:rPr>
          <w:rFonts w:hint="eastAsia" w:asciiTheme="minorEastAsia" w:hAnsiTheme="minorEastAsia" w:eastAsiaTheme="minorEastAsia"/>
          <w:b/>
          <w:color w:val="000000"/>
          <w:sz w:val="24"/>
          <w:szCs w:val="24"/>
          <w:lang w:val="zh-CN"/>
        </w:rPr>
        <w:t>第四条</w:t>
      </w:r>
      <w:r>
        <w:rPr>
          <w:rFonts w:asciiTheme="minorEastAsia" w:hAnsiTheme="minorEastAsia" w:eastAsiaTheme="minorEastAsia"/>
          <w:b/>
          <w:color w:val="000000"/>
          <w:sz w:val="24"/>
          <w:szCs w:val="24"/>
          <w:lang w:val="zh-CN"/>
        </w:rPr>
        <w:t xml:space="preserve"> </w:t>
      </w:r>
      <w:r>
        <w:rPr>
          <w:rFonts w:hint="eastAsia" w:asciiTheme="minorEastAsia" w:hAnsiTheme="minorEastAsia" w:eastAsiaTheme="minorEastAsia"/>
          <w:b/>
          <w:color w:val="000000"/>
          <w:sz w:val="24"/>
          <w:szCs w:val="24"/>
          <w:lang w:val="zh-CN"/>
        </w:rPr>
        <w:t>不可抗力</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b/>
          <w:color w:val="000000"/>
          <w:sz w:val="24"/>
          <w:szCs w:val="24"/>
          <w:lang w:val="zh-CN"/>
        </w:rPr>
      </w:pPr>
      <w:r>
        <w:rPr>
          <w:rFonts w:hint="eastAsia" w:asciiTheme="minorEastAsia" w:hAnsiTheme="minorEastAsia" w:eastAsiaTheme="minorEastAsia"/>
          <w:color w:val="000000"/>
          <w:sz w:val="24"/>
          <w:szCs w:val="24"/>
          <w:lang w:val="zh-CN"/>
        </w:rPr>
        <w:t>任何一方因《中华人民共和国合同法》所规定的不可抗力原因而不能履行全部或部分合同义务的，对另一方不承担任何责任。但受不可抗力影响的一方应尽快将所发生的事件通知对方，并在事件发生后的十五</w:t>
      </w:r>
      <w:r>
        <w:rPr>
          <w:rFonts w:asciiTheme="minorEastAsia" w:hAnsiTheme="minorEastAsia" w:eastAsiaTheme="minorEastAsia"/>
          <w:color w:val="000000"/>
          <w:sz w:val="24"/>
          <w:szCs w:val="24"/>
          <w:lang w:val="zh-CN"/>
        </w:rPr>
        <w:t>(15)</w:t>
      </w:r>
      <w:r>
        <w:rPr>
          <w:rFonts w:hint="eastAsia" w:asciiTheme="minorEastAsia" w:hAnsiTheme="minorEastAsia" w:eastAsiaTheme="minorEastAsia"/>
          <w:color w:val="000000"/>
          <w:sz w:val="24"/>
          <w:szCs w:val="24"/>
          <w:lang w:val="zh-CN"/>
        </w:rPr>
        <w:t>日内将有关部门出具的不可抗力事件的证明寄交对方。如不可抗力事件之影响超过一百八十</w:t>
      </w:r>
      <w:r>
        <w:rPr>
          <w:rFonts w:asciiTheme="minorEastAsia" w:hAnsiTheme="minorEastAsia" w:eastAsiaTheme="minorEastAsia"/>
          <w:color w:val="000000"/>
          <w:sz w:val="24"/>
          <w:szCs w:val="24"/>
          <w:lang w:val="zh-CN"/>
        </w:rPr>
        <w:t>(180)</w:t>
      </w:r>
      <w:r>
        <w:rPr>
          <w:rFonts w:hint="eastAsia" w:asciiTheme="minorEastAsia" w:hAnsiTheme="minorEastAsia" w:eastAsiaTheme="minorEastAsia"/>
          <w:color w:val="000000"/>
          <w:sz w:val="24"/>
          <w:szCs w:val="24"/>
          <w:lang w:val="zh-CN"/>
        </w:rPr>
        <w:t>日，任何一方有权终止本合同，甲方应立即向乙方支付乙方在本合同终止前已实际履行部分的价款。不可抗力包括但不限于天灾、动乱、暴动、冲突、非暴力反抗、武装冲突、战争（无论宣布与否）、恐怖活动等不可预见之事件。</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color w:val="000000"/>
          <w:sz w:val="24"/>
          <w:szCs w:val="24"/>
          <w:lang w:val="zh-CN"/>
        </w:rPr>
      </w:pPr>
      <w:r>
        <w:rPr>
          <w:rFonts w:hint="eastAsia" w:asciiTheme="minorEastAsia" w:hAnsiTheme="minorEastAsia" w:eastAsiaTheme="minorEastAsia"/>
          <w:b/>
          <w:color w:val="000000"/>
          <w:sz w:val="24"/>
          <w:szCs w:val="24"/>
          <w:lang w:val="zh-CN"/>
        </w:rPr>
        <w:t>第五条</w:t>
      </w:r>
      <w:r>
        <w:rPr>
          <w:rFonts w:asciiTheme="minorEastAsia" w:hAnsiTheme="minorEastAsia" w:eastAsiaTheme="minorEastAsia"/>
          <w:b/>
          <w:color w:val="000000"/>
          <w:sz w:val="24"/>
          <w:szCs w:val="24"/>
          <w:lang w:val="zh-CN"/>
        </w:rPr>
        <w:t xml:space="preserve"> </w:t>
      </w:r>
      <w:r>
        <w:rPr>
          <w:rFonts w:hint="eastAsia" w:asciiTheme="minorEastAsia" w:hAnsiTheme="minorEastAsia" w:eastAsiaTheme="minorEastAsia"/>
          <w:b/>
          <w:color w:val="000000"/>
          <w:sz w:val="24"/>
          <w:szCs w:val="24"/>
          <w:lang w:val="zh-CN"/>
        </w:rPr>
        <w:t>软件许可</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甲方承诺如有使用乙方所提供之软件的情形，应遵守乙方或其供应商之标准软件许可规定，并按照乙方提供的使用说明进行操作。甲方不得反向编制、拆解或反向操作乙方提供的任何软件。乙方及其供应商保留上述软件所包含的所有知识产权及该软件的所有权。如甲方对软件的使用超出许可范围，必须事先得到乙方的书面同意并另行支付费用。</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乙方承诺所提供之软件具有知识产权，如该软件涉及第三方利益或侵犯第三方知识产权的，则乙方承担全部法律责任。</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有限责任及三方权责</w:t>
      </w:r>
    </w:p>
    <w:p>
      <w:pPr>
        <w:pStyle w:val="31"/>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b w:val="0"/>
          <w:szCs w:val="24"/>
        </w:rPr>
      </w:pPr>
      <w:r>
        <w:rPr>
          <w:rFonts w:hint="eastAsia" w:asciiTheme="minorEastAsia" w:hAnsiTheme="minorEastAsia" w:eastAsiaTheme="minorEastAsia"/>
          <w:b w:val="0"/>
          <w:szCs w:val="24"/>
        </w:rPr>
        <w:t>本合同任一方依据法律或本合同所承担的赔偿责任应以其过失或产品瑕疵所造成的直接损失为限，任一方均不对他方或任何第三方由此而衍生之利润损失，营业机会损失或其他间接或附随之损失负责。</w:t>
      </w:r>
    </w:p>
    <w:p>
      <w:pPr>
        <w:pStyle w:val="31"/>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asciiTheme="minorEastAsia" w:hAnsiTheme="minorEastAsia" w:eastAsiaTheme="minorEastAsia"/>
          <w:b w:val="0"/>
          <w:szCs w:val="24"/>
        </w:rPr>
        <w:t>1</w:t>
      </w:r>
      <w:r>
        <w:rPr>
          <w:rFonts w:hint="eastAsia" w:asciiTheme="minorEastAsia" w:hAnsiTheme="minorEastAsia" w:eastAsiaTheme="minorEastAsia"/>
          <w:b w:val="0"/>
          <w:szCs w:val="24"/>
        </w:rPr>
        <w:t>、</w:t>
      </w:r>
      <w:r>
        <w:rPr>
          <w:rFonts w:asciiTheme="minorEastAsia" w:hAnsiTheme="minorEastAsia" w:eastAsiaTheme="minorEastAsia"/>
          <w:b w:val="0"/>
          <w:szCs w:val="24"/>
        </w:rPr>
        <w:t xml:space="preserve"> </w:t>
      </w:r>
      <w:r>
        <w:rPr>
          <w:rFonts w:hint="eastAsia" w:asciiTheme="minorEastAsia" w:hAnsiTheme="minorEastAsia" w:eastAsiaTheme="minorEastAsia"/>
          <w:b w:val="0"/>
          <w:szCs w:val="24"/>
        </w:rPr>
        <w:t>甲方应履行的职责</w:t>
      </w:r>
    </w:p>
    <w:p>
      <w:pPr>
        <w:pStyle w:val="31"/>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Cs w:val="24"/>
        </w:rPr>
      </w:pPr>
      <w:r>
        <w:rPr>
          <w:rFonts w:asciiTheme="minorEastAsia" w:hAnsiTheme="minorEastAsia" w:eastAsiaTheme="minorEastAsia"/>
          <w:b w:val="0"/>
          <w:szCs w:val="24"/>
        </w:rPr>
        <w:t xml:space="preserve">a.   </w:t>
      </w:r>
      <w:r>
        <w:rPr>
          <w:rFonts w:hint="eastAsia" w:asciiTheme="minorEastAsia" w:hAnsiTheme="minorEastAsia" w:eastAsiaTheme="minorEastAsia"/>
          <w:b w:val="0"/>
          <w:szCs w:val="24"/>
        </w:rPr>
        <w:t>依据所定的维修内容，按时支付维护费用。</w:t>
      </w:r>
    </w:p>
    <w:p>
      <w:pPr>
        <w:pStyle w:val="31"/>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Cs w:val="24"/>
        </w:rPr>
      </w:pPr>
      <w:r>
        <w:rPr>
          <w:rFonts w:asciiTheme="minorEastAsia" w:hAnsiTheme="minorEastAsia" w:eastAsiaTheme="minorEastAsia"/>
          <w:b w:val="0"/>
          <w:szCs w:val="24"/>
        </w:rPr>
        <w:t xml:space="preserve">b.   </w:t>
      </w:r>
      <w:r>
        <w:rPr>
          <w:rFonts w:hint="eastAsia" w:asciiTheme="minorEastAsia" w:hAnsiTheme="minorEastAsia" w:eastAsiaTheme="minorEastAsia"/>
          <w:b w:val="0"/>
          <w:szCs w:val="24"/>
        </w:rPr>
        <w:t>在乙方维护保养服务期间内，甲方应派员协助乙方作现场协调事宜。</w:t>
      </w:r>
    </w:p>
    <w:p>
      <w:pPr>
        <w:pStyle w:val="31"/>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Cs w:val="24"/>
        </w:rPr>
      </w:pPr>
      <w:r>
        <w:rPr>
          <w:rFonts w:asciiTheme="minorEastAsia" w:hAnsiTheme="minorEastAsia" w:eastAsiaTheme="minorEastAsia"/>
          <w:b w:val="0"/>
          <w:szCs w:val="24"/>
        </w:rPr>
        <w:t xml:space="preserve">c.   </w:t>
      </w:r>
      <w:r>
        <w:rPr>
          <w:rFonts w:hint="eastAsia" w:asciiTheme="minorEastAsia" w:hAnsiTheme="minorEastAsia" w:eastAsiaTheme="minorEastAsia"/>
          <w:b w:val="0"/>
          <w:szCs w:val="24"/>
        </w:rPr>
        <w:t>在乙方服务期间，甲方应确保提供设备及工作环境良好的安全因素；</w:t>
      </w:r>
    </w:p>
    <w:p>
      <w:pPr>
        <w:pStyle w:val="31"/>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Cs w:val="24"/>
        </w:rPr>
      </w:pPr>
      <w:r>
        <w:rPr>
          <w:rFonts w:asciiTheme="minorEastAsia" w:hAnsiTheme="minorEastAsia" w:eastAsiaTheme="minorEastAsia"/>
          <w:b w:val="0"/>
          <w:szCs w:val="24"/>
        </w:rPr>
        <w:t xml:space="preserve">d.   </w:t>
      </w:r>
      <w:r>
        <w:rPr>
          <w:rFonts w:hint="eastAsia" w:asciiTheme="minorEastAsia" w:hAnsiTheme="minorEastAsia" w:eastAsiaTheme="minorEastAsia"/>
          <w:b w:val="0"/>
          <w:szCs w:val="24"/>
        </w:rPr>
        <w:t>甲方应提供设备的相关图纸及资料给乙方参考。</w:t>
      </w:r>
    </w:p>
    <w:p>
      <w:pPr>
        <w:pStyle w:val="31"/>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asciiTheme="minorEastAsia" w:hAnsiTheme="minorEastAsia" w:eastAsiaTheme="minorEastAsia"/>
          <w:b w:val="0"/>
          <w:szCs w:val="24"/>
        </w:rPr>
        <w:t>2</w:t>
      </w:r>
      <w:r>
        <w:rPr>
          <w:rFonts w:hint="eastAsia" w:asciiTheme="minorEastAsia" w:hAnsiTheme="minorEastAsia" w:eastAsiaTheme="minorEastAsia"/>
          <w:b w:val="0"/>
          <w:szCs w:val="24"/>
        </w:rPr>
        <w:t>、乙方应履行的职责</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包括所有由乙方提供及认可之设备的服务</w:t>
      </w:r>
      <w:r>
        <w:rPr>
          <w:rFonts w:asciiTheme="minorEastAsia" w:hAnsiTheme="minorEastAsia" w:eastAsiaTheme="minorEastAsia"/>
          <w:b w:val="0"/>
          <w:szCs w:val="24"/>
        </w:rPr>
        <w:t>.</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在每次的服务完成后，乙方将提供维修工作单和服务报告给甲方；在年终维保服务完成后，乙方将提供维修保养报告、检测调校报告及服务验收报告给甲方备案。</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因服务不及时而造成的实际损失，乙方应承担相应责任。</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乙方应对不符合甲方要求或技术欠缺的乙方员工予以及时更换。</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因乙方违反本合同及附件之相关义务的任何一款，乙方应承担违约责任，每违反一款须向甲方支付合同总价的</w:t>
      </w:r>
      <w:r>
        <w:rPr>
          <w:rFonts w:asciiTheme="minorEastAsia" w:hAnsiTheme="minorEastAsia" w:eastAsiaTheme="minorEastAsia"/>
          <w:b w:val="0"/>
          <w:szCs w:val="24"/>
        </w:rPr>
        <w:t>1%</w:t>
      </w:r>
      <w:r>
        <w:rPr>
          <w:rFonts w:hint="eastAsia" w:asciiTheme="minorEastAsia" w:hAnsiTheme="minorEastAsia" w:eastAsiaTheme="minorEastAsia"/>
          <w:b w:val="0"/>
          <w:szCs w:val="24"/>
        </w:rPr>
        <w:t>的违约金，若违约金无法弥补甲方损失的，乙方还应予以赔偿。</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乙方维护保养过程中，由于故意或过失造成对原建筑或原成品产生破坏，根据造成的损失及损坏的程度，乙方应负责自费维修或赔偿不低于相同质量标准的设备金额。</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乙方负责维保工作人员的安全教育，检查工作人员的安全操作规范，避免发生设备及人员安全事故。若维保人员工作中发生安全事故由乙方自行责任，与甲方无关。</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协助甲方做好每年两次的消防演习工作。</w:t>
      </w:r>
    </w:p>
    <w:p>
      <w:pPr>
        <w:pStyle w:val="31"/>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asciiTheme="minorEastAsia" w:hAnsiTheme="minorEastAsia" w:eastAsiaTheme="minorEastAsia"/>
          <w:b w:val="0"/>
          <w:szCs w:val="24"/>
        </w:rPr>
        <w:t>3</w:t>
      </w:r>
      <w:r>
        <w:rPr>
          <w:rFonts w:hint="eastAsia" w:asciiTheme="minorEastAsia" w:hAnsiTheme="minorEastAsia" w:eastAsiaTheme="minorEastAsia"/>
          <w:b w:val="0"/>
          <w:szCs w:val="24"/>
        </w:rPr>
        <w:t>、丙方职责：</w:t>
      </w:r>
    </w:p>
    <w:p>
      <w:pPr>
        <w:pageBreakBefore w:val="0"/>
        <w:tabs>
          <w:tab w:val="left" w:pos="84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．监管方行使本合同的监管职责。</w:t>
      </w:r>
    </w:p>
    <w:p>
      <w:pPr>
        <w:pStyle w:val="31"/>
        <w:pageBreakBefore w:val="0"/>
        <w:kinsoku/>
        <w:wordWrap/>
        <w:topLinePunct w:val="0"/>
        <w:autoSpaceDE/>
        <w:autoSpaceDN/>
        <w:bidi w:val="0"/>
        <w:adjustRightInd w:val="0"/>
        <w:snapToGrid w:val="0"/>
        <w:spacing w:line="240" w:lineRule="auto"/>
        <w:ind w:left="0" w:leftChars="0" w:right="0" w:firstLine="120" w:firstLineChars="50"/>
        <w:rPr>
          <w:rFonts w:asciiTheme="minorEastAsia" w:hAnsiTheme="minorEastAsia" w:eastAsiaTheme="minorEastAsia"/>
          <w:b/>
          <w:sz w:val="24"/>
          <w:szCs w:val="24"/>
        </w:rPr>
      </w:pPr>
      <w:r>
        <w:rPr>
          <w:rFonts w:asciiTheme="minorEastAsia" w:hAnsiTheme="minorEastAsia" w:eastAsiaTheme="minorEastAsia"/>
          <w:szCs w:val="24"/>
        </w:rPr>
        <w:t xml:space="preserve">b. </w:t>
      </w:r>
      <w:r>
        <w:rPr>
          <w:rFonts w:hint="eastAsia" w:asciiTheme="minorEastAsia" w:hAnsiTheme="minorEastAsia" w:eastAsiaTheme="minorEastAsia"/>
          <w:szCs w:val="24"/>
        </w:rPr>
        <w:t>监管方受甲方委托，有权监督乙方按照合同约定履行服务保养义务，并对乙方的服务项目、服务内容和服务质量进行确认。</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知识产权和保密</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、乙方在履行本合同的过程中所形成的任何智力成果的知识产权归乙方所有，未经乙方书面同意，甲方不得使用或向第三方提供。</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、任何一方对在履行本合同时从对方获取的技术或商业信息负有保密的义务，未经对方书面同意，不得向任何第三方披露该保密信息。</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无论在合同有效期内或合同终止后任何时间，未经对方书面同意，均不得以任何方式不当地使用或向任何第三方泄露、出售、出租、转让、许可使用或共享。违反本条规定给对方造成损失的，违约方应负相关的法律责任。</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适用法律和仲裁</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、本合同适用中华人民共和国现行相关法律。</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、所有有关本合同的解释和履行的争议将通过友好协商解决。如果争议未能在双方协商开始后六十</w:t>
      </w:r>
      <w:r>
        <w:rPr>
          <w:rFonts w:asciiTheme="minorEastAsia" w:hAnsiTheme="minorEastAsia" w:eastAsiaTheme="minorEastAsia"/>
          <w:sz w:val="24"/>
          <w:szCs w:val="24"/>
        </w:rPr>
        <w:t>(60)</w:t>
      </w:r>
      <w:r>
        <w:rPr>
          <w:rFonts w:hint="eastAsia" w:asciiTheme="minorEastAsia" w:hAnsiTheme="minorEastAsia" w:eastAsiaTheme="minorEastAsia"/>
          <w:sz w:val="24"/>
          <w:szCs w:val="24"/>
        </w:rPr>
        <w:t>天内解决，则任何一方可向</w:t>
      </w:r>
      <w:r>
        <w:rPr>
          <w:rFonts w:hint="eastAsia" w:asciiTheme="minorEastAsia" w:hAnsiTheme="minorEastAsia" w:eastAsiaTheme="minorEastAsia"/>
          <w:sz w:val="24"/>
          <w:szCs w:val="24"/>
          <w:lang w:eastAsia="zh-CN"/>
        </w:rPr>
        <w:t>滁州市</w:t>
      </w:r>
      <w:bookmarkStart w:id="34" w:name="_GoBack"/>
      <w:bookmarkEnd w:id="34"/>
      <w:r>
        <w:rPr>
          <w:rFonts w:hint="eastAsia" w:asciiTheme="minorEastAsia" w:hAnsiTheme="minorEastAsia" w:eastAsiaTheme="minorEastAsia"/>
          <w:sz w:val="24"/>
          <w:szCs w:val="24"/>
        </w:rPr>
        <w:t>人民法院提起诉讼，诉讼费用应由败诉方承担。</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当双方产生任何争议及任何争议正在诉讼过程中时，除争议事项外，双方可继续行使其在本合同项下的其他权利，并应履行其在本合同项下的其他义务。</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b/>
          <w:sz w:val="24"/>
          <w:szCs w:val="24"/>
        </w:rPr>
        <w:t>第九条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合同的终止与解除</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．违约终止合同</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在招标人因维保方违约，可在下列情况下向维保方发出书面通知，提出终止部分或全部合同。（</w:t>
      </w:r>
      <w:r>
        <w:rPr>
          <w:rFonts w:asciiTheme="minorEastAsia" w:hAnsiTheme="minorEastAsia" w:eastAsiaTheme="minorEastAsia"/>
          <w:sz w:val="24"/>
          <w:szCs w:val="24"/>
        </w:rPr>
        <w:t>1</w:t>
      </w:r>
      <w:r>
        <w:rPr>
          <w:rFonts w:hint="eastAsia" w:asciiTheme="minorEastAsia" w:hAnsiTheme="minorEastAsia" w:eastAsiaTheme="minorEastAsia"/>
          <w:sz w:val="24"/>
          <w:szCs w:val="24"/>
        </w:rPr>
        <w:t>）如果维保方未能在合同规定的限期或招标人同意延长的限期内提供部分或全部货物和服务。（</w:t>
      </w:r>
      <w:r>
        <w:rPr>
          <w:rFonts w:asciiTheme="minorEastAsia" w:hAnsiTheme="minorEastAsia" w:eastAsiaTheme="minorEastAsia"/>
          <w:sz w:val="24"/>
          <w:szCs w:val="24"/>
        </w:rPr>
        <w:t>2</w:t>
      </w:r>
      <w:r>
        <w:rPr>
          <w:rFonts w:hint="eastAsia" w:asciiTheme="minorEastAsia" w:hAnsiTheme="minorEastAsia" w:eastAsiaTheme="minorEastAsia"/>
          <w:sz w:val="24"/>
          <w:szCs w:val="24"/>
        </w:rPr>
        <w:t>）如果维保方未能履行合同规定的其它任何义务。（</w:t>
      </w:r>
      <w:r>
        <w:rPr>
          <w:rFonts w:asciiTheme="minorEastAsia" w:hAnsiTheme="minorEastAsia" w:eastAsiaTheme="minorEastAsia"/>
          <w:sz w:val="24"/>
          <w:szCs w:val="24"/>
        </w:rPr>
        <w:t>3</w:t>
      </w:r>
      <w:r>
        <w:rPr>
          <w:rFonts w:hint="eastAsia" w:asciiTheme="minorEastAsia" w:hAnsiTheme="minorEastAsia" w:eastAsiaTheme="minorEastAsia"/>
          <w:sz w:val="24"/>
          <w:szCs w:val="24"/>
        </w:rPr>
        <w:t>）如果维保方在本合同的竞争或实施中有腐败和欺诈行为。</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如果招标人根据上款的规定，终止了全部或部分合同，招标人可以依其认为适当的条件和方法购买与未交货物或服务类似的货物或服务，维保方应对招标人购买类似货物或服务所超出的那部分费用负责。维保方提交的履约保证金将被作为招标人采取上述补救措施的购买资金的一部分。并且，维保方应继续履行合同中未终止的部分。</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如果需方违约，应承担相应的违约责任。</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破产终止合同：如果维保方破产或丧失清偿能力，采购人可在任何时候以书面形式通知维保方终止合同而不给供应商补偿。该终止合同将不损害或影响采购人已经采取或将要采取任何补救措施的权力。</w:t>
      </w:r>
      <w:r>
        <w:rPr>
          <w:rFonts w:cs="Calibri" w:asciiTheme="minorEastAsia" w:hAnsiTheme="minorEastAsia" w:eastAsiaTheme="minorEastAsia"/>
          <w:sz w:val="24"/>
          <w:szCs w:val="24"/>
        </w:rPr>
        <w:t>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合同的解除：</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有下列情形之一，合同一方可以解除合同：</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因不可抗力致使不能实现合同目的，未受不可抗力影响的一方有权解除合同；</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因合同一方违约导致合同不能履行，另一方有权解除合同；</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有权解除合同的一方，应当在违约事实或不可抗力发生之后三十天内书面通知对方以主张解除合同，合同在书面通知到达对方时解除。</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第十条、合同附件：</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下列文件构成本合同不可分割的组成部分，与本合同具有同等法律效力：</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招标文件及澄清、补遗文件；</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供方的投标文件、在投标期间提交的书面澄清、说明、补正文件和售后服务承诺书；</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中标通知书；</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4 </w:t>
      </w:r>
      <w:r>
        <w:rPr>
          <w:rFonts w:hint="eastAsia" w:asciiTheme="minorEastAsia" w:hAnsiTheme="minorEastAsia" w:eastAsiaTheme="minorEastAsia"/>
          <w:sz w:val="24"/>
          <w:szCs w:val="24"/>
        </w:rPr>
        <w:t>合同的其他附件。</w:t>
      </w:r>
      <w:r>
        <w:rPr>
          <w:rFonts w:cs="Calibri" w:asciiTheme="minorEastAsia" w:hAnsiTheme="minorEastAsia" w:eastAsiaTheme="minorEastAsia"/>
          <w:sz w:val="24"/>
          <w:szCs w:val="24"/>
        </w:rPr>
        <w:t> </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第十一条、合同生效及其它：</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、合同生效</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合同经甲乙双方法定代表人或授权代表签字并加盖公章（或合同章）后即生效。</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、其他</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a. </w:t>
      </w:r>
      <w:r>
        <w:rPr>
          <w:rFonts w:hint="eastAsia" w:asciiTheme="minorEastAsia" w:hAnsiTheme="minorEastAsia" w:eastAsiaTheme="minorEastAsia"/>
          <w:sz w:val="24"/>
          <w:szCs w:val="24"/>
        </w:rPr>
        <w:t>合同份数</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本合同一式</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陆</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份，甲方执</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叁</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份，乙方执</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叁</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b. </w:t>
      </w:r>
      <w:r>
        <w:rPr>
          <w:rFonts w:hint="eastAsia" w:asciiTheme="minorEastAsia" w:hAnsiTheme="minorEastAsia" w:eastAsiaTheme="minorEastAsia"/>
          <w:sz w:val="24"/>
          <w:szCs w:val="24"/>
        </w:rPr>
        <w:t>本合同的附件是本合同不可分割的组成部分，与本合同具有同等效力。</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c. </w:t>
      </w:r>
      <w:r>
        <w:rPr>
          <w:rFonts w:hint="eastAsia" w:asciiTheme="minorEastAsia" w:hAnsiTheme="minorEastAsia" w:eastAsiaTheme="minorEastAsia"/>
          <w:sz w:val="24"/>
          <w:szCs w:val="24"/>
        </w:rPr>
        <w:t>本合同生效后，双方对本合同及附件进行修改、补充、变更的书面文件为本合同的组成部分，与本合同具有同等法律效力。</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d. </w:t>
      </w:r>
      <w:r>
        <w:rPr>
          <w:rFonts w:hint="eastAsia" w:asciiTheme="minorEastAsia" w:hAnsiTheme="minorEastAsia" w:eastAsiaTheme="minorEastAsia"/>
          <w:sz w:val="24"/>
          <w:szCs w:val="24"/>
        </w:rPr>
        <w:t>未尽事宜</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本合同未尽事宜应按《中华人民共和国合同法》、《中华人民共和国政府采购法》等相关法律法规执行。</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p>
    <w:p>
      <w:pPr>
        <w:pageBreakBefore w:val="0"/>
        <w:tabs>
          <w:tab w:val="left" w:pos="330"/>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ab/>
      </w:r>
    </w:p>
    <w:p>
      <w:pPr>
        <w:pageBreakBefore w:val="0"/>
        <w:tabs>
          <w:tab w:val="left" w:pos="330"/>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甲方：滁州市第一人民医院                 乙方： </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bCs/>
          <w:sz w:val="24"/>
          <w:szCs w:val="24"/>
        </w:rPr>
      </w:pP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bCs/>
          <w:sz w:val="24"/>
          <w:szCs w:val="24"/>
        </w:rPr>
      </w:pPr>
    </w:p>
    <w:p>
      <w:pPr>
        <w:pageBreakBefore w:val="0"/>
        <w:tabs>
          <w:tab w:val="left" w:pos="6315"/>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bCs/>
          <w:sz w:val="24"/>
          <w:szCs w:val="24"/>
        </w:rPr>
      </w:pP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bCs/>
          <w:sz w:val="24"/>
          <w:szCs w:val="24"/>
        </w:rPr>
        <w:t>年   月    日</w:t>
      </w:r>
      <w:r>
        <w:rPr>
          <w:rFonts w:asciiTheme="minorEastAsia" w:hAnsiTheme="minorEastAsia" w:eastAsiaTheme="minorEastAsia"/>
          <w:bCs/>
          <w:sz w:val="24"/>
          <w:szCs w:val="24"/>
        </w:rPr>
        <w:tab/>
      </w:r>
      <w:r>
        <w:rPr>
          <w:rFonts w:hint="eastAsia" w:asciiTheme="minorEastAsia" w:hAnsiTheme="minorEastAsia" w:eastAsiaTheme="minorEastAsia"/>
          <w:bCs/>
          <w:sz w:val="24"/>
          <w:szCs w:val="24"/>
        </w:rPr>
        <w:t>年    月    日</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bCs/>
          <w:sz w:val="24"/>
          <w:szCs w:val="24"/>
        </w:rPr>
      </w:pP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b/>
          <w:bCs/>
          <w:sz w:val="24"/>
          <w:szCs w:val="24"/>
          <w:lang w:eastAsia="zh-CN"/>
        </w:rPr>
        <w:t>合同</w:t>
      </w:r>
      <w:r>
        <w:rPr>
          <w:rFonts w:hint="eastAsia" w:asciiTheme="minorEastAsia" w:hAnsiTheme="minorEastAsia" w:eastAsiaTheme="minorEastAsia"/>
          <w:b/>
          <w:bCs/>
          <w:sz w:val="24"/>
          <w:szCs w:val="24"/>
        </w:rPr>
        <w:t>附件：</w:t>
      </w:r>
    </w:p>
    <w:p>
      <w:pPr>
        <w:pStyle w:val="3"/>
        <w:pageBreakBefore w:val="0"/>
        <w:numPr>
          <w:ilvl w:val="1"/>
          <w:numId w:val="0"/>
        </w:numPr>
        <w:tabs>
          <w:tab w:val="left" w:pos="576"/>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 w:val="24"/>
          <w:szCs w:val="24"/>
        </w:rPr>
      </w:pPr>
      <w:bookmarkStart w:id="31" w:name="_维保费用收取表及维保合同书"/>
      <w:bookmarkEnd w:id="31"/>
      <w:bookmarkStart w:id="32" w:name="_维护保养项目具体内容计划书"/>
      <w:bookmarkEnd w:id="32"/>
      <w:bookmarkStart w:id="33" w:name="_3.1维保费用收取表"/>
      <w:bookmarkEnd w:id="33"/>
      <w:r>
        <w:rPr>
          <w:rFonts w:asciiTheme="minorEastAsia" w:hAnsiTheme="minorEastAsia" w:eastAsiaTheme="minorEastAsia"/>
          <w:b w:val="0"/>
          <w:sz w:val="24"/>
          <w:szCs w:val="24"/>
        </w:rPr>
        <w:t xml:space="preserve">1. </w:t>
      </w:r>
      <w:r>
        <w:rPr>
          <w:rFonts w:hint="eastAsia" w:asciiTheme="minorEastAsia" w:hAnsiTheme="minorEastAsia" w:eastAsiaTheme="minorEastAsia"/>
          <w:b w:val="0"/>
          <w:sz w:val="24"/>
          <w:szCs w:val="24"/>
        </w:rPr>
        <w:t>维护保养项目具体内容计划书</w:t>
      </w:r>
    </w:p>
    <w:p>
      <w:pPr>
        <w:pageBreakBefore w:val="0"/>
        <w:widowControl w:val="0"/>
        <w:numPr>
          <w:ilvl w:val="0"/>
          <w:numId w:val="3"/>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火灾自动报警系统的维护保养</w:t>
      </w:r>
    </w:p>
    <w:p>
      <w:pPr>
        <w:pageBreakBefore w:val="0"/>
        <w:widowControl w:val="0"/>
        <w:numPr>
          <w:ilvl w:val="0"/>
          <w:numId w:val="4"/>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每月检查和试验火灾自动报警系统的下列功能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）、检查复位、消音、故障报警等功能是否正常、如发现不正常，做好记录并及时处理。</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）、试验火灾报警装置的声、光显示是否正常。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）、主电源和备用电源自动转换试验，检查其功能是否正常。</w:t>
      </w:r>
    </w:p>
    <w:p>
      <w:pPr>
        <w:pageBreakBefore w:val="0"/>
        <w:widowControl w:val="0"/>
        <w:numPr>
          <w:ilvl w:val="0"/>
          <w:numId w:val="4"/>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每季检查和试验火灾自动报警系统的下列问题</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）、采用加烟（或加温）的方法分期分批（</w:t>
      </w:r>
      <w:r>
        <w:rPr>
          <w:rFonts w:asciiTheme="minorEastAsia" w:hAnsiTheme="minorEastAsia" w:eastAsiaTheme="minorEastAsia"/>
          <w:sz w:val="24"/>
          <w:szCs w:val="24"/>
        </w:rPr>
        <w:t>10%</w:t>
      </w:r>
      <w:r>
        <w:rPr>
          <w:rFonts w:hint="eastAsia" w:asciiTheme="minorEastAsia" w:hAnsiTheme="minorEastAsia" w:eastAsiaTheme="minorEastAsia"/>
          <w:sz w:val="24"/>
          <w:szCs w:val="24"/>
        </w:rPr>
        <w:t>）试验探测器的动作是否正常，及确认显示。试验中发现有故障或失效的探测器应及时拆换。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）、试验火灾报警装置的声、光显示是否正常。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）、主电源和备用电源自动转换试验，检查其功能是否正常。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）、检查手动</w:t>
      </w:r>
      <w:r>
        <w:rPr>
          <w:rFonts w:asciiTheme="minorEastAsia" w:hAnsiTheme="minorEastAsia" w:eastAsiaTheme="minorEastAsia"/>
          <w:sz w:val="24"/>
          <w:szCs w:val="24"/>
        </w:rPr>
        <w:t>/</w:t>
      </w:r>
      <w:r>
        <w:rPr>
          <w:rFonts w:hint="eastAsia" w:asciiTheme="minorEastAsia" w:hAnsiTheme="minorEastAsia" w:eastAsiaTheme="minorEastAsia"/>
          <w:sz w:val="24"/>
          <w:szCs w:val="24"/>
        </w:rPr>
        <w:t>自动转动开关，如电源转换开关、灭火转换开关等是否正常。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）、直观检查所有消防用电</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的动力线、控制线、报警信号传输线、接地线、接线盒及设备等是否出于安全无损状态。</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）、巡视检查探测器、手动报警按钮和指示装置的位置是否准确，有无缺漏、脱落和丢失，每个探测器的下方及周围各方向，手动报警按钮的周围是否有规定的空白空间。</w:t>
      </w:r>
    </w:p>
    <w:p>
      <w:pPr>
        <w:pageBreakBefore w:val="0"/>
        <w:widowControl w:val="0"/>
        <w:numPr>
          <w:ilvl w:val="0"/>
          <w:numId w:val="4"/>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每年检查和试验火灾报警系统的下列功能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）、采用加烟（或加温）的方法对安装的所有探测器完成检查试验一遍。</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）、主电源和备用电源自动转换试验，查其功能是否正常。</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）、检查手动</w:t>
      </w:r>
      <w:r>
        <w:rPr>
          <w:rFonts w:asciiTheme="minorEastAsia" w:hAnsiTheme="minorEastAsia" w:eastAsiaTheme="minorEastAsia"/>
          <w:sz w:val="24"/>
          <w:szCs w:val="24"/>
        </w:rPr>
        <w:t>/</w:t>
      </w:r>
      <w:r>
        <w:rPr>
          <w:rFonts w:hint="eastAsia" w:asciiTheme="minorEastAsia" w:hAnsiTheme="minorEastAsia" w:eastAsiaTheme="minorEastAsia"/>
          <w:sz w:val="24"/>
          <w:szCs w:val="24"/>
        </w:rPr>
        <w:t>自动开关，如电源转换开关、灭火转换开关等是否正常。</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）、检查所用接线端子是否有松动、破损和脱落现象。</w:t>
      </w:r>
    </w:p>
    <w:p>
      <w:pPr>
        <w:pageBreakBefore w:val="0"/>
        <w:widowControl w:val="0"/>
        <w:numPr>
          <w:ilvl w:val="0"/>
          <w:numId w:val="3"/>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室内消火栓系统的日常维护</w:t>
      </w:r>
    </w:p>
    <w:p>
      <w:pPr>
        <w:pageBreakBefore w:val="0"/>
        <w:widowControl w:val="0"/>
        <w:numPr>
          <w:ilvl w:val="0"/>
          <w:numId w:val="5"/>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）、检查消火栓箱内设备是否齐全，是否破损、老化、霉变。</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）、外观检查管道、阀门有无漏水，阀门是否位于开启状态。</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）、检查破玻按钮外观有无破损，远程启动水泵测试。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）、检查水泵控制箱所处空置状态是否正确。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）、消防水泵手动、自动状态下启动水泵试验。</w:t>
      </w:r>
    </w:p>
    <w:p>
      <w:pPr>
        <w:pageBreakBefore w:val="0"/>
        <w:widowControl w:val="0"/>
        <w:numPr>
          <w:ilvl w:val="0"/>
          <w:numId w:val="5"/>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每季检查项目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）、检查破玻按钮外观有无破损，远程启动水泵测试。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）、检查水泵控制箱所处空置状态是否正确。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）、消防水泵手动、自动状态下启动水泵试验。</w:t>
      </w:r>
    </w:p>
    <w:p>
      <w:pPr>
        <w:pageBreakBefore w:val="0"/>
        <w:widowControl w:val="0"/>
        <w:numPr>
          <w:ilvl w:val="0"/>
          <w:numId w:val="5"/>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）检查电动机是否损伤、锈蚀、机械性能是否良好。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）检查水泵轴与电动机连接部位是否松动、变形、损伤和严重锈蚀。</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）检查轴承润滑油是否加足，油污严重污染、变质现象，用手转动检查转动是否正常。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）检查继电器是否脱落、松动，接触器接点是否烧损。</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三、自动水喷淋灭火系统</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）、消防水池、消防水箱及消防气压给水设备应每月检查一次，对其消防设备水位及消防气压给谁设备的气体压力进行检查，并应保证消防用水不被挪作他用的措施进行检查，发现故障，应及时进行处理。</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）、消防水泵应每月启动运转一次，当消防水泵未自动控制启动时，应每月模拟自动控制的条件启动运转一次。</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）、电磁阀应每月检查并运作启动试验，动作失常时应及时更换。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）、每月应对系统上所有的铅封、锁链进行一次检查，当有损坏时，应及时修理或更换。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）、消防水泵接合器的接口机附件应每月检查一次，并应保证接口完好、无渗漏、闷盖齐全。</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）、每月应对喷头进行一次外观检查，当发现有不正常的喷头应及时更换，当喷头上有异物时应及时清除。更换或安装喷头均应使用专业扳手。</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每季检查项目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）、每季度应对报警阀旁的放水试验阀进行一次供水试验，验证系统的供水能力。</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）、室外阀门井中，进水管上的控制阀门应每个季度检查一次，核实处于全开启状态。</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）、每年应对水源的供水能力进行一次测定。</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）、每年应对消防储水设备进行检查，修补缺损和重新油漆。</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喷头的检查和维护方法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）、外观检查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检查喷头有无损坏、锈蚀、漏水现象，如存在应及时维修或更换。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）、抽样检查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使用年限较长的系统，应按要求对喷头进行检查，不符合喷头产品要求的喷头要更换。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）、维护</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对轻质粉尘可用空气吹除或用软布摖净，对容易形成结垢的尘埃，如喷漆雾粒、水泥粉等不易消除，只能分批拆换喷头，集中清理，但不能用酸或碱溶液洗刷易溶元件洒水喷头，也不要用热水或热的溶液洗刷。</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管路系统的检查与维护方法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）、外观检查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检查管道有无机械损伤、尤其脱落、锈蚀等，管道固定是否牢固，发现问题应及时处理。</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）、消除堵塞</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自动喷水灭火系统管路中，可能因施工疏忽残留有沙石木屑或水源带来的垃圾，铁锈等，这样会造成喷头堵塞、报警阀关闭不严、水力警铃输水管道堵塞等，从而影响灭火效果，如发现管路有沉积物，应及时冲洗。</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）、防漏措施</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平时严禁将管子用作其他支撑，拆装喷头时必须按操作规程应用合适工具，切忌直接钳住喷头悬臂进行扭紧或拧松，管路的防腐涂层应视情况而定，一般每隔</w:t>
      </w:r>
      <w:r>
        <w:rPr>
          <w:rFonts w:asciiTheme="minorEastAsia" w:hAnsiTheme="minorEastAsia" w:eastAsiaTheme="minorEastAsia"/>
          <w:sz w:val="24"/>
          <w:szCs w:val="24"/>
        </w:rPr>
        <w:t>3</w:t>
      </w:r>
      <w:r>
        <w:rPr>
          <w:rFonts w:hint="eastAsia" w:asciiTheme="minorEastAsia" w:hAnsiTheme="minorEastAsia" w:eastAsiaTheme="minorEastAsia"/>
          <w:sz w:val="24"/>
          <w:szCs w:val="24"/>
        </w:rPr>
        <w:t>—5重新涂刷一次。</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报警阀的检查与维护方法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）、开阀试验</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对报警阀应进行开阀试验，观察阀门开启性能和密封性能，一级水力警铃、延迟器等性能。此试验可通过末端实验装置进行。如发现阀门开启不畅或密封不严，可拆卸阀门检查，视情况调换阀瓣密封件。</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）、对安装的压力表定期检查，检查报警阀前、后压力表指示是否正常。</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水源及水泵的检查与维护</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）、检查消防水池的水位能否保持消防用水量，水位标尺是否正常工作、水池各种阀门是否处于正常状态，有无受冻的可能。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）、检查消防水箱的水量是否满足要求，消防气压给水装置能否保证水量和水压，自动控制系统能否正常工作。</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）、检查消防水泵能否正常运转，流量和压力能否保证，消防水泵的动力是否可靠，电力上有无保证不间断供电设施，其性能是否良好。检查消防水泵接合器是否正常，罚金的室外消火栓使用是否便利。</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系统功能检查与维护</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应按照各类系统的设计规定，通过末端试验装置喷水试验，对系统功能进行检查，即检查各种组件在或者状态时，能否按设计要求动作，火灾报警设备是否正常，如发现系统有不正常的部件时，应及时进行维修，知道系统全部功能正常。</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使用环境监察与维护</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使用环境及保护对象北人为的做了不恰当的改变，往往会成为对系统功能的损害因素，例如在仓库内货物堆放高度不当增大而阻挡了喷头的喷洒范围。喷头被耍起而迟延了动作灵敏度等，因而对使用环境和条件要定期检查，不符合要求的要改正。</w:t>
      </w:r>
    </w:p>
    <w:p>
      <w:pPr>
        <w:pageBreakBefore w:val="0"/>
        <w:widowControl w:val="0"/>
        <w:numPr>
          <w:ilvl w:val="0"/>
          <w:numId w:val="3"/>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水炮系统日常检查、维护管理</w:t>
      </w:r>
    </w:p>
    <w:p>
      <w:pPr>
        <w:pageBreakBefore w:val="0"/>
        <w:widowControl w:val="0"/>
        <w:numPr>
          <w:ilvl w:val="0"/>
          <w:numId w:val="7"/>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外观检查</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）、水炮有无变形、损伤，周围有无影响探测器工作的障碍。</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）、用于自动启动装置水炮红外探测器变形、损伤，安装是否松动脱落，手动启动装置的操作箱有无变形、损伤。手柄、操作杆等有无损伤、脱落。操作部位标杆有无破损、脏污、脱落，有无使用方法的说明。</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）、水炮有无变形、损伤。支撑是否松动。是否与可燃物接触。</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）、水泡电控箱、控制柜</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①、周围有无可燃物，安装螺栓是否松动、损伤。</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②、传动结构是否变形、损伤；控制柜是否与外壳接触；</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③、电动阀的界限是否松动；电动阀的外壳有无锈蚀现象；</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④、电源的供电是否正常（检查电压表或电源指示灯）</w:t>
      </w:r>
    </w:p>
    <w:p>
      <w:pPr>
        <w:pageBreakBefore w:val="0"/>
        <w:widowControl w:val="0"/>
        <w:numPr>
          <w:ilvl w:val="0"/>
          <w:numId w:val="7"/>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性能检查</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）、水炮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①、进行手动启闭操作，检查是否可以完全打开喷水；</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②、水炮的旋转、操作盘、安装是否锈蚀，有无杂物粘附；</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③、水泡机构是否灵活，是否完全打开；</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④、制动机构是否符合要求；</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⑤、部位是否锈蚀、粘附灰尘。</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）、启动装置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①、打开启动盘，检查有无变形、损伤及动作异常，用万用表检查电源情况；</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②、开关内有无变形、损伤、脱落，开关位置是否正常；接线盒子是否松动、脱落；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③、保险丝的容量是否符合送风（排烟）风机的性能要求，是否损伤、脱落，有无备件；</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④、继电器是否脱落，端子是否松动，接点是否烧损，有无灰尘粘附，动作是否正常；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⑤、导线连接是否牢固，有无脱落。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）、自动启动装置的火灾探测器端子，引线是否断线、松动。</w:t>
      </w:r>
    </w:p>
    <w:p>
      <w:pPr>
        <w:pageBreakBefore w:val="0"/>
        <w:widowControl w:val="0"/>
        <w:numPr>
          <w:ilvl w:val="0"/>
          <w:numId w:val="7"/>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综合检查</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操作手动或自动启动装置，进行每个水炮的动作试验，检查下列事项：</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）、手动或自动能否完成启动；</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）、运转电流是否正常；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）、运转中是否有不规则或不连线杂音及异常振动。</w:t>
      </w:r>
    </w:p>
    <w:p>
      <w:pPr>
        <w:pageBreakBefore w:val="0"/>
        <w:widowControl w:val="0"/>
        <w:numPr>
          <w:ilvl w:val="0"/>
          <w:numId w:val="3"/>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气体灭火维护保养</w:t>
      </w:r>
    </w:p>
    <w:p>
      <w:pPr>
        <w:pageBreakBefore w:val="0"/>
        <w:widowControl w:val="0"/>
        <w:numPr>
          <w:ilvl w:val="0"/>
          <w:numId w:val="8"/>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每月检查、测试内容</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）、检查、测试气体灭火手动按钮功能是否正常；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）、检查、测试声光报警工作是否正常；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）、检查、测试是否平稳，有无卡死、停顿现象。</w:t>
      </w:r>
    </w:p>
    <w:p>
      <w:pPr>
        <w:pageBreakBefore w:val="0"/>
        <w:widowControl w:val="0"/>
        <w:numPr>
          <w:ilvl w:val="0"/>
          <w:numId w:val="8"/>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每季检查、测试内容</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）、加烟、加温测试烟、温感报警并联动气体灭火动作是否正常；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）、检查、测试气体灭火手动按钮功能是否正常；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）、检查、测试声光报警工作是否正常；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）、检查、测试是否平稳，有无卡死、停机现象。</w:t>
      </w:r>
    </w:p>
    <w:p>
      <w:pPr>
        <w:pageBreakBefore w:val="0"/>
        <w:widowControl w:val="0"/>
        <w:numPr>
          <w:ilvl w:val="0"/>
          <w:numId w:val="8"/>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每年检查、测试内容</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）、加烟、加温测试烟、温感报警并联动气体灭火动作是否正常；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）、检查、测试声光报警工作是否正常；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）、检查、测试防火卷帘门两侧手动按钮功能是否正常；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）、检查、测试卷帘门升降是否平稳，有无卡死、停机现象；</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）、检查控制箱显示是否正常。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每月、季、年维修保养计划</w:t>
      </w:r>
    </w:p>
    <w:p>
      <w:pPr>
        <w:pageBreakBefore w:val="0"/>
        <w:widowControl w:val="0"/>
        <w:numPr>
          <w:ilvl w:val="0"/>
          <w:numId w:val="9"/>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维修保养计划：在每月的第二个星期开始，按每月维修保养内容，对火灾自动报警系统、消火栓系统、自动喷水灭火系统、消防广播通讯系统，逐项进行检查、检测、测试、试验并提交月度维修保养、设备运行状况报告。</w:t>
      </w:r>
    </w:p>
    <w:p>
      <w:pPr>
        <w:pageBreakBefore w:val="0"/>
        <w:widowControl w:val="0"/>
        <w:numPr>
          <w:ilvl w:val="0"/>
          <w:numId w:val="9"/>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季度维修保养计划：每季度最后一个月的第二个星期，将该月的维修保养项目与季度维修保养内容合在一起，按每月、季的维修保养内容，对火灾自动报警系统、消火栓系统、自动喷水灭火系统、消防广播通讯系统、防排烟系统，逐项进行检查、检测、测试、试验，并提交季度维修保养、设备运行状况报告。</w:t>
      </w:r>
    </w:p>
    <w:p>
      <w:pPr>
        <w:pageBreakBefore w:val="0"/>
        <w:widowControl w:val="0"/>
        <w:numPr>
          <w:ilvl w:val="0"/>
          <w:numId w:val="9"/>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维修保养计划：在每年度最后一个月的第二个星期，按年度的维修保养内容，全面对火灾自动报警系统、消火栓系统、自动喷水灭火系统、消防广播通讯系统，逐项进行检查、检测、测试、试验，并提交年度维修保养、设备运行状况报告。</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微软雅黑"/>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7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088"/>
    <w:multiLevelType w:val="multilevel"/>
    <w:tmpl w:val="07964088"/>
    <w:lvl w:ilvl="0" w:tentative="0">
      <w:start w:val="1"/>
      <w:numFmt w:val="japaneseCounting"/>
      <w:lvlText w:val="%1、"/>
      <w:lvlJc w:val="left"/>
      <w:pPr>
        <w:tabs>
          <w:tab w:val="left" w:pos="420"/>
        </w:tabs>
        <w:ind w:left="420" w:hanging="4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3D258F5"/>
    <w:multiLevelType w:val="multilevel"/>
    <w:tmpl w:val="23D258F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7DB28A8"/>
    <w:multiLevelType w:val="multilevel"/>
    <w:tmpl w:val="27DB28A8"/>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9B11E23"/>
    <w:multiLevelType w:val="multilevel"/>
    <w:tmpl w:val="29B11E23"/>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9BB1944"/>
    <w:multiLevelType w:val="multilevel"/>
    <w:tmpl w:val="29BB194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BC30FBD"/>
    <w:multiLevelType w:val="singleLevel"/>
    <w:tmpl w:val="2BC30FBD"/>
    <w:lvl w:ilvl="0" w:tentative="0">
      <w:start w:val="1"/>
      <w:numFmt w:val="lowerLetter"/>
      <w:lvlText w:val="%1."/>
      <w:lvlJc w:val="left"/>
      <w:pPr>
        <w:tabs>
          <w:tab w:val="left" w:pos="720"/>
        </w:tabs>
        <w:ind w:left="720" w:hanging="360"/>
      </w:pPr>
      <w:rPr>
        <w:rFonts w:hint="default" w:cs="Times New Roman"/>
      </w:rPr>
    </w:lvl>
  </w:abstractNum>
  <w:abstractNum w:abstractNumId="6">
    <w:nsid w:val="2E105B7A"/>
    <w:multiLevelType w:val="multilevel"/>
    <w:tmpl w:val="2E105B7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55D04AE4"/>
    <w:multiLevelType w:val="singleLevel"/>
    <w:tmpl w:val="55D04AE4"/>
    <w:lvl w:ilvl="0" w:tentative="0">
      <w:start w:val="2"/>
      <w:numFmt w:val="lowerLetter"/>
      <w:lvlText w:val="%1."/>
      <w:lvlJc w:val="left"/>
      <w:pPr>
        <w:tabs>
          <w:tab w:val="left" w:pos="360"/>
        </w:tabs>
        <w:ind w:left="360" w:hanging="360"/>
      </w:pPr>
      <w:rPr>
        <w:rFonts w:hint="default" w:cs="Times New Roman"/>
      </w:rPr>
    </w:lvl>
  </w:abstractNum>
  <w:abstractNum w:abstractNumId="8">
    <w:nsid w:val="7B402516"/>
    <w:multiLevelType w:val="multilevel"/>
    <w:tmpl w:val="7B402516"/>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7"/>
  </w:num>
  <w:num w:numId="2">
    <w:abstractNumId w:val="5"/>
  </w:num>
  <w:num w:numId="3">
    <w:abstractNumId w:val="0"/>
  </w:num>
  <w:num w:numId="4">
    <w:abstractNumId w:val="6"/>
  </w:num>
  <w:num w:numId="5">
    <w:abstractNumId w:val="3"/>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99"/>
  <w:displayHorizontalDrawingGridEvery w:val="2"/>
  <w:characterSpacingControl w:val="doNotCompress"/>
  <w:compat>
    <w:useFELayout/>
    <w:compatSetting w:name="compatibilityMode" w:uri="http://schemas.microsoft.com/office/word" w:val="12"/>
  </w:compat>
  <w:rsids>
    <w:rsidRoot w:val="00D31D50"/>
    <w:rsid w:val="00013312"/>
    <w:rsid w:val="000208B0"/>
    <w:rsid w:val="000345DA"/>
    <w:rsid w:val="0003684E"/>
    <w:rsid w:val="001162D1"/>
    <w:rsid w:val="00150D42"/>
    <w:rsid w:val="00197AF9"/>
    <w:rsid w:val="001C6D3F"/>
    <w:rsid w:val="002962EA"/>
    <w:rsid w:val="002F66DE"/>
    <w:rsid w:val="00323B43"/>
    <w:rsid w:val="003705BD"/>
    <w:rsid w:val="00370DE8"/>
    <w:rsid w:val="00373D36"/>
    <w:rsid w:val="00377E8F"/>
    <w:rsid w:val="003D37D8"/>
    <w:rsid w:val="003E5042"/>
    <w:rsid w:val="00416A12"/>
    <w:rsid w:val="00426133"/>
    <w:rsid w:val="004358AB"/>
    <w:rsid w:val="00456463"/>
    <w:rsid w:val="00462904"/>
    <w:rsid w:val="004A2B23"/>
    <w:rsid w:val="004B191A"/>
    <w:rsid w:val="004C0DC8"/>
    <w:rsid w:val="00506B07"/>
    <w:rsid w:val="00522D8E"/>
    <w:rsid w:val="00546A0B"/>
    <w:rsid w:val="005612E5"/>
    <w:rsid w:val="005A6798"/>
    <w:rsid w:val="005F64A1"/>
    <w:rsid w:val="006D60F6"/>
    <w:rsid w:val="006F723B"/>
    <w:rsid w:val="00712238"/>
    <w:rsid w:val="00790CFB"/>
    <w:rsid w:val="007C7565"/>
    <w:rsid w:val="007E7842"/>
    <w:rsid w:val="008B7726"/>
    <w:rsid w:val="008C0D0F"/>
    <w:rsid w:val="008F18DD"/>
    <w:rsid w:val="009079DF"/>
    <w:rsid w:val="00947E02"/>
    <w:rsid w:val="00952C35"/>
    <w:rsid w:val="00A15375"/>
    <w:rsid w:val="00A155CA"/>
    <w:rsid w:val="00AB1353"/>
    <w:rsid w:val="00BB233D"/>
    <w:rsid w:val="00C15273"/>
    <w:rsid w:val="00D31D50"/>
    <w:rsid w:val="00D805DE"/>
    <w:rsid w:val="00E256DD"/>
    <w:rsid w:val="00E75F19"/>
    <w:rsid w:val="00F2625E"/>
    <w:rsid w:val="00FD17C4"/>
    <w:rsid w:val="00FF2D98"/>
    <w:rsid w:val="080A364F"/>
    <w:rsid w:val="1FD20003"/>
    <w:rsid w:val="221715FD"/>
    <w:rsid w:val="4B897AF4"/>
    <w:rsid w:val="59813BC0"/>
    <w:rsid w:val="67661BAF"/>
    <w:rsid w:val="78206064"/>
    <w:rsid w:val="785C4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iPriority="99" w:name="annotation text"/>
    <w:lsdException w:qFormat="1" w:uiPriority="99" w:semiHidden="0" w:name="header"/>
    <w:lsdException w:qFormat="1" w:uiPriority="99" w:semiHidden="0" w:name="footer"/>
    <w:lsdException w:qFormat="1" w:unhideWhenUsed="0" w:uiPriority="99" w:name="index heading"/>
    <w:lsdException w:qFormat="1" w:uiPriority="35" w:name="caption"/>
    <w:lsdException w:qFormat="1" w:unhideWhenUsed="0"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67"/>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44"/>
      <w:szCs w:val="20"/>
    </w:rPr>
  </w:style>
  <w:style w:type="paragraph" w:styleId="3">
    <w:name w:val="heading 2"/>
    <w:basedOn w:val="1"/>
    <w:next w:val="1"/>
    <w:link w:val="68"/>
    <w:qFormat/>
    <w:uiPriority w:val="99"/>
    <w:pPr>
      <w:keepNext/>
      <w:keepLines/>
      <w:widowControl w:val="0"/>
      <w:overflowPunct w:val="0"/>
      <w:snapToGrid/>
      <w:spacing w:after="0"/>
      <w:textAlignment w:val="baseline"/>
      <w:outlineLvl w:val="1"/>
    </w:pPr>
    <w:rPr>
      <w:rFonts w:ascii="宋体" w:hAnsi="宋体" w:eastAsia="楷体_GB2312" w:cs="Times New Roman"/>
      <w:b/>
      <w:kern w:val="2"/>
      <w:sz w:val="26"/>
      <w:szCs w:val="20"/>
    </w:rPr>
  </w:style>
  <w:style w:type="paragraph" w:styleId="4">
    <w:name w:val="heading 3"/>
    <w:basedOn w:val="1"/>
    <w:next w:val="1"/>
    <w:link w:val="69"/>
    <w:qFormat/>
    <w:uiPriority w:val="99"/>
    <w:pPr>
      <w:keepNext/>
      <w:keepLines/>
      <w:widowControl w:val="0"/>
      <w:snapToGrid/>
      <w:spacing w:after="0"/>
      <w:textAlignment w:val="baseline"/>
      <w:outlineLvl w:val="2"/>
    </w:pPr>
    <w:rPr>
      <w:rFonts w:ascii="Times New Roman" w:hAnsi="Times New Roman" w:eastAsia="楷体_GB2312" w:cs="Times New Roman"/>
      <w:b/>
      <w:kern w:val="2"/>
      <w:sz w:val="26"/>
      <w:szCs w:val="20"/>
    </w:rPr>
  </w:style>
  <w:style w:type="paragraph" w:styleId="5">
    <w:name w:val="heading 4"/>
    <w:basedOn w:val="1"/>
    <w:next w:val="1"/>
    <w:link w:val="70"/>
    <w:qFormat/>
    <w:uiPriority w:val="99"/>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71"/>
    <w:qFormat/>
    <w:uiPriority w:val="99"/>
    <w:pPr>
      <w:keepNext/>
      <w:keepLines/>
      <w:widowControl w:val="0"/>
      <w:autoSpaceDE w:val="0"/>
      <w:autoSpaceDN w:val="0"/>
      <w:snapToGrid/>
      <w:spacing w:before="280" w:after="290" w:line="376" w:lineRule="atLeast"/>
      <w:textAlignment w:val="baseline"/>
      <w:outlineLvl w:val="4"/>
    </w:pPr>
    <w:rPr>
      <w:rFonts w:ascii="宋体" w:hAnsi="Tms Rmn" w:eastAsia="宋体" w:cs="Times New Roman"/>
      <w:b/>
      <w:sz w:val="28"/>
      <w:szCs w:val="20"/>
    </w:rPr>
  </w:style>
  <w:style w:type="paragraph" w:styleId="7">
    <w:name w:val="heading 6"/>
    <w:basedOn w:val="1"/>
    <w:next w:val="1"/>
    <w:link w:val="72"/>
    <w:qFormat/>
    <w:uiPriority w:val="99"/>
    <w:pPr>
      <w:keepNext/>
      <w:keepLines/>
      <w:widowControl w:val="0"/>
      <w:autoSpaceDE w:val="0"/>
      <w:autoSpaceDN w:val="0"/>
      <w:snapToGrid/>
      <w:spacing w:before="240" w:after="64" w:line="320" w:lineRule="atLeast"/>
      <w:textAlignment w:val="baseline"/>
      <w:outlineLvl w:val="5"/>
    </w:pPr>
    <w:rPr>
      <w:rFonts w:ascii="黑体" w:hAnsi="Tms Rmn" w:eastAsia="黑体" w:cs="Times New Roman"/>
      <w:b/>
      <w:sz w:val="24"/>
      <w:szCs w:val="20"/>
    </w:rPr>
  </w:style>
  <w:style w:type="paragraph" w:styleId="8">
    <w:name w:val="heading 7"/>
    <w:basedOn w:val="1"/>
    <w:next w:val="1"/>
    <w:link w:val="73"/>
    <w:qFormat/>
    <w:uiPriority w:val="99"/>
    <w:pPr>
      <w:keepNext/>
      <w:keepLines/>
      <w:widowControl w:val="0"/>
      <w:autoSpaceDE w:val="0"/>
      <w:autoSpaceDN w:val="0"/>
      <w:snapToGrid/>
      <w:spacing w:before="240" w:after="64" w:line="320" w:lineRule="atLeast"/>
      <w:textAlignment w:val="baseline"/>
      <w:outlineLvl w:val="6"/>
    </w:pPr>
    <w:rPr>
      <w:rFonts w:ascii="宋体" w:hAnsi="Tms Rmn" w:eastAsia="宋体" w:cs="Times New Roman"/>
      <w:b/>
      <w:sz w:val="24"/>
      <w:szCs w:val="20"/>
    </w:rPr>
  </w:style>
  <w:style w:type="paragraph" w:styleId="9">
    <w:name w:val="heading 8"/>
    <w:basedOn w:val="1"/>
    <w:next w:val="1"/>
    <w:link w:val="74"/>
    <w:qFormat/>
    <w:uiPriority w:val="99"/>
    <w:pPr>
      <w:keepNext/>
      <w:keepLines/>
      <w:widowControl w:val="0"/>
      <w:adjustRightInd/>
      <w:snapToGrid/>
      <w:spacing w:before="240" w:after="64" w:line="320" w:lineRule="auto"/>
      <w:jc w:val="both"/>
      <w:outlineLvl w:val="7"/>
    </w:pPr>
    <w:rPr>
      <w:rFonts w:ascii="Arial" w:hAnsi="Arial" w:eastAsia="黑体" w:cs="Times New Roman"/>
      <w:kern w:val="2"/>
      <w:sz w:val="24"/>
      <w:szCs w:val="24"/>
    </w:rPr>
  </w:style>
  <w:style w:type="paragraph" w:styleId="10">
    <w:name w:val="heading 9"/>
    <w:basedOn w:val="1"/>
    <w:next w:val="1"/>
    <w:link w:val="75"/>
    <w:qFormat/>
    <w:uiPriority w:val="99"/>
    <w:pPr>
      <w:keepNext/>
      <w:keepLines/>
      <w:widowControl w:val="0"/>
      <w:adjustRightInd/>
      <w:snapToGrid/>
      <w:spacing w:before="240" w:after="64" w:line="320" w:lineRule="auto"/>
      <w:jc w:val="both"/>
      <w:outlineLvl w:val="8"/>
    </w:pPr>
    <w:rPr>
      <w:rFonts w:ascii="Arial" w:hAnsi="Arial" w:eastAsia="黑体" w:cs="Times New Roman"/>
      <w:kern w:val="2"/>
      <w:sz w:val="21"/>
      <w:szCs w:val="21"/>
    </w:rPr>
  </w:style>
  <w:style w:type="character" w:default="1" w:styleId="54">
    <w:name w:val="Default Paragraph Font"/>
    <w:semiHidden/>
    <w:unhideWhenUsed/>
    <w:qFormat/>
    <w:uiPriority w:val="1"/>
  </w:style>
  <w:style w:type="table" w:default="1" w:styleId="63">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7"/>
    <w:semiHidden/>
    <w:qFormat/>
    <w:uiPriority w:val="99"/>
    <w:pPr>
      <w:widowControl w:val="0"/>
      <w:adjustRightInd/>
      <w:snapToGrid/>
      <w:spacing w:after="0"/>
    </w:pPr>
    <w:rPr>
      <w:rFonts w:ascii="Times New Roman" w:hAnsi="Times New Roman" w:eastAsia="楷体_GB2312" w:cs="Times New Roman"/>
      <w:b/>
      <w:bCs/>
      <w:kern w:val="2"/>
      <w:sz w:val="26"/>
      <w:szCs w:val="20"/>
    </w:rPr>
  </w:style>
  <w:style w:type="paragraph" w:styleId="12">
    <w:name w:val="annotation text"/>
    <w:basedOn w:val="1"/>
    <w:link w:val="76"/>
    <w:semiHidden/>
    <w:unhideWhenUsed/>
    <w:qFormat/>
    <w:uiPriority w:val="99"/>
  </w:style>
  <w:style w:type="paragraph" w:styleId="13">
    <w:name w:val="toc 7"/>
    <w:basedOn w:val="1"/>
    <w:next w:val="1"/>
    <w:semiHidden/>
    <w:qFormat/>
    <w:uiPriority w:val="99"/>
    <w:pPr>
      <w:widowControl w:val="0"/>
      <w:adjustRightInd/>
      <w:snapToGrid/>
      <w:spacing w:after="0"/>
      <w:ind w:left="2520"/>
      <w:jc w:val="both"/>
    </w:pPr>
    <w:rPr>
      <w:rFonts w:ascii="Times New Roman" w:hAnsi="Times New Roman" w:eastAsia="楷体_GB2312" w:cs="Times New Roman"/>
      <w:kern w:val="2"/>
      <w:sz w:val="26"/>
      <w:szCs w:val="20"/>
    </w:rPr>
  </w:style>
  <w:style w:type="paragraph" w:styleId="14">
    <w:name w:val="Body Text First Indent"/>
    <w:basedOn w:val="15"/>
    <w:link w:val="79"/>
    <w:qFormat/>
    <w:uiPriority w:val="99"/>
    <w:pPr>
      <w:widowControl w:val="0"/>
      <w:adjustRightInd/>
      <w:snapToGrid/>
      <w:ind w:firstLine="420" w:firstLineChars="100"/>
      <w:jc w:val="both"/>
    </w:pPr>
    <w:rPr>
      <w:rFonts w:ascii="Times New Roman" w:hAnsi="Times New Roman" w:eastAsia="楷体_GB2312" w:cs="Times New Roman"/>
      <w:kern w:val="2"/>
      <w:sz w:val="26"/>
      <w:szCs w:val="20"/>
    </w:rPr>
  </w:style>
  <w:style w:type="paragraph" w:styleId="15">
    <w:name w:val="Body Text"/>
    <w:basedOn w:val="1"/>
    <w:link w:val="78"/>
    <w:unhideWhenUsed/>
    <w:qFormat/>
    <w:uiPriority w:val="99"/>
    <w:pPr>
      <w:spacing w:after="120"/>
    </w:pPr>
  </w:style>
  <w:style w:type="paragraph" w:styleId="16">
    <w:name w:val="index 8"/>
    <w:basedOn w:val="1"/>
    <w:next w:val="1"/>
    <w:semiHidden/>
    <w:qFormat/>
    <w:uiPriority w:val="99"/>
    <w:pPr>
      <w:widowControl w:val="0"/>
      <w:adjustRightInd/>
      <w:snapToGrid/>
      <w:spacing w:after="0"/>
      <w:ind w:left="2940"/>
      <w:jc w:val="both"/>
    </w:pPr>
    <w:rPr>
      <w:rFonts w:ascii="Times New Roman" w:hAnsi="Times New Roman" w:eastAsia="楷体_GB2312" w:cs="Times New Roman"/>
      <w:kern w:val="2"/>
      <w:sz w:val="26"/>
      <w:szCs w:val="20"/>
    </w:rPr>
  </w:style>
  <w:style w:type="paragraph" w:styleId="17">
    <w:name w:val="List Number"/>
    <w:basedOn w:val="1"/>
    <w:qFormat/>
    <w:uiPriority w:val="99"/>
    <w:pPr>
      <w:widowControl w:val="0"/>
      <w:tabs>
        <w:tab w:val="left" w:pos="1125"/>
      </w:tabs>
      <w:adjustRightInd/>
      <w:snapToGrid/>
      <w:spacing w:after="0"/>
      <w:ind w:left="1125" w:hanging="555"/>
      <w:jc w:val="both"/>
    </w:pPr>
    <w:rPr>
      <w:rFonts w:ascii="Times New Roman" w:hAnsi="Times New Roman" w:eastAsia="宋体" w:cs="Times New Roman"/>
      <w:kern w:val="2"/>
      <w:sz w:val="21"/>
      <w:szCs w:val="24"/>
    </w:rPr>
  </w:style>
  <w:style w:type="paragraph" w:styleId="18">
    <w:name w:val="Normal Indent"/>
    <w:basedOn w:val="1"/>
    <w:link w:val="98"/>
    <w:qFormat/>
    <w:uiPriority w:val="99"/>
    <w:pPr>
      <w:widowControl w:val="0"/>
      <w:snapToGrid/>
      <w:spacing w:after="0"/>
      <w:ind w:firstLine="420"/>
      <w:textAlignment w:val="baseline"/>
    </w:pPr>
    <w:rPr>
      <w:rFonts w:ascii="Times New Roman" w:hAnsi="Times New Roman" w:eastAsia="楷体_GB2312" w:cs="Times New Roman"/>
      <w:kern w:val="2"/>
      <w:sz w:val="24"/>
      <w:szCs w:val="20"/>
    </w:rPr>
  </w:style>
  <w:style w:type="paragraph" w:styleId="19">
    <w:name w:val="index 5"/>
    <w:basedOn w:val="1"/>
    <w:next w:val="1"/>
    <w:semiHidden/>
    <w:qFormat/>
    <w:uiPriority w:val="99"/>
    <w:pPr>
      <w:widowControl w:val="0"/>
      <w:adjustRightInd/>
      <w:snapToGrid/>
      <w:spacing w:after="0"/>
      <w:ind w:left="1680"/>
      <w:jc w:val="both"/>
    </w:pPr>
    <w:rPr>
      <w:rFonts w:ascii="Times New Roman" w:hAnsi="Times New Roman" w:eastAsia="楷体_GB2312" w:cs="Times New Roman"/>
      <w:kern w:val="2"/>
      <w:sz w:val="26"/>
      <w:szCs w:val="20"/>
    </w:rPr>
  </w:style>
  <w:style w:type="paragraph" w:styleId="20">
    <w:name w:val="Document Map"/>
    <w:basedOn w:val="1"/>
    <w:link w:val="80"/>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0"/>
    </w:rPr>
  </w:style>
  <w:style w:type="paragraph" w:styleId="21">
    <w:name w:val="index 6"/>
    <w:basedOn w:val="1"/>
    <w:next w:val="1"/>
    <w:semiHidden/>
    <w:qFormat/>
    <w:uiPriority w:val="99"/>
    <w:pPr>
      <w:widowControl w:val="0"/>
      <w:adjustRightInd/>
      <w:snapToGrid/>
      <w:spacing w:after="0"/>
      <w:ind w:left="2100"/>
      <w:jc w:val="both"/>
    </w:pPr>
    <w:rPr>
      <w:rFonts w:ascii="Times New Roman" w:hAnsi="Times New Roman" w:eastAsia="楷体_GB2312" w:cs="Times New Roman"/>
      <w:kern w:val="2"/>
      <w:sz w:val="26"/>
      <w:szCs w:val="20"/>
    </w:rPr>
  </w:style>
  <w:style w:type="paragraph" w:styleId="22">
    <w:name w:val="Body Text Indent"/>
    <w:basedOn w:val="1"/>
    <w:link w:val="81"/>
    <w:qFormat/>
    <w:uiPriority w:val="99"/>
    <w:pPr>
      <w:widowControl w:val="0"/>
      <w:adjustRightInd/>
      <w:snapToGrid/>
      <w:spacing w:after="0" w:line="520" w:lineRule="exact"/>
      <w:ind w:left="570"/>
      <w:jc w:val="both"/>
    </w:pPr>
    <w:rPr>
      <w:rFonts w:ascii="方正仿宋简体" w:hAnsi="创艺简仿宋" w:eastAsia="方正仿宋简体" w:cs="Times New Roman"/>
      <w:kern w:val="2"/>
      <w:sz w:val="24"/>
      <w:szCs w:val="20"/>
    </w:rPr>
  </w:style>
  <w:style w:type="paragraph" w:styleId="23">
    <w:name w:val="Block Text"/>
    <w:basedOn w:val="1"/>
    <w:qFormat/>
    <w:uiPriority w:val="99"/>
    <w:pPr>
      <w:widowControl w:val="0"/>
      <w:snapToGrid/>
      <w:spacing w:after="0" w:line="360" w:lineRule="auto"/>
      <w:ind w:left="630" w:right="-609" w:firstLine="420"/>
      <w:jc w:val="both"/>
    </w:pPr>
    <w:rPr>
      <w:rFonts w:ascii="仿宋_GB2312" w:hAnsi="Times New Roman" w:eastAsia="仿宋_GB2312" w:cs="Times New Roman"/>
      <w:sz w:val="21"/>
      <w:szCs w:val="20"/>
    </w:rPr>
  </w:style>
  <w:style w:type="paragraph" w:styleId="24">
    <w:name w:val="index 4"/>
    <w:basedOn w:val="1"/>
    <w:next w:val="1"/>
    <w:semiHidden/>
    <w:qFormat/>
    <w:uiPriority w:val="99"/>
    <w:pPr>
      <w:widowControl w:val="0"/>
      <w:adjustRightInd/>
      <w:snapToGrid/>
      <w:spacing w:after="0"/>
      <w:ind w:left="1260"/>
      <w:jc w:val="both"/>
    </w:pPr>
    <w:rPr>
      <w:rFonts w:ascii="Times New Roman" w:hAnsi="Times New Roman" w:eastAsia="楷体_GB2312" w:cs="Times New Roman"/>
      <w:kern w:val="2"/>
      <w:sz w:val="26"/>
      <w:szCs w:val="20"/>
    </w:rPr>
  </w:style>
  <w:style w:type="paragraph" w:styleId="25">
    <w:name w:val="toc 5"/>
    <w:basedOn w:val="1"/>
    <w:next w:val="1"/>
    <w:semiHidden/>
    <w:qFormat/>
    <w:uiPriority w:val="99"/>
    <w:pPr>
      <w:widowControl w:val="0"/>
      <w:adjustRightInd/>
      <w:snapToGrid/>
      <w:spacing w:after="0"/>
      <w:ind w:left="1680"/>
      <w:jc w:val="both"/>
    </w:pPr>
    <w:rPr>
      <w:rFonts w:ascii="Times New Roman" w:hAnsi="Times New Roman" w:eastAsia="楷体_GB2312" w:cs="Times New Roman"/>
      <w:kern w:val="2"/>
      <w:sz w:val="26"/>
      <w:szCs w:val="20"/>
    </w:rPr>
  </w:style>
  <w:style w:type="paragraph" w:styleId="26">
    <w:name w:val="toc 3"/>
    <w:basedOn w:val="1"/>
    <w:next w:val="1"/>
    <w:semiHidden/>
    <w:qFormat/>
    <w:uiPriority w:val="99"/>
    <w:pPr>
      <w:widowControl w:val="0"/>
      <w:adjustRightInd/>
      <w:snapToGrid/>
      <w:spacing w:after="0"/>
      <w:ind w:left="840"/>
      <w:jc w:val="both"/>
    </w:pPr>
    <w:rPr>
      <w:rFonts w:ascii="Times New Roman" w:hAnsi="Times New Roman" w:eastAsia="楷体_GB2312" w:cs="Times New Roman"/>
      <w:kern w:val="2"/>
      <w:sz w:val="26"/>
      <w:szCs w:val="20"/>
    </w:rPr>
  </w:style>
  <w:style w:type="paragraph" w:styleId="27">
    <w:name w:val="Plain Text"/>
    <w:basedOn w:val="1"/>
    <w:link w:val="82"/>
    <w:qFormat/>
    <w:uiPriority w:val="99"/>
    <w:pPr>
      <w:widowControl w:val="0"/>
      <w:adjustRightInd/>
      <w:snapToGrid/>
      <w:spacing w:after="0"/>
      <w:jc w:val="both"/>
    </w:pPr>
    <w:rPr>
      <w:rFonts w:ascii="宋体" w:hAnsi="Courier New" w:eastAsia="楷体_GB2312" w:cs="Times New Roman"/>
      <w:kern w:val="2"/>
      <w:sz w:val="26"/>
      <w:szCs w:val="20"/>
    </w:rPr>
  </w:style>
  <w:style w:type="paragraph" w:styleId="28">
    <w:name w:val="toc 8"/>
    <w:basedOn w:val="1"/>
    <w:next w:val="1"/>
    <w:semiHidden/>
    <w:qFormat/>
    <w:uiPriority w:val="99"/>
    <w:pPr>
      <w:widowControl w:val="0"/>
      <w:adjustRightInd/>
      <w:snapToGrid/>
      <w:spacing w:after="0"/>
      <w:ind w:left="2940"/>
      <w:jc w:val="both"/>
    </w:pPr>
    <w:rPr>
      <w:rFonts w:ascii="Times New Roman" w:hAnsi="Times New Roman" w:eastAsia="楷体_GB2312" w:cs="Times New Roman"/>
      <w:kern w:val="2"/>
      <w:sz w:val="26"/>
      <w:szCs w:val="20"/>
    </w:rPr>
  </w:style>
  <w:style w:type="paragraph" w:styleId="29">
    <w:name w:val="index 3"/>
    <w:basedOn w:val="1"/>
    <w:next w:val="1"/>
    <w:semiHidden/>
    <w:qFormat/>
    <w:uiPriority w:val="99"/>
    <w:pPr>
      <w:widowControl w:val="0"/>
      <w:adjustRightInd/>
      <w:snapToGrid/>
      <w:spacing w:after="0"/>
      <w:ind w:left="840"/>
      <w:jc w:val="both"/>
    </w:pPr>
    <w:rPr>
      <w:rFonts w:ascii="Times New Roman" w:hAnsi="Times New Roman" w:eastAsia="楷体_GB2312" w:cs="Times New Roman"/>
      <w:kern w:val="2"/>
      <w:sz w:val="26"/>
      <w:szCs w:val="20"/>
    </w:rPr>
  </w:style>
  <w:style w:type="paragraph" w:styleId="30">
    <w:name w:val="Date"/>
    <w:basedOn w:val="1"/>
    <w:next w:val="1"/>
    <w:link w:val="83"/>
    <w:qFormat/>
    <w:uiPriority w:val="99"/>
    <w:pPr>
      <w:widowControl w:val="0"/>
      <w:adjustRightInd/>
      <w:snapToGrid/>
      <w:spacing w:after="0"/>
      <w:jc w:val="both"/>
    </w:pPr>
    <w:rPr>
      <w:rFonts w:ascii="宋体" w:hAnsi="宋体" w:eastAsia="楷体_GB2312" w:cs="Times New Roman"/>
      <w:kern w:val="2"/>
      <w:sz w:val="24"/>
      <w:szCs w:val="20"/>
    </w:rPr>
  </w:style>
  <w:style w:type="paragraph" w:styleId="31">
    <w:name w:val="Body Text Indent 2"/>
    <w:basedOn w:val="1"/>
    <w:link w:val="84"/>
    <w:qFormat/>
    <w:uiPriority w:val="99"/>
    <w:pPr>
      <w:widowControl w:val="0"/>
      <w:tabs>
        <w:tab w:val="left" w:pos="0"/>
      </w:tabs>
      <w:adjustRightInd/>
      <w:snapToGrid/>
      <w:spacing w:after="0" w:line="360" w:lineRule="auto"/>
      <w:ind w:firstLine="502" w:firstLineChars="209"/>
      <w:jc w:val="both"/>
    </w:pPr>
    <w:rPr>
      <w:rFonts w:ascii="宋体" w:hAnsi="Times New Roman" w:eastAsia="宋体" w:cs="Times New Roman"/>
      <w:b/>
      <w:bCs/>
      <w:kern w:val="2"/>
      <w:sz w:val="24"/>
      <w:szCs w:val="20"/>
    </w:rPr>
  </w:style>
  <w:style w:type="paragraph" w:styleId="32">
    <w:name w:val="endnote text"/>
    <w:basedOn w:val="1"/>
    <w:link w:val="85"/>
    <w:qFormat/>
    <w:uiPriority w:val="99"/>
    <w:pPr>
      <w:widowControl w:val="0"/>
      <w:adjustRightInd/>
      <w:spacing w:after="0"/>
    </w:pPr>
    <w:rPr>
      <w:rFonts w:ascii="Times New Roman" w:hAnsi="Times New Roman" w:eastAsia="楷体_GB2312" w:cs="Times New Roman"/>
      <w:kern w:val="2"/>
      <w:sz w:val="26"/>
      <w:szCs w:val="20"/>
    </w:rPr>
  </w:style>
  <w:style w:type="paragraph" w:styleId="33">
    <w:name w:val="Balloon Text"/>
    <w:basedOn w:val="1"/>
    <w:link w:val="86"/>
    <w:semiHidden/>
    <w:qFormat/>
    <w:uiPriority w:val="99"/>
    <w:pPr>
      <w:widowControl w:val="0"/>
      <w:adjustRightInd/>
      <w:snapToGrid/>
      <w:spacing w:after="0"/>
      <w:jc w:val="both"/>
    </w:pPr>
    <w:rPr>
      <w:rFonts w:ascii="Times New Roman" w:hAnsi="Times New Roman" w:eastAsia="楷体_GB2312" w:cs="Times New Roman"/>
      <w:kern w:val="2"/>
      <w:sz w:val="18"/>
      <w:szCs w:val="18"/>
    </w:rPr>
  </w:style>
  <w:style w:type="paragraph" w:styleId="34">
    <w:name w:val="footer"/>
    <w:basedOn w:val="1"/>
    <w:link w:val="66"/>
    <w:unhideWhenUsed/>
    <w:qFormat/>
    <w:uiPriority w:val="99"/>
    <w:pPr>
      <w:tabs>
        <w:tab w:val="center" w:pos="4153"/>
        <w:tab w:val="right" w:pos="8306"/>
      </w:tabs>
    </w:pPr>
    <w:rPr>
      <w:sz w:val="18"/>
      <w:szCs w:val="18"/>
    </w:rPr>
  </w:style>
  <w:style w:type="paragraph" w:styleId="35">
    <w:name w:val="header"/>
    <w:basedOn w:val="1"/>
    <w:link w:val="65"/>
    <w:unhideWhenUsed/>
    <w:qFormat/>
    <w:uiPriority w:val="99"/>
    <w:pPr>
      <w:pBdr>
        <w:bottom w:val="single" w:color="auto" w:sz="6" w:space="1"/>
      </w:pBdr>
      <w:tabs>
        <w:tab w:val="center" w:pos="4153"/>
        <w:tab w:val="right" w:pos="8306"/>
      </w:tabs>
      <w:jc w:val="center"/>
    </w:pPr>
    <w:rPr>
      <w:sz w:val="18"/>
      <w:szCs w:val="18"/>
    </w:rPr>
  </w:style>
  <w:style w:type="paragraph" w:styleId="36">
    <w:name w:val="toc 1"/>
    <w:basedOn w:val="1"/>
    <w:next w:val="1"/>
    <w:qFormat/>
    <w:uiPriority w:val="99"/>
    <w:pPr>
      <w:widowControl w:val="0"/>
      <w:snapToGrid/>
      <w:spacing w:after="0"/>
      <w:textAlignment w:val="baseline"/>
    </w:pPr>
    <w:rPr>
      <w:rFonts w:ascii="Times New Roman" w:hAnsi="Times New Roman" w:eastAsia="楷体_GB2312" w:cs="Times New Roman"/>
      <w:kern w:val="2"/>
      <w:sz w:val="24"/>
      <w:szCs w:val="20"/>
    </w:rPr>
  </w:style>
  <w:style w:type="paragraph" w:styleId="37">
    <w:name w:val="toc 4"/>
    <w:basedOn w:val="1"/>
    <w:next w:val="1"/>
    <w:semiHidden/>
    <w:qFormat/>
    <w:uiPriority w:val="99"/>
    <w:pPr>
      <w:widowControl w:val="0"/>
      <w:adjustRightInd/>
      <w:snapToGrid/>
      <w:spacing w:after="0"/>
      <w:ind w:left="1260"/>
      <w:jc w:val="both"/>
    </w:pPr>
    <w:rPr>
      <w:rFonts w:ascii="Times New Roman" w:hAnsi="Times New Roman" w:eastAsia="楷体_GB2312" w:cs="Times New Roman"/>
      <w:kern w:val="2"/>
      <w:sz w:val="26"/>
      <w:szCs w:val="20"/>
    </w:rPr>
  </w:style>
  <w:style w:type="paragraph" w:styleId="38">
    <w:name w:val="index heading"/>
    <w:basedOn w:val="1"/>
    <w:next w:val="39"/>
    <w:semiHidden/>
    <w:qFormat/>
    <w:uiPriority w:val="99"/>
    <w:pPr>
      <w:widowControl w:val="0"/>
      <w:adjustRightInd/>
      <w:snapToGrid/>
      <w:spacing w:after="0"/>
      <w:jc w:val="both"/>
    </w:pPr>
    <w:rPr>
      <w:rFonts w:ascii="Times New Roman" w:hAnsi="Times New Roman" w:eastAsia="楷体_GB2312" w:cs="Times New Roman"/>
      <w:kern w:val="2"/>
      <w:sz w:val="26"/>
      <w:szCs w:val="20"/>
    </w:rPr>
  </w:style>
  <w:style w:type="paragraph" w:styleId="39">
    <w:name w:val="index 1"/>
    <w:basedOn w:val="1"/>
    <w:next w:val="1"/>
    <w:semiHidden/>
    <w:unhideWhenUsed/>
    <w:qFormat/>
    <w:uiPriority w:val="99"/>
  </w:style>
  <w:style w:type="paragraph" w:styleId="40">
    <w:name w:val="Subtitle"/>
    <w:basedOn w:val="1"/>
    <w:link w:val="87"/>
    <w:qFormat/>
    <w:uiPriority w:val="99"/>
    <w:pPr>
      <w:widowControl w:val="0"/>
      <w:adjustRightInd/>
      <w:snapToGrid/>
      <w:spacing w:before="240" w:after="60" w:line="312" w:lineRule="auto"/>
      <w:jc w:val="center"/>
      <w:outlineLvl w:val="1"/>
    </w:pPr>
    <w:rPr>
      <w:rFonts w:ascii="Arial" w:hAnsi="Arial" w:eastAsia="宋体" w:cs="Times New Roman"/>
      <w:b/>
      <w:bCs/>
      <w:kern w:val="28"/>
      <w:sz w:val="32"/>
      <w:szCs w:val="32"/>
    </w:rPr>
  </w:style>
  <w:style w:type="paragraph" w:styleId="41">
    <w:name w:val="footnote text"/>
    <w:basedOn w:val="1"/>
    <w:link w:val="88"/>
    <w:semiHidden/>
    <w:qFormat/>
    <w:uiPriority w:val="99"/>
    <w:pPr>
      <w:widowControl w:val="0"/>
      <w:adjustRightInd/>
      <w:spacing w:after="0"/>
    </w:pPr>
    <w:rPr>
      <w:rFonts w:ascii="Times New Roman" w:hAnsi="Times New Roman" w:eastAsia="楷体_GB2312" w:cs="Times New Roman"/>
      <w:kern w:val="2"/>
      <w:sz w:val="18"/>
      <w:szCs w:val="20"/>
    </w:rPr>
  </w:style>
  <w:style w:type="paragraph" w:styleId="42">
    <w:name w:val="toc 6"/>
    <w:basedOn w:val="1"/>
    <w:next w:val="1"/>
    <w:semiHidden/>
    <w:qFormat/>
    <w:uiPriority w:val="99"/>
    <w:pPr>
      <w:widowControl w:val="0"/>
      <w:adjustRightInd/>
      <w:snapToGrid/>
      <w:spacing w:after="0"/>
      <w:ind w:left="2100"/>
      <w:jc w:val="both"/>
    </w:pPr>
    <w:rPr>
      <w:rFonts w:ascii="Times New Roman" w:hAnsi="Times New Roman" w:eastAsia="楷体_GB2312" w:cs="Times New Roman"/>
      <w:kern w:val="2"/>
      <w:sz w:val="26"/>
      <w:szCs w:val="20"/>
    </w:rPr>
  </w:style>
  <w:style w:type="paragraph" w:styleId="43">
    <w:name w:val="Body Text Indent 3"/>
    <w:basedOn w:val="1"/>
    <w:link w:val="89"/>
    <w:qFormat/>
    <w:uiPriority w:val="99"/>
    <w:pPr>
      <w:widowControl w:val="0"/>
      <w:adjustRightInd/>
      <w:snapToGrid/>
      <w:spacing w:after="0" w:line="360" w:lineRule="auto"/>
      <w:ind w:firstLine="617" w:firstLineChars="257"/>
      <w:jc w:val="both"/>
    </w:pPr>
    <w:rPr>
      <w:rFonts w:ascii="Times New Roman" w:hAnsi="Times New Roman" w:eastAsia="宋体" w:cs="Times New Roman"/>
      <w:kern w:val="2"/>
      <w:sz w:val="24"/>
      <w:szCs w:val="24"/>
    </w:rPr>
  </w:style>
  <w:style w:type="paragraph" w:styleId="44">
    <w:name w:val="index 7"/>
    <w:basedOn w:val="1"/>
    <w:next w:val="1"/>
    <w:semiHidden/>
    <w:qFormat/>
    <w:uiPriority w:val="99"/>
    <w:pPr>
      <w:widowControl w:val="0"/>
      <w:adjustRightInd/>
      <w:snapToGrid/>
      <w:spacing w:after="0"/>
      <w:ind w:left="2520"/>
      <w:jc w:val="both"/>
    </w:pPr>
    <w:rPr>
      <w:rFonts w:ascii="Times New Roman" w:hAnsi="Times New Roman" w:eastAsia="楷体_GB2312" w:cs="Times New Roman"/>
      <w:kern w:val="2"/>
      <w:sz w:val="26"/>
      <w:szCs w:val="20"/>
    </w:rPr>
  </w:style>
  <w:style w:type="paragraph" w:styleId="45">
    <w:name w:val="index 9"/>
    <w:basedOn w:val="1"/>
    <w:next w:val="1"/>
    <w:semiHidden/>
    <w:qFormat/>
    <w:uiPriority w:val="99"/>
    <w:pPr>
      <w:widowControl w:val="0"/>
      <w:adjustRightInd/>
      <w:snapToGrid/>
      <w:spacing w:after="0"/>
      <w:ind w:left="3360"/>
      <w:jc w:val="both"/>
    </w:pPr>
    <w:rPr>
      <w:rFonts w:ascii="Times New Roman" w:hAnsi="Times New Roman" w:eastAsia="楷体_GB2312" w:cs="Times New Roman"/>
      <w:kern w:val="2"/>
      <w:sz w:val="26"/>
      <w:szCs w:val="20"/>
    </w:rPr>
  </w:style>
  <w:style w:type="paragraph" w:styleId="46">
    <w:name w:val="table of figures"/>
    <w:basedOn w:val="1"/>
    <w:next w:val="1"/>
    <w:semiHidden/>
    <w:qFormat/>
    <w:uiPriority w:val="99"/>
    <w:pPr>
      <w:widowControl w:val="0"/>
      <w:snapToGrid/>
      <w:spacing w:after="0"/>
      <w:ind w:left="420" w:hanging="420"/>
      <w:textAlignment w:val="baseline"/>
    </w:pPr>
    <w:rPr>
      <w:rFonts w:ascii="Times New Roman" w:hAnsi="Times New Roman" w:eastAsia="楷体_GB2312" w:cs="Times New Roman"/>
      <w:smallCaps/>
      <w:kern w:val="2"/>
      <w:sz w:val="24"/>
      <w:szCs w:val="20"/>
    </w:rPr>
  </w:style>
  <w:style w:type="paragraph" w:styleId="47">
    <w:name w:val="toc 2"/>
    <w:basedOn w:val="1"/>
    <w:next w:val="1"/>
    <w:semiHidden/>
    <w:qFormat/>
    <w:uiPriority w:val="99"/>
    <w:pPr>
      <w:widowControl w:val="0"/>
      <w:adjustRightInd/>
      <w:snapToGrid/>
      <w:spacing w:after="0"/>
      <w:ind w:left="420"/>
      <w:jc w:val="both"/>
    </w:pPr>
    <w:rPr>
      <w:rFonts w:ascii="Times New Roman" w:hAnsi="Times New Roman" w:eastAsia="楷体_GB2312" w:cs="Times New Roman"/>
      <w:kern w:val="2"/>
      <w:sz w:val="26"/>
      <w:szCs w:val="20"/>
    </w:rPr>
  </w:style>
  <w:style w:type="paragraph" w:styleId="48">
    <w:name w:val="toc 9"/>
    <w:basedOn w:val="1"/>
    <w:next w:val="1"/>
    <w:semiHidden/>
    <w:qFormat/>
    <w:uiPriority w:val="99"/>
    <w:pPr>
      <w:widowControl w:val="0"/>
      <w:adjustRightInd/>
      <w:snapToGrid/>
      <w:spacing w:after="0"/>
      <w:ind w:left="3360"/>
      <w:jc w:val="both"/>
    </w:pPr>
    <w:rPr>
      <w:rFonts w:ascii="Times New Roman" w:hAnsi="Times New Roman" w:eastAsia="楷体_GB2312" w:cs="Times New Roman"/>
      <w:kern w:val="2"/>
      <w:sz w:val="26"/>
      <w:szCs w:val="20"/>
    </w:rPr>
  </w:style>
  <w:style w:type="paragraph" w:styleId="49">
    <w:name w:val="Body Text 2"/>
    <w:basedOn w:val="1"/>
    <w:link w:val="90"/>
    <w:qFormat/>
    <w:uiPriority w:val="99"/>
    <w:pPr>
      <w:widowControl w:val="0"/>
      <w:adjustRightInd/>
      <w:snapToGrid/>
      <w:spacing w:after="120" w:line="480" w:lineRule="auto"/>
      <w:jc w:val="both"/>
    </w:pPr>
    <w:rPr>
      <w:rFonts w:ascii="Times New Roman" w:hAnsi="Times New Roman" w:eastAsia="楷体_GB2312" w:cs="Times New Roman"/>
      <w:kern w:val="2"/>
      <w:sz w:val="26"/>
      <w:szCs w:val="20"/>
    </w:rPr>
  </w:style>
  <w:style w:type="paragraph" w:styleId="50">
    <w:name w:val="HTML Preformatted"/>
    <w:basedOn w:val="1"/>
    <w:link w:val="9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hAnsi="Courier New" w:eastAsia="黑体" w:cs="楷体_GB2312"/>
      <w:sz w:val="20"/>
      <w:szCs w:val="20"/>
    </w:rPr>
  </w:style>
  <w:style w:type="paragraph" w:styleId="51">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52">
    <w:name w:val="index 2"/>
    <w:basedOn w:val="1"/>
    <w:next w:val="1"/>
    <w:semiHidden/>
    <w:qFormat/>
    <w:uiPriority w:val="99"/>
    <w:pPr>
      <w:widowControl w:val="0"/>
      <w:adjustRightInd/>
      <w:snapToGrid/>
      <w:spacing w:after="0"/>
      <w:ind w:left="420"/>
      <w:jc w:val="both"/>
    </w:pPr>
    <w:rPr>
      <w:rFonts w:ascii="Times New Roman" w:hAnsi="Times New Roman" w:eastAsia="楷体_GB2312" w:cs="Times New Roman"/>
      <w:kern w:val="2"/>
      <w:sz w:val="26"/>
      <w:szCs w:val="20"/>
    </w:rPr>
  </w:style>
  <w:style w:type="paragraph" w:styleId="53">
    <w:name w:val="Title"/>
    <w:basedOn w:val="1"/>
    <w:next w:val="1"/>
    <w:link w:val="92"/>
    <w:qFormat/>
    <w:uiPriority w:val="99"/>
    <w:pPr>
      <w:widowControl w:val="0"/>
      <w:adjustRightInd/>
      <w:snapToGrid/>
      <w:spacing w:before="240" w:after="60"/>
      <w:jc w:val="center"/>
      <w:outlineLvl w:val="0"/>
    </w:pPr>
    <w:rPr>
      <w:rFonts w:ascii="Cambria" w:hAnsi="Cambria" w:eastAsia="宋体" w:cs="Times New Roman"/>
      <w:b/>
      <w:bCs/>
      <w:kern w:val="2"/>
      <w:sz w:val="32"/>
      <w:szCs w:val="32"/>
    </w:rPr>
  </w:style>
  <w:style w:type="character" w:styleId="55">
    <w:name w:val="Strong"/>
    <w:qFormat/>
    <w:uiPriority w:val="99"/>
    <w:rPr>
      <w:rFonts w:cs="Times New Roman"/>
      <w:b/>
    </w:rPr>
  </w:style>
  <w:style w:type="character" w:styleId="56">
    <w:name w:val="endnote reference"/>
    <w:qFormat/>
    <w:uiPriority w:val="99"/>
    <w:rPr>
      <w:rFonts w:cs="Times New Roman"/>
      <w:vertAlign w:val="superscript"/>
    </w:rPr>
  </w:style>
  <w:style w:type="character" w:styleId="57">
    <w:name w:val="page number"/>
    <w:qFormat/>
    <w:uiPriority w:val="99"/>
    <w:rPr>
      <w:rFonts w:cs="Times New Roman"/>
    </w:rPr>
  </w:style>
  <w:style w:type="character" w:styleId="58">
    <w:name w:val="FollowedHyperlink"/>
    <w:qFormat/>
    <w:uiPriority w:val="99"/>
    <w:rPr>
      <w:rFonts w:cs="Times New Roman"/>
      <w:color w:val="800080"/>
      <w:u w:val="single"/>
    </w:rPr>
  </w:style>
  <w:style w:type="character" w:styleId="59">
    <w:name w:val="line number"/>
    <w:qFormat/>
    <w:uiPriority w:val="99"/>
    <w:rPr>
      <w:rFonts w:cs="Times New Roman"/>
    </w:rPr>
  </w:style>
  <w:style w:type="character" w:styleId="60">
    <w:name w:val="Hyperlink"/>
    <w:qFormat/>
    <w:uiPriority w:val="99"/>
    <w:rPr>
      <w:rFonts w:cs="Times New Roman"/>
      <w:color w:val="0000FF"/>
      <w:u w:val="single"/>
    </w:rPr>
  </w:style>
  <w:style w:type="character" w:styleId="61">
    <w:name w:val="annotation reference"/>
    <w:semiHidden/>
    <w:qFormat/>
    <w:uiPriority w:val="99"/>
    <w:rPr>
      <w:rFonts w:cs="Times New Roman"/>
      <w:sz w:val="21"/>
    </w:rPr>
  </w:style>
  <w:style w:type="character" w:styleId="62">
    <w:name w:val="footnote reference"/>
    <w:semiHidden/>
    <w:qFormat/>
    <w:uiPriority w:val="99"/>
    <w:rPr>
      <w:rFonts w:cs="Times New Roman"/>
      <w:vertAlign w:val="superscript"/>
    </w:rPr>
  </w:style>
  <w:style w:type="table" w:styleId="64">
    <w:name w:val="Table Grid"/>
    <w:basedOn w:val="63"/>
    <w:qFormat/>
    <w:uiPriority w:val="9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5">
    <w:name w:val="页眉 Char"/>
    <w:basedOn w:val="54"/>
    <w:link w:val="35"/>
    <w:uiPriority w:val="99"/>
    <w:rPr>
      <w:rFonts w:ascii="Tahoma" w:hAnsi="Tahoma"/>
      <w:sz w:val="18"/>
      <w:szCs w:val="18"/>
    </w:rPr>
  </w:style>
  <w:style w:type="character" w:customStyle="1" w:styleId="66">
    <w:name w:val="页脚 Char"/>
    <w:basedOn w:val="54"/>
    <w:link w:val="34"/>
    <w:qFormat/>
    <w:uiPriority w:val="99"/>
    <w:rPr>
      <w:rFonts w:ascii="Tahoma" w:hAnsi="Tahoma"/>
      <w:sz w:val="18"/>
      <w:szCs w:val="18"/>
    </w:rPr>
  </w:style>
  <w:style w:type="character" w:customStyle="1" w:styleId="67">
    <w:name w:val="标题 1 Char"/>
    <w:basedOn w:val="54"/>
    <w:link w:val="2"/>
    <w:qFormat/>
    <w:uiPriority w:val="99"/>
    <w:rPr>
      <w:rFonts w:ascii="Times New Roman" w:hAnsi="Times New Roman" w:eastAsia="楷体_GB2312" w:cs="Times New Roman"/>
      <w:b/>
      <w:kern w:val="44"/>
      <w:sz w:val="44"/>
      <w:szCs w:val="20"/>
    </w:rPr>
  </w:style>
  <w:style w:type="character" w:customStyle="1" w:styleId="68">
    <w:name w:val="标题 2 Char"/>
    <w:basedOn w:val="54"/>
    <w:link w:val="3"/>
    <w:qFormat/>
    <w:uiPriority w:val="99"/>
    <w:rPr>
      <w:rFonts w:ascii="宋体" w:hAnsi="宋体" w:eastAsia="楷体_GB2312" w:cs="Times New Roman"/>
      <w:b/>
      <w:kern w:val="2"/>
      <w:sz w:val="26"/>
      <w:szCs w:val="20"/>
    </w:rPr>
  </w:style>
  <w:style w:type="character" w:customStyle="1" w:styleId="69">
    <w:name w:val="标题 3 Char"/>
    <w:basedOn w:val="54"/>
    <w:link w:val="4"/>
    <w:qFormat/>
    <w:uiPriority w:val="99"/>
    <w:rPr>
      <w:rFonts w:ascii="Times New Roman" w:hAnsi="Times New Roman" w:eastAsia="楷体_GB2312" w:cs="Times New Roman"/>
      <w:b/>
      <w:kern w:val="2"/>
      <w:sz w:val="26"/>
      <w:szCs w:val="20"/>
    </w:rPr>
  </w:style>
  <w:style w:type="character" w:customStyle="1" w:styleId="70">
    <w:name w:val="标题 4 Char"/>
    <w:basedOn w:val="54"/>
    <w:link w:val="5"/>
    <w:qFormat/>
    <w:uiPriority w:val="99"/>
    <w:rPr>
      <w:rFonts w:ascii="Arial" w:hAnsi="Arial" w:eastAsia="黑体" w:cs="Times New Roman"/>
      <w:b/>
      <w:bCs/>
      <w:kern w:val="2"/>
      <w:sz w:val="28"/>
      <w:szCs w:val="28"/>
    </w:rPr>
  </w:style>
  <w:style w:type="character" w:customStyle="1" w:styleId="71">
    <w:name w:val="标题 5 Char"/>
    <w:basedOn w:val="54"/>
    <w:link w:val="6"/>
    <w:qFormat/>
    <w:uiPriority w:val="99"/>
    <w:rPr>
      <w:rFonts w:ascii="宋体" w:hAnsi="Tms Rmn" w:eastAsia="宋体" w:cs="Times New Roman"/>
      <w:b/>
      <w:sz w:val="28"/>
      <w:szCs w:val="20"/>
    </w:rPr>
  </w:style>
  <w:style w:type="character" w:customStyle="1" w:styleId="72">
    <w:name w:val="标题 6 Char"/>
    <w:basedOn w:val="54"/>
    <w:link w:val="7"/>
    <w:qFormat/>
    <w:uiPriority w:val="99"/>
    <w:rPr>
      <w:rFonts w:ascii="黑体" w:hAnsi="Tms Rmn" w:eastAsia="黑体" w:cs="Times New Roman"/>
      <w:b/>
      <w:sz w:val="24"/>
      <w:szCs w:val="20"/>
    </w:rPr>
  </w:style>
  <w:style w:type="character" w:customStyle="1" w:styleId="73">
    <w:name w:val="标题 7 Char"/>
    <w:basedOn w:val="54"/>
    <w:link w:val="8"/>
    <w:qFormat/>
    <w:uiPriority w:val="99"/>
    <w:rPr>
      <w:rFonts w:ascii="宋体" w:hAnsi="Tms Rmn" w:eastAsia="宋体" w:cs="Times New Roman"/>
      <w:b/>
      <w:sz w:val="24"/>
      <w:szCs w:val="20"/>
    </w:rPr>
  </w:style>
  <w:style w:type="character" w:customStyle="1" w:styleId="74">
    <w:name w:val="标题 8 Char"/>
    <w:basedOn w:val="54"/>
    <w:link w:val="9"/>
    <w:qFormat/>
    <w:uiPriority w:val="99"/>
    <w:rPr>
      <w:rFonts w:ascii="Arial" w:hAnsi="Arial" w:eastAsia="黑体" w:cs="Times New Roman"/>
      <w:kern w:val="2"/>
      <w:sz w:val="24"/>
      <w:szCs w:val="24"/>
    </w:rPr>
  </w:style>
  <w:style w:type="character" w:customStyle="1" w:styleId="75">
    <w:name w:val="标题 9 Char"/>
    <w:basedOn w:val="54"/>
    <w:link w:val="10"/>
    <w:qFormat/>
    <w:uiPriority w:val="99"/>
    <w:rPr>
      <w:rFonts w:ascii="Arial" w:hAnsi="Arial" w:eastAsia="黑体" w:cs="Times New Roman"/>
      <w:kern w:val="2"/>
      <w:sz w:val="21"/>
      <w:szCs w:val="21"/>
    </w:rPr>
  </w:style>
  <w:style w:type="character" w:customStyle="1" w:styleId="76">
    <w:name w:val="批注文字 Char"/>
    <w:basedOn w:val="54"/>
    <w:link w:val="12"/>
    <w:semiHidden/>
    <w:qFormat/>
    <w:uiPriority w:val="99"/>
    <w:rPr>
      <w:rFonts w:ascii="Tahoma" w:hAnsi="Tahoma"/>
    </w:rPr>
  </w:style>
  <w:style w:type="character" w:customStyle="1" w:styleId="77">
    <w:name w:val="批注主题 Char"/>
    <w:basedOn w:val="76"/>
    <w:link w:val="11"/>
    <w:semiHidden/>
    <w:qFormat/>
    <w:uiPriority w:val="99"/>
    <w:rPr>
      <w:rFonts w:ascii="Times New Roman" w:hAnsi="Times New Roman" w:eastAsia="楷体_GB2312" w:cs="Times New Roman"/>
      <w:b/>
      <w:bCs/>
      <w:kern w:val="2"/>
      <w:sz w:val="26"/>
      <w:szCs w:val="20"/>
    </w:rPr>
  </w:style>
  <w:style w:type="character" w:customStyle="1" w:styleId="78">
    <w:name w:val="正文文本 Char"/>
    <w:basedOn w:val="54"/>
    <w:link w:val="15"/>
    <w:semiHidden/>
    <w:qFormat/>
    <w:uiPriority w:val="99"/>
    <w:rPr>
      <w:rFonts w:ascii="Tahoma" w:hAnsi="Tahoma"/>
    </w:rPr>
  </w:style>
  <w:style w:type="character" w:customStyle="1" w:styleId="79">
    <w:name w:val="正文首行缩进 Char"/>
    <w:basedOn w:val="78"/>
    <w:link w:val="14"/>
    <w:qFormat/>
    <w:uiPriority w:val="99"/>
    <w:rPr>
      <w:rFonts w:ascii="Times New Roman" w:hAnsi="Times New Roman" w:eastAsia="楷体_GB2312" w:cs="Times New Roman"/>
      <w:kern w:val="2"/>
      <w:sz w:val="26"/>
      <w:szCs w:val="20"/>
    </w:rPr>
  </w:style>
  <w:style w:type="character" w:customStyle="1" w:styleId="80">
    <w:name w:val="文档结构图 Char"/>
    <w:basedOn w:val="54"/>
    <w:link w:val="20"/>
    <w:semiHidden/>
    <w:uiPriority w:val="99"/>
    <w:rPr>
      <w:rFonts w:ascii="Times New Roman" w:hAnsi="Times New Roman" w:eastAsia="宋体" w:cs="Times New Roman"/>
      <w:kern w:val="2"/>
      <w:sz w:val="21"/>
      <w:szCs w:val="20"/>
      <w:shd w:val="clear" w:color="auto" w:fill="000080"/>
    </w:rPr>
  </w:style>
  <w:style w:type="character" w:customStyle="1" w:styleId="81">
    <w:name w:val="正文文本缩进 Char"/>
    <w:basedOn w:val="54"/>
    <w:link w:val="22"/>
    <w:qFormat/>
    <w:uiPriority w:val="99"/>
    <w:rPr>
      <w:rFonts w:ascii="方正仿宋简体" w:hAnsi="创艺简仿宋" w:eastAsia="方正仿宋简体" w:cs="Times New Roman"/>
      <w:kern w:val="2"/>
      <w:sz w:val="24"/>
      <w:szCs w:val="20"/>
    </w:rPr>
  </w:style>
  <w:style w:type="character" w:customStyle="1" w:styleId="82">
    <w:name w:val="纯文本 Char"/>
    <w:basedOn w:val="54"/>
    <w:link w:val="27"/>
    <w:qFormat/>
    <w:uiPriority w:val="99"/>
    <w:rPr>
      <w:rFonts w:ascii="宋体" w:hAnsi="Courier New" w:eastAsia="楷体_GB2312" w:cs="Times New Roman"/>
      <w:kern w:val="2"/>
      <w:sz w:val="26"/>
      <w:szCs w:val="20"/>
    </w:rPr>
  </w:style>
  <w:style w:type="character" w:customStyle="1" w:styleId="83">
    <w:name w:val="日期 Char"/>
    <w:basedOn w:val="54"/>
    <w:link w:val="30"/>
    <w:qFormat/>
    <w:uiPriority w:val="99"/>
    <w:rPr>
      <w:rFonts w:ascii="宋体" w:hAnsi="宋体" w:eastAsia="楷体_GB2312" w:cs="Times New Roman"/>
      <w:kern w:val="2"/>
      <w:sz w:val="24"/>
      <w:szCs w:val="20"/>
    </w:rPr>
  </w:style>
  <w:style w:type="character" w:customStyle="1" w:styleId="84">
    <w:name w:val="正文文本缩进 2 Char"/>
    <w:basedOn w:val="54"/>
    <w:link w:val="31"/>
    <w:qFormat/>
    <w:uiPriority w:val="99"/>
    <w:rPr>
      <w:rFonts w:ascii="宋体" w:hAnsi="Times New Roman" w:eastAsia="宋体" w:cs="Times New Roman"/>
      <w:b/>
      <w:bCs/>
      <w:kern w:val="2"/>
      <w:sz w:val="24"/>
      <w:szCs w:val="20"/>
    </w:rPr>
  </w:style>
  <w:style w:type="character" w:customStyle="1" w:styleId="85">
    <w:name w:val="尾注文本 Char"/>
    <w:basedOn w:val="54"/>
    <w:link w:val="32"/>
    <w:qFormat/>
    <w:uiPriority w:val="99"/>
    <w:rPr>
      <w:rFonts w:ascii="Times New Roman" w:hAnsi="Times New Roman" w:eastAsia="楷体_GB2312" w:cs="Times New Roman"/>
      <w:kern w:val="2"/>
      <w:sz w:val="26"/>
      <w:szCs w:val="20"/>
    </w:rPr>
  </w:style>
  <w:style w:type="character" w:customStyle="1" w:styleId="86">
    <w:name w:val="批注框文本 Char"/>
    <w:basedOn w:val="54"/>
    <w:link w:val="33"/>
    <w:semiHidden/>
    <w:qFormat/>
    <w:uiPriority w:val="99"/>
    <w:rPr>
      <w:rFonts w:ascii="Times New Roman" w:hAnsi="Times New Roman" w:eastAsia="楷体_GB2312" w:cs="Times New Roman"/>
      <w:kern w:val="2"/>
      <w:sz w:val="18"/>
      <w:szCs w:val="18"/>
    </w:rPr>
  </w:style>
  <w:style w:type="character" w:customStyle="1" w:styleId="87">
    <w:name w:val="副标题 Char"/>
    <w:basedOn w:val="54"/>
    <w:link w:val="40"/>
    <w:qFormat/>
    <w:uiPriority w:val="99"/>
    <w:rPr>
      <w:rFonts w:ascii="Arial" w:hAnsi="Arial" w:eastAsia="宋体" w:cs="Times New Roman"/>
      <w:b/>
      <w:bCs/>
      <w:kern w:val="28"/>
      <w:sz w:val="32"/>
      <w:szCs w:val="32"/>
    </w:rPr>
  </w:style>
  <w:style w:type="character" w:customStyle="1" w:styleId="88">
    <w:name w:val="脚注文本 Char"/>
    <w:basedOn w:val="54"/>
    <w:link w:val="41"/>
    <w:semiHidden/>
    <w:qFormat/>
    <w:uiPriority w:val="99"/>
    <w:rPr>
      <w:rFonts w:ascii="Times New Roman" w:hAnsi="Times New Roman" w:eastAsia="楷体_GB2312" w:cs="Times New Roman"/>
      <w:kern w:val="2"/>
      <w:sz w:val="18"/>
      <w:szCs w:val="20"/>
    </w:rPr>
  </w:style>
  <w:style w:type="character" w:customStyle="1" w:styleId="89">
    <w:name w:val="正文文本缩进 3 Char"/>
    <w:basedOn w:val="54"/>
    <w:link w:val="43"/>
    <w:qFormat/>
    <w:uiPriority w:val="99"/>
    <w:rPr>
      <w:rFonts w:ascii="Times New Roman" w:hAnsi="Times New Roman" w:eastAsia="宋体" w:cs="Times New Roman"/>
      <w:kern w:val="2"/>
      <w:sz w:val="24"/>
      <w:szCs w:val="24"/>
    </w:rPr>
  </w:style>
  <w:style w:type="character" w:customStyle="1" w:styleId="90">
    <w:name w:val="正文文本 2 Char"/>
    <w:basedOn w:val="54"/>
    <w:link w:val="49"/>
    <w:qFormat/>
    <w:uiPriority w:val="99"/>
    <w:rPr>
      <w:rFonts w:ascii="Times New Roman" w:hAnsi="Times New Roman" w:eastAsia="楷体_GB2312" w:cs="Times New Roman"/>
      <w:kern w:val="2"/>
      <w:sz w:val="26"/>
      <w:szCs w:val="20"/>
    </w:rPr>
  </w:style>
  <w:style w:type="character" w:customStyle="1" w:styleId="91">
    <w:name w:val="HTML 预设格式 Char"/>
    <w:basedOn w:val="54"/>
    <w:link w:val="50"/>
    <w:qFormat/>
    <w:uiPriority w:val="99"/>
    <w:rPr>
      <w:rFonts w:ascii="黑体" w:hAnsi="Courier New" w:eastAsia="黑体" w:cs="楷体_GB2312"/>
      <w:sz w:val="20"/>
      <w:szCs w:val="20"/>
    </w:rPr>
  </w:style>
  <w:style w:type="character" w:customStyle="1" w:styleId="92">
    <w:name w:val="标题 Char"/>
    <w:basedOn w:val="54"/>
    <w:link w:val="53"/>
    <w:qFormat/>
    <w:uiPriority w:val="99"/>
    <w:rPr>
      <w:rFonts w:ascii="Cambria" w:hAnsi="Cambria" w:eastAsia="宋体" w:cs="Times New Roman"/>
      <w:b/>
      <w:bCs/>
      <w:kern w:val="2"/>
      <w:sz w:val="32"/>
      <w:szCs w:val="32"/>
    </w:rPr>
  </w:style>
  <w:style w:type="character" w:customStyle="1" w:styleId="93">
    <w:name w:val="Plain Text Char"/>
    <w:link w:val="94"/>
    <w:qFormat/>
    <w:locked/>
    <w:uiPriority w:val="99"/>
    <w:rPr>
      <w:rFonts w:ascii="宋体" w:hAnsi="Courier New" w:eastAsia="楷体_GB2312"/>
      <w:kern w:val="2"/>
      <w:sz w:val="26"/>
    </w:rPr>
  </w:style>
  <w:style w:type="paragraph" w:customStyle="1" w:styleId="94">
    <w:name w:val="纯文本2"/>
    <w:basedOn w:val="1"/>
    <w:link w:val="93"/>
    <w:qFormat/>
    <w:uiPriority w:val="99"/>
    <w:pPr>
      <w:widowControl w:val="0"/>
      <w:snapToGrid/>
      <w:spacing w:after="0"/>
      <w:jc w:val="both"/>
      <w:textAlignment w:val="baseline"/>
    </w:pPr>
    <w:rPr>
      <w:rFonts w:ascii="宋体" w:hAnsi="Courier New" w:eastAsia="楷体_GB2312"/>
      <w:kern w:val="2"/>
      <w:sz w:val="26"/>
    </w:rPr>
  </w:style>
  <w:style w:type="character" w:customStyle="1" w:styleId="95">
    <w:name w:val="ca-221"/>
    <w:qFormat/>
    <w:uiPriority w:val="99"/>
    <w:rPr>
      <w:rFonts w:ascii="宋体" w:hAnsi="宋体" w:eastAsia="宋体"/>
      <w:color w:val="FF0000"/>
      <w:sz w:val="24"/>
    </w:rPr>
  </w:style>
  <w:style w:type="character" w:customStyle="1" w:styleId="96">
    <w:name w:val="apple-converted-space"/>
    <w:qFormat/>
    <w:uiPriority w:val="99"/>
    <w:rPr>
      <w:rFonts w:cs="Times New Roman"/>
    </w:rPr>
  </w:style>
  <w:style w:type="character" w:customStyle="1" w:styleId="97">
    <w:name w:val="标题 3 Char Char"/>
    <w:qFormat/>
    <w:uiPriority w:val="99"/>
    <w:rPr>
      <w:rFonts w:ascii="黑体" w:hAnsi="宋体" w:eastAsia="黑体"/>
      <w:sz w:val="28"/>
    </w:rPr>
  </w:style>
  <w:style w:type="character" w:customStyle="1" w:styleId="98">
    <w:name w:val="正文缩进 Char"/>
    <w:link w:val="18"/>
    <w:qFormat/>
    <w:locked/>
    <w:uiPriority w:val="99"/>
    <w:rPr>
      <w:rFonts w:ascii="Times New Roman" w:hAnsi="Times New Roman" w:eastAsia="楷体_GB2312" w:cs="Times New Roman"/>
      <w:kern w:val="2"/>
      <w:sz w:val="24"/>
      <w:szCs w:val="20"/>
    </w:rPr>
  </w:style>
  <w:style w:type="character" w:customStyle="1" w:styleId="99">
    <w:name w:val="方案正文 Char"/>
    <w:link w:val="100"/>
    <w:qFormat/>
    <w:locked/>
    <w:uiPriority w:val="99"/>
    <w:rPr>
      <w:rFonts w:ascii="华文细黑" w:hAnsi="华文细黑" w:eastAsia="华文细黑"/>
      <w:kern w:val="2"/>
      <w:sz w:val="24"/>
    </w:rPr>
  </w:style>
  <w:style w:type="paragraph" w:customStyle="1" w:styleId="100">
    <w:name w:val="方案正文"/>
    <w:basedOn w:val="1"/>
    <w:link w:val="99"/>
    <w:qFormat/>
    <w:uiPriority w:val="99"/>
    <w:pPr>
      <w:widowControl w:val="0"/>
      <w:adjustRightInd/>
      <w:snapToGrid/>
      <w:spacing w:before="120" w:after="0" w:line="360" w:lineRule="auto"/>
      <w:ind w:firstLine="425" w:firstLineChars="177"/>
      <w:jc w:val="both"/>
    </w:pPr>
    <w:rPr>
      <w:rFonts w:ascii="华文细黑" w:hAnsi="华文细黑" w:eastAsia="华文细黑"/>
      <w:kern w:val="2"/>
      <w:sz w:val="24"/>
    </w:rPr>
  </w:style>
  <w:style w:type="character" w:customStyle="1" w:styleId="101">
    <w:name w:val="纯文本 Char1"/>
    <w:qFormat/>
    <w:locked/>
    <w:uiPriority w:val="99"/>
    <w:rPr>
      <w:rFonts w:ascii="宋体" w:hAnsi="Courier New" w:eastAsia="宋体"/>
      <w:kern w:val="2"/>
      <w:sz w:val="21"/>
      <w:lang w:val="en-US" w:eastAsia="zh-CN"/>
    </w:rPr>
  </w:style>
  <w:style w:type="character" w:customStyle="1" w:styleId="102">
    <w:name w:val="Plain Text Char Char"/>
    <w:qFormat/>
    <w:uiPriority w:val="99"/>
    <w:rPr>
      <w:rFonts w:ascii="宋体" w:hAnsi="Courier New" w:eastAsia="楷体_GB2312"/>
      <w:kern w:val="2"/>
      <w:sz w:val="26"/>
    </w:rPr>
  </w:style>
  <w:style w:type="paragraph" w:customStyle="1" w:styleId="103">
    <w:name w:val="Char"/>
    <w:basedOn w:val="1"/>
    <w:qFormat/>
    <w:uiPriority w:val="99"/>
    <w:pPr>
      <w:widowControl w:val="0"/>
      <w:adjustRightInd/>
      <w:snapToGrid/>
      <w:spacing w:after="0"/>
      <w:jc w:val="both"/>
    </w:pPr>
    <w:rPr>
      <w:rFonts w:eastAsia="宋体" w:cs="Times New Roman"/>
      <w:kern w:val="2"/>
      <w:sz w:val="24"/>
      <w:szCs w:val="20"/>
    </w:rPr>
  </w:style>
  <w:style w:type="paragraph" w:customStyle="1" w:styleId="104">
    <w:name w:val="xl56"/>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05">
    <w:name w:val="xl63"/>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color w:val="FFFF99"/>
      <w:sz w:val="18"/>
      <w:szCs w:val="18"/>
    </w:rPr>
  </w:style>
  <w:style w:type="paragraph" w:customStyle="1" w:styleId="106">
    <w:name w:val="xl54"/>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07">
    <w:name w:val="xl57"/>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both"/>
      <w:textAlignment w:val="center"/>
    </w:pPr>
    <w:rPr>
      <w:rFonts w:ascii="Arial Unicode MS" w:hAnsi="Arial Unicode MS" w:eastAsia="Arial Unicode MS" w:cs="Arial Unicode MS"/>
      <w:sz w:val="18"/>
      <w:szCs w:val="18"/>
    </w:rPr>
  </w:style>
  <w:style w:type="paragraph" w:customStyle="1" w:styleId="108">
    <w:name w:val="列出段落1"/>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after="0" w:line="240" w:lineRule="auto"/>
      <w:ind w:firstLine="420"/>
    </w:pPr>
    <w:rPr>
      <w:rFonts w:ascii="Times New Roman" w:hAnsi="Times New Roman" w:eastAsia="宋体" w:cs="Times New Roman"/>
      <w:sz w:val="20"/>
      <w:szCs w:val="20"/>
      <w:lang w:val="en-US" w:eastAsia="zh-CN" w:bidi="ar-SA"/>
    </w:rPr>
  </w:style>
  <w:style w:type="paragraph" w:customStyle="1" w:styleId="109">
    <w:name w:val="xl65"/>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10">
    <w:name w:val="xl49"/>
    <w:basedOn w:val="1"/>
    <w:qFormat/>
    <w:uiPriority w:val="99"/>
    <w:pPr>
      <w:adjustRightInd/>
      <w:snapToGrid/>
      <w:spacing w:before="100" w:beforeAutospacing="1" w:after="100" w:afterAutospacing="1"/>
      <w:jc w:val="center"/>
      <w:textAlignment w:val="center"/>
    </w:pPr>
    <w:rPr>
      <w:rFonts w:ascii="Arial Unicode MS" w:hAnsi="Arial Unicode MS" w:eastAsia="Arial Unicode MS" w:cs="Arial Unicode MS"/>
      <w:b/>
      <w:bCs/>
      <w:sz w:val="32"/>
      <w:szCs w:val="32"/>
    </w:rPr>
  </w:style>
  <w:style w:type="paragraph" w:customStyle="1" w:styleId="111">
    <w:name w:val="纯文本1"/>
    <w:basedOn w:val="1"/>
    <w:qFormat/>
    <w:uiPriority w:val="99"/>
    <w:pPr>
      <w:widowControl w:val="0"/>
      <w:snapToGrid/>
      <w:spacing w:after="0"/>
      <w:jc w:val="both"/>
      <w:textAlignment w:val="baseline"/>
    </w:pPr>
    <w:rPr>
      <w:rFonts w:ascii="宋体" w:hAnsi="Courier New" w:eastAsia="楷体_GB2312" w:cs="Times New Roman"/>
      <w:kern w:val="2"/>
      <w:sz w:val="28"/>
      <w:szCs w:val="20"/>
    </w:rPr>
  </w:style>
  <w:style w:type="paragraph" w:customStyle="1" w:styleId="112">
    <w:name w:val="列出段落11"/>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13">
    <w:name w:val="xl53"/>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14">
    <w:name w:val="xl45"/>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15">
    <w:name w:val="xl48"/>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w:hAnsi="Arial" w:eastAsia="Arial Unicode MS" w:cs="Arial"/>
      <w:sz w:val="18"/>
      <w:szCs w:val="18"/>
    </w:rPr>
  </w:style>
  <w:style w:type="paragraph" w:customStyle="1" w:styleId="116">
    <w:name w:val="xl61"/>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sz w:val="18"/>
      <w:szCs w:val="18"/>
    </w:rPr>
  </w:style>
  <w:style w:type="paragraph" w:customStyle="1" w:styleId="117">
    <w:name w:val="xl50"/>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sz w:val="18"/>
      <w:szCs w:val="18"/>
    </w:rPr>
  </w:style>
  <w:style w:type="paragraph" w:customStyle="1" w:styleId="118">
    <w:name w:val="小四 段落 宋体 Char Char Char Char Char Char Char"/>
    <w:basedOn w:val="17"/>
    <w:semiHidden/>
    <w:qFormat/>
    <w:uiPriority w:val="99"/>
    <w:pPr>
      <w:tabs>
        <w:tab w:val="clear" w:pos="1125"/>
      </w:tabs>
      <w:spacing w:line="360" w:lineRule="auto"/>
      <w:ind w:left="0" w:right="-33" w:firstLine="545" w:firstLineChars="227"/>
      <w:jc w:val="left"/>
    </w:pPr>
    <w:rPr>
      <w:sz w:val="24"/>
    </w:rPr>
  </w:style>
  <w:style w:type="paragraph" w:customStyle="1" w:styleId="119">
    <w:name w:val="xl51"/>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b/>
      <w:bCs/>
      <w:sz w:val="18"/>
      <w:szCs w:val="18"/>
    </w:rPr>
  </w:style>
  <w:style w:type="paragraph" w:customStyle="1" w:styleId="120">
    <w:name w:val="列出段落2"/>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after="0" w:line="360" w:lineRule="auto"/>
      <w:ind w:firstLine="420"/>
      <w:jc w:val="both"/>
    </w:pPr>
    <w:rPr>
      <w:rFonts w:ascii="Calibri" w:hAnsi="Calibri" w:eastAsia="宋体" w:cs="Times New Roman"/>
      <w:kern w:val="1"/>
      <w:sz w:val="21"/>
      <w:szCs w:val="22"/>
      <w:lang w:val="en-US" w:eastAsia="zh-CN" w:bidi="ar-SA"/>
    </w:rPr>
  </w:style>
  <w:style w:type="paragraph" w:customStyle="1" w:styleId="121">
    <w:name w:val="列出段落3"/>
    <w:basedOn w:val="1"/>
    <w:qFormat/>
    <w:uiPriority w:val="99"/>
    <w:pPr>
      <w:widowControl w:val="0"/>
      <w:adjustRightInd/>
      <w:snapToGrid/>
      <w:spacing w:after="0"/>
      <w:ind w:firstLine="420" w:firstLineChars="200"/>
      <w:jc w:val="both"/>
    </w:pPr>
    <w:rPr>
      <w:rFonts w:ascii="Times New Roman" w:hAnsi="Times New Roman" w:eastAsia="楷体_GB2312" w:cs="Times New Roman"/>
      <w:kern w:val="2"/>
      <w:sz w:val="26"/>
      <w:szCs w:val="20"/>
    </w:rPr>
  </w:style>
  <w:style w:type="paragraph" w:customStyle="1" w:styleId="122">
    <w:name w:val="xl60"/>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23">
    <w:name w:val="xl59"/>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24">
    <w:name w:val="xl66"/>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25">
    <w:name w:val="xl47"/>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w:hAnsi="Arial" w:eastAsia="Arial Unicode MS" w:cs="Arial"/>
      <w:sz w:val="18"/>
      <w:szCs w:val="18"/>
    </w:rPr>
  </w:style>
  <w:style w:type="paragraph" w:customStyle="1" w:styleId="126">
    <w:name w:val="Char1"/>
    <w:basedOn w:val="1"/>
    <w:uiPriority w:val="99"/>
    <w:pPr>
      <w:adjustRightInd/>
      <w:snapToGrid/>
      <w:spacing w:after="160" w:line="240" w:lineRule="exact"/>
    </w:pPr>
    <w:rPr>
      <w:rFonts w:ascii="Verdana" w:hAnsi="Verdana" w:eastAsia="仿宋_GB2312" w:cs="Times New Roman"/>
      <w:sz w:val="24"/>
      <w:szCs w:val="20"/>
      <w:lang w:eastAsia="en-US"/>
    </w:rPr>
  </w:style>
  <w:style w:type="paragraph" w:customStyle="1" w:styleId="127">
    <w:name w:val="Default Paragraph Font Para Char"/>
    <w:basedOn w:val="1"/>
    <w:semiHidden/>
    <w:uiPriority w:val="99"/>
    <w:pPr>
      <w:adjustRightInd/>
      <w:snapToGrid/>
      <w:spacing w:after="160" w:line="240" w:lineRule="exact"/>
    </w:pPr>
    <w:rPr>
      <w:rFonts w:ascii="Verdana" w:hAnsi="Verdana" w:eastAsia="宋体" w:cs="Times New Roman"/>
      <w:sz w:val="20"/>
      <w:szCs w:val="20"/>
      <w:lang w:eastAsia="en-US"/>
    </w:rPr>
  </w:style>
  <w:style w:type="paragraph" w:customStyle="1" w:styleId="128">
    <w:name w:val="xl55"/>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right"/>
      <w:textAlignment w:val="center"/>
    </w:pPr>
    <w:rPr>
      <w:rFonts w:ascii="Arial Unicode MS" w:hAnsi="Arial Unicode MS" w:eastAsia="Arial Unicode MS" w:cs="Arial Unicode MS"/>
      <w:sz w:val="18"/>
      <w:szCs w:val="18"/>
    </w:rPr>
  </w:style>
  <w:style w:type="paragraph" w:customStyle="1" w:styleId="129">
    <w:name w:val="font5"/>
    <w:basedOn w:val="1"/>
    <w:uiPriority w:val="99"/>
    <w:pPr>
      <w:adjustRightInd/>
      <w:snapToGrid/>
      <w:spacing w:before="100" w:beforeAutospacing="1" w:after="100" w:afterAutospacing="1"/>
    </w:pPr>
    <w:rPr>
      <w:rFonts w:ascii="宋体" w:hAnsi="宋体" w:eastAsia="宋体" w:cs="Times New Roman"/>
      <w:sz w:val="18"/>
      <w:szCs w:val="18"/>
    </w:rPr>
  </w:style>
  <w:style w:type="paragraph" w:customStyle="1" w:styleId="130">
    <w:name w:val="Char Char Char"/>
    <w:basedOn w:val="1"/>
    <w:uiPriority w:val="99"/>
    <w:pPr>
      <w:widowControl w:val="0"/>
      <w:adjustRightInd/>
      <w:snapToGrid/>
      <w:spacing w:after="0"/>
      <w:jc w:val="both"/>
    </w:pPr>
    <w:rPr>
      <w:rFonts w:eastAsia="宋体" w:cs="Times New Roman"/>
      <w:kern w:val="2"/>
      <w:sz w:val="24"/>
      <w:szCs w:val="20"/>
    </w:rPr>
  </w:style>
  <w:style w:type="paragraph" w:customStyle="1" w:styleId="131">
    <w:name w:val="xl52"/>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32">
    <w:name w:val="xl64"/>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color w:val="FFFF99"/>
      <w:sz w:val="18"/>
      <w:szCs w:val="18"/>
    </w:rPr>
  </w:style>
  <w:style w:type="paragraph" w:customStyle="1" w:styleId="133">
    <w:name w:val="小四 段落 宋体 Char Char Char Char Char Char"/>
    <w:basedOn w:val="118"/>
    <w:uiPriority w:val="99"/>
    <w:pPr>
      <w:ind w:firstLine="480" w:firstLineChars="200"/>
    </w:pPr>
    <w:rPr>
      <w:rFonts w:ascii="宋体" w:hAnsi="宋体"/>
    </w:rPr>
  </w:style>
  <w:style w:type="paragraph" w:customStyle="1" w:styleId="134">
    <w:name w:val="小四 段落 宋体 Char"/>
    <w:basedOn w:val="17"/>
    <w:uiPriority w:val="99"/>
    <w:pPr>
      <w:tabs>
        <w:tab w:val="clear" w:pos="1125"/>
      </w:tabs>
      <w:spacing w:line="360" w:lineRule="auto"/>
      <w:ind w:left="0" w:right="-33" w:firstLine="480" w:firstLineChars="200"/>
      <w:jc w:val="left"/>
    </w:pPr>
    <w:rPr>
      <w:sz w:val="24"/>
    </w:rPr>
  </w:style>
  <w:style w:type="paragraph" w:customStyle="1" w:styleId="135">
    <w:name w:val="xl62"/>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b/>
      <w:bCs/>
      <w:color w:val="FFFF99"/>
      <w:sz w:val="18"/>
      <w:szCs w:val="18"/>
    </w:rPr>
  </w:style>
  <w:style w:type="paragraph" w:customStyle="1" w:styleId="136">
    <w:name w:val="xl58"/>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37">
    <w:name w:val="font6"/>
    <w:basedOn w:val="1"/>
    <w:uiPriority w:val="99"/>
    <w:pPr>
      <w:adjustRightInd/>
      <w:snapToGrid/>
      <w:spacing w:before="100" w:beforeAutospacing="1" w:after="100" w:afterAutospacing="1"/>
    </w:pPr>
    <w:rPr>
      <w:rFonts w:ascii="宋体" w:hAnsi="宋体" w:eastAsia="宋体" w:cs="Arial Unicode MS"/>
      <w:b/>
      <w:bCs/>
      <w:sz w:val="18"/>
      <w:szCs w:val="18"/>
    </w:rPr>
  </w:style>
  <w:style w:type="paragraph" w:customStyle="1" w:styleId="138">
    <w:name w:val="xl46"/>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character" w:customStyle="1" w:styleId="139">
    <w:name w:val="未处理的提及1"/>
    <w:uiPriority w:val="99"/>
    <w:rPr>
      <w:rFonts w:cs="Times New Roman"/>
      <w:color w:val="808080"/>
      <w:shd w:val="clear" w:color="auto" w:fill="E6E6E6"/>
    </w:rPr>
  </w:style>
  <w:style w:type="table" w:customStyle="1" w:styleId="140">
    <w:name w:val="网格型1"/>
    <w:uiPriority w:val="99"/>
    <w:pPr>
      <w:spacing w:after="0" w:line="240" w:lineRule="auto"/>
    </w:pPr>
    <w:rPr>
      <w:rFonts w:ascii="等线" w:hAnsi="等线" w:eastAsia="等线" w:cs="Times New Roman"/>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1">
    <w:name w:val="网格型2"/>
    <w:uiPriority w:val="99"/>
    <w:pPr>
      <w:spacing w:after="0" w:line="240" w:lineRule="auto"/>
    </w:pPr>
    <w:rPr>
      <w:rFonts w:ascii="等线" w:hAnsi="等线" w:eastAsia="等线" w:cs="Times New Roman"/>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2">
    <w:name w:val="无间隔1"/>
    <w:link w:val="143"/>
    <w:uiPriority w:val="99"/>
    <w:pPr>
      <w:spacing w:after="0" w:line="240" w:lineRule="auto"/>
    </w:pPr>
    <w:rPr>
      <w:rFonts w:ascii="等线" w:hAnsi="等线" w:eastAsia="等线" w:cs="Times New Roman"/>
      <w:sz w:val="22"/>
      <w:szCs w:val="22"/>
      <w:lang w:val="en-US" w:eastAsia="zh-CN" w:bidi="ar-SA"/>
    </w:rPr>
  </w:style>
  <w:style w:type="character" w:customStyle="1" w:styleId="143">
    <w:name w:val="无间隔 Char"/>
    <w:link w:val="142"/>
    <w:qFormat/>
    <w:locked/>
    <w:uiPriority w:val="99"/>
    <w:rPr>
      <w:rFonts w:ascii="等线" w:hAnsi="等线" w:eastAsia="等线" w:cs="Times New Roman"/>
    </w:rPr>
  </w:style>
  <w:style w:type="paragraph" w:customStyle="1" w:styleId="144">
    <w:name w:val="TOC 标题1"/>
    <w:basedOn w:val="2"/>
    <w:next w:val="1"/>
    <w:qFormat/>
    <w:uiPriority w:val="9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145">
    <w:name w:val="Plain Text1"/>
    <w:basedOn w:val="1"/>
    <w:qFormat/>
    <w:uiPriority w:val="99"/>
    <w:pPr>
      <w:widowControl w:val="0"/>
      <w:snapToGrid/>
      <w:spacing w:after="0"/>
      <w:jc w:val="both"/>
    </w:pPr>
    <w:rPr>
      <w:rFonts w:ascii="宋体" w:hAnsi="Courier New" w:eastAsia="楷体_GB2312" w:cs="Times New Roman"/>
      <w:kern w:val="2"/>
      <w:sz w:val="28"/>
      <w:szCs w:val="20"/>
    </w:rPr>
  </w:style>
  <w:style w:type="paragraph" w:styleId="146">
    <w:name w:val="List Paragraph"/>
    <w:basedOn w:val="1"/>
    <w:qFormat/>
    <w:uiPriority w:val="99"/>
    <w:pPr>
      <w:widowControl w:val="0"/>
      <w:adjustRightInd/>
      <w:snapToGrid/>
      <w:spacing w:after="0"/>
      <w:ind w:firstLine="420" w:firstLineChars="200"/>
      <w:jc w:val="both"/>
    </w:pPr>
    <w:rPr>
      <w:rFonts w:ascii="Times New Roman" w:hAnsi="Times New Roman" w:eastAsia="楷体_GB2312" w:cs="Times New Roman"/>
      <w:kern w:val="2"/>
      <w:sz w:val="26"/>
      <w:szCs w:val="20"/>
    </w:rPr>
  </w:style>
  <w:style w:type="paragraph" w:customStyle="1" w:styleId="147">
    <w:name w:val="TOC 标题2"/>
    <w:basedOn w:val="2"/>
    <w:next w:val="1"/>
    <w:qFormat/>
    <w:uiPriority w:val="9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148">
    <w:name w:val="纯文本3"/>
    <w:basedOn w:val="1"/>
    <w:qFormat/>
    <w:uiPriority w:val="99"/>
    <w:pPr>
      <w:widowControl w:val="0"/>
      <w:snapToGrid/>
      <w:spacing w:after="0"/>
      <w:jc w:val="both"/>
    </w:pPr>
    <w:rPr>
      <w:rFonts w:ascii="宋体" w:hAnsi="Courier New" w:eastAsia="楷体_GB2312" w:cs="Times New Roman"/>
      <w:kern w:val="2"/>
      <w:sz w:val="28"/>
      <w:szCs w:val="20"/>
    </w:rPr>
  </w:style>
  <w:style w:type="paragraph" w:customStyle="1" w:styleId="149">
    <w:name w:val="font7"/>
    <w:basedOn w:val="1"/>
    <w:qFormat/>
    <w:uiPriority w:val="99"/>
    <w:pPr>
      <w:adjustRightInd/>
      <w:snapToGrid/>
      <w:spacing w:before="100" w:beforeAutospacing="1" w:after="100" w:afterAutospacing="1"/>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1964</Words>
  <Characters>11201</Characters>
  <Lines>93</Lines>
  <Paragraphs>26</Paragraphs>
  <TotalTime>223</TotalTime>
  <ScaleCrop>false</ScaleCrop>
  <LinksUpToDate>false</LinksUpToDate>
  <CharactersWithSpaces>13139</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一叶知秋1390743548</cp:lastModifiedBy>
  <dcterms:modified xsi:type="dcterms:W3CDTF">2018-10-31T09:11:57Z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