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1、供应商应逐一说明投标产品和服务响应，直接拷贝招标文件技术要求的按照无效投标处理；</w:t>
      </w:r>
    </w:p>
    <w:p>
      <w:pPr>
        <w:adjustRightInd w:val="0"/>
        <w:spacing w:line="240" w:lineRule="atLeast"/>
        <w:ind w:firstLine="560" w:firstLineChars="200"/>
        <w:jc w:val="left"/>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2、如果行数不够，请自行增加。</w:t>
      </w: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pStyle w:val="3"/>
        <w:rPr>
          <w:rFonts w:hint="eastAsia" w:ascii="仿宋" w:hAnsi="仿宋" w:eastAsia="仿宋" w:cs="仿宋"/>
          <w:b w:val="0"/>
          <w:bCs/>
          <w:sz w:val="28"/>
          <w:szCs w:val="28"/>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hint="eastAsia"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投标分项报价表</w:t>
      </w:r>
    </w:p>
    <w:tbl>
      <w:tblPr>
        <w:tblStyle w:val="7"/>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1"/>
        <w:gridCol w:w="1305"/>
        <w:gridCol w:w="1591"/>
        <w:gridCol w:w="1374"/>
        <w:gridCol w:w="790"/>
        <w:gridCol w:w="813"/>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751" w:type="dxa"/>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305" w:type="dxa"/>
            <w:tcBorders>
              <w:right w:val="single" w:color="auto" w:sz="4" w:space="0"/>
            </w:tcBorders>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规格型号</w:t>
            </w:r>
          </w:p>
        </w:tc>
        <w:tc>
          <w:tcPr>
            <w:tcW w:w="1374" w:type="dxa"/>
            <w:tcBorders>
              <w:left w:val="single" w:color="auto" w:sz="4" w:space="0"/>
            </w:tcBorders>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90" w:type="dxa"/>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813" w:type="dxa"/>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1161" w:type="dxa"/>
            <w:tcBorders>
              <w:left w:val="single" w:color="auto" w:sz="4" w:space="0"/>
            </w:tcBorders>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单 价</w:t>
            </w:r>
          </w:p>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（元）</w:t>
            </w:r>
          </w:p>
        </w:tc>
        <w:tc>
          <w:tcPr>
            <w:tcW w:w="1396" w:type="dxa"/>
            <w:vAlign w:val="center"/>
          </w:tcPr>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合 价</w:t>
            </w:r>
          </w:p>
          <w:p>
            <w:pPr>
              <w:spacing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751" w:type="dxa"/>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30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sz w:val="28"/>
                <w:szCs w:val="28"/>
              </w:rPr>
            </w:pPr>
          </w:p>
        </w:tc>
        <w:tc>
          <w:tcPr>
            <w:tcW w:w="790"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813"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sz w:val="28"/>
                <w:szCs w:val="28"/>
              </w:rPr>
            </w:pPr>
          </w:p>
        </w:tc>
        <w:tc>
          <w:tcPr>
            <w:tcW w:w="1396" w:type="dxa"/>
            <w:vAlign w:val="center"/>
          </w:tcPr>
          <w:p>
            <w:pPr>
              <w:spacing w:line="288"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751" w:type="dxa"/>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30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sz w:val="28"/>
                <w:szCs w:val="28"/>
              </w:rPr>
            </w:pPr>
          </w:p>
        </w:tc>
        <w:tc>
          <w:tcPr>
            <w:tcW w:w="790"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813"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sz w:val="28"/>
                <w:szCs w:val="28"/>
              </w:rPr>
            </w:pPr>
          </w:p>
        </w:tc>
        <w:tc>
          <w:tcPr>
            <w:tcW w:w="1396" w:type="dxa"/>
            <w:vAlign w:val="center"/>
          </w:tcPr>
          <w:p>
            <w:pPr>
              <w:spacing w:line="288"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751" w:type="dxa"/>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30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sz w:val="28"/>
                <w:szCs w:val="28"/>
              </w:rPr>
            </w:pPr>
          </w:p>
        </w:tc>
        <w:tc>
          <w:tcPr>
            <w:tcW w:w="790"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813"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sz w:val="28"/>
                <w:szCs w:val="28"/>
              </w:rPr>
            </w:pPr>
          </w:p>
        </w:tc>
        <w:tc>
          <w:tcPr>
            <w:tcW w:w="1396" w:type="dxa"/>
            <w:vAlign w:val="center"/>
          </w:tcPr>
          <w:p>
            <w:pPr>
              <w:spacing w:line="288"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751" w:type="dxa"/>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30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sz w:val="28"/>
                <w:szCs w:val="28"/>
              </w:rPr>
            </w:pPr>
          </w:p>
        </w:tc>
        <w:tc>
          <w:tcPr>
            <w:tcW w:w="790"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813"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sz w:val="28"/>
                <w:szCs w:val="28"/>
              </w:rPr>
            </w:pPr>
          </w:p>
        </w:tc>
        <w:tc>
          <w:tcPr>
            <w:tcW w:w="1396" w:type="dxa"/>
            <w:vAlign w:val="center"/>
          </w:tcPr>
          <w:p>
            <w:pPr>
              <w:spacing w:line="288"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751" w:type="dxa"/>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305" w:type="dxa"/>
            <w:tcBorders>
              <w:right w:val="single" w:color="auto" w:sz="4" w:space="0"/>
            </w:tcBorders>
            <w:shd w:val="clear" w:color="auto" w:fill="auto"/>
            <w:vAlign w:val="center"/>
          </w:tcPr>
          <w:p>
            <w:pPr>
              <w:spacing w:line="288" w:lineRule="auto"/>
              <w:jc w:val="center"/>
              <w:textAlignment w:val="center"/>
              <w:rPr>
                <w:rFonts w:hint="eastAsia"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hint="eastAsia"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hint="eastAsia" w:ascii="仿宋" w:hAnsi="仿宋" w:eastAsia="仿宋" w:cs="仿宋"/>
                <w:sz w:val="28"/>
                <w:szCs w:val="28"/>
              </w:rPr>
            </w:pPr>
          </w:p>
        </w:tc>
        <w:tc>
          <w:tcPr>
            <w:tcW w:w="790"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813" w:type="dxa"/>
            <w:shd w:val="clear" w:color="auto" w:fill="FFFFFF"/>
            <w:vAlign w:val="center"/>
          </w:tcPr>
          <w:p>
            <w:pPr>
              <w:spacing w:line="288" w:lineRule="auto"/>
              <w:jc w:val="center"/>
              <w:textAlignment w:val="center"/>
              <w:rPr>
                <w:rFonts w:hint="eastAsia" w:ascii="仿宋" w:hAnsi="仿宋" w:eastAsia="仿宋" w:cs="仿宋"/>
                <w:sz w:val="28"/>
                <w:szCs w:val="28"/>
              </w:rPr>
            </w:pPr>
          </w:p>
        </w:tc>
        <w:tc>
          <w:tcPr>
            <w:tcW w:w="1161" w:type="dxa"/>
            <w:tcBorders>
              <w:left w:val="single" w:color="auto" w:sz="4" w:space="0"/>
            </w:tcBorders>
            <w:vAlign w:val="center"/>
          </w:tcPr>
          <w:p>
            <w:pPr>
              <w:spacing w:line="288" w:lineRule="auto"/>
              <w:rPr>
                <w:rFonts w:hint="eastAsia" w:ascii="仿宋" w:hAnsi="仿宋" w:eastAsia="仿宋" w:cs="仿宋"/>
                <w:sz w:val="28"/>
                <w:szCs w:val="28"/>
              </w:rPr>
            </w:pPr>
          </w:p>
        </w:tc>
        <w:tc>
          <w:tcPr>
            <w:tcW w:w="1396" w:type="dxa"/>
            <w:vAlign w:val="center"/>
          </w:tcPr>
          <w:p>
            <w:pPr>
              <w:spacing w:line="288" w:lineRule="auto"/>
              <w:rPr>
                <w:rFonts w:hint="eastAsia"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hint="eastAsia" w:ascii="仿宋" w:hAnsi="仿宋" w:eastAsia="仿宋" w:cs="仿宋"/>
                <w:b/>
                <w:sz w:val="28"/>
                <w:szCs w:val="28"/>
              </w:rPr>
            </w:pPr>
          </w:p>
          <w:p>
            <w:pPr>
              <w:spacing w:line="288" w:lineRule="auto"/>
              <w:rPr>
                <w:rFonts w:hint="eastAsia" w:ascii="仿宋" w:hAnsi="仿宋" w:eastAsia="仿宋" w:cs="仿宋"/>
                <w:b/>
                <w:sz w:val="28"/>
                <w:szCs w:val="28"/>
              </w:rPr>
            </w:pPr>
            <w:r>
              <w:rPr>
                <w:rFonts w:hint="eastAsia" w:ascii="仿宋" w:hAnsi="仿宋" w:eastAsia="仿宋" w:cs="仿宋"/>
                <w:b/>
                <w:sz w:val="28"/>
                <w:szCs w:val="28"/>
              </w:rPr>
              <w:t>投标总报价：大写</w:t>
            </w:r>
            <w:r>
              <w:rPr>
                <w:rFonts w:hint="eastAsia" w:ascii="仿宋" w:hAnsi="仿宋" w:eastAsia="仿宋" w:cs="仿宋"/>
                <w:b/>
                <w:sz w:val="28"/>
                <w:szCs w:val="28"/>
                <w:lang w:eastAsia="zh-CN"/>
              </w:rPr>
              <w:t>：</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none"/>
                <w:lang w:val="en-US" w:eastAsia="zh-CN"/>
              </w:rPr>
              <w:t xml:space="preserve"> </w:t>
            </w:r>
            <w:r>
              <w:rPr>
                <w:rFonts w:hint="eastAsia" w:ascii="仿宋" w:hAnsi="仿宋" w:eastAsia="仿宋" w:cs="仿宋"/>
                <w:b/>
                <w:sz w:val="28"/>
                <w:szCs w:val="28"/>
              </w:rPr>
              <w:t>元；</w:t>
            </w:r>
          </w:p>
          <w:p>
            <w:pPr>
              <w:spacing w:line="288" w:lineRule="auto"/>
              <w:ind w:firstLine="1687" w:firstLineChars="600"/>
              <w:rPr>
                <w:rFonts w:hint="eastAsia" w:ascii="仿宋" w:hAnsi="仿宋" w:eastAsia="仿宋" w:cs="仿宋"/>
                <w:sz w:val="28"/>
                <w:szCs w:val="28"/>
              </w:rPr>
            </w:pPr>
            <w:r>
              <w:rPr>
                <w:rFonts w:hint="eastAsia" w:ascii="仿宋" w:hAnsi="仿宋" w:eastAsia="仿宋" w:cs="仿宋"/>
                <w:b/>
                <w:sz w:val="28"/>
                <w:szCs w:val="28"/>
              </w:rPr>
              <w:t>小写：</w:t>
            </w:r>
            <w:r>
              <w:rPr>
                <w:rFonts w:hint="eastAsia" w:ascii="仿宋" w:hAnsi="仿宋" w:eastAsia="仿宋" w:cs="仿宋"/>
                <w:b/>
                <w:sz w:val="28"/>
                <w:szCs w:val="28"/>
                <w:u w:val="single"/>
              </w:rPr>
              <w:t xml:space="preserve">                          </w:t>
            </w:r>
            <w:r>
              <w:rPr>
                <w:rFonts w:hint="eastAsia" w:ascii="仿宋" w:hAnsi="仿宋" w:eastAsia="仿宋" w:cs="仿宋"/>
                <w:b/>
                <w:sz w:val="28"/>
                <w:szCs w:val="28"/>
                <w:u w:val="none"/>
              </w:rPr>
              <w:t xml:space="preserve"> </w:t>
            </w:r>
            <w:r>
              <w:rPr>
                <w:rFonts w:hint="eastAsia" w:ascii="仿宋" w:hAnsi="仿宋" w:eastAsia="仿宋" w:cs="仿宋"/>
                <w:b/>
                <w:sz w:val="28"/>
                <w:szCs w:val="28"/>
              </w:rPr>
              <w:t>元；</w:t>
            </w:r>
          </w:p>
        </w:tc>
      </w:tr>
    </w:tbl>
    <w:p>
      <w:pPr>
        <w:spacing w:line="360" w:lineRule="exact"/>
        <w:ind w:firstLine="531" w:firstLineChars="147"/>
        <w:jc w:val="center"/>
        <w:rPr>
          <w:rFonts w:hint="eastAsia" w:ascii="仿宋" w:hAnsi="仿宋" w:eastAsia="仿宋" w:cs="仿宋"/>
          <w:b/>
          <w:sz w:val="36"/>
          <w:szCs w:val="36"/>
        </w:rPr>
      </w:pPr>
    </w:p>
    <w:p>
      <w:pPr>
        <w:spacing w:line="360" w:lineRule="auto"/>
        <w:rPr>
          <w:rFonts w:hint="eastAsia"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（与采购清单项相一致，不得缺项，否则按无效标书处理）</w:t>
      </w:r>
    </w:p>
    <w:p>
      <w:pPr>
        <w:numPr>
          <w:ilvl w:val="0"/>
          <w:numId w:val="1"/>
        </w:numPr>
        <w:spacing w:line="360" w:lineRule="auto"/>
        <w:rPr>
          <w:rFonts w:hint="eastAsia"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w:t>
      </w:r>
      <w:bookmarkStart w:id="3" w:name="_GoBack"/>
      <w:bookmarkEnd w:id="3"/>
      <w:r>
        <w:rPr>
          <w:rFonts w:hint="eastAsia" w:ascii="仿宋" w:hAnsi="仿宋" w:eastAsia="仿宋" w:cs="仿宋"/>
          <w:sz w:val="24"/>
          <w:szCs w:val="24"/>
          <w:lang w:val="zh-CN"/>
        </w:rPr>
        <w:t>理费.专家评审费.调试.验收.培训及后期服务及国家对中标单位征收的各种税费等所有一切费用，综合单价今后将不作任何调整。</w:t>
      </w:r>
    </w:p>
    <w:p>
      <w:pPr>
        <w:numPr>
          <w:ilvl w:val="0"/>
          <w:numId w:val="0"/>
        </w:numPr>
        <w:spacing w:line="360" w:lineRule="auto"/>
        <w:rPr>
          <w:rFonts w:hint="eastAsia" w:ascii="仿宋" w:hAnsi="仿宋" w:eastAsia="仿宋" w:cs="仿宋"/>
          <w:sz w:val="24"/>
          <w:szCs w:val="24"/>
          <w:lang w:val="zh-CN"/>
        </w:rPr>
      </w:pPr>
    </w:p>
    <w:p>
      <w:pPr>
        <w:spacing w:line="600" w:lineRule="auto"/>
        <w:rPr>
          <w:rFonts w:hint="eastAsia"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rPr>
          <w:rFonts w:ascii="宋体" w:hAnsi="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r>
        <w:rPr>
          <w:rFonts w:hint="eastAsia"/>
          <w:b/>
          <w:sz w:val="36"/>
          <w:szCs w:val="36"/>
        </w:rPr>
        <w:br w:type="page"/>
      </w:r>
      <w:bookmarkStart w:id="2" w:name="OLE_LINK9"/>
    </w:p>
    <w:bookmarkEnd w:id="2"/>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10A6234"/>
    <w:rsid w:val="05A65567"/>
    <w:rsid w:val="099A3A88"/>
    <w:rsid w:val="0FC01235"/>
    <w:rsid w:val="0FFB02D4"/>
    <w:rsid w:val="120C6E54"/>
    <w:rsid w:val="16165379"/>
    <w:rsid w:val="17A742F8"/>
    <w:rsid w:val="18F77975"/>
    <w:rsid w:val="196A26BE"/>
    <w:rsid w:val="1A03177F"/>
    <w:rsid w:val="1A8B6BD5"/>
    <w:rsid w:val="1EFC6360"/>
    <w:rsid w:val="21172629"/>
    <w:rsid w:val="23910BC6"/>
    <w:rsid w:val="24845F9E"/>
    <w:rsid w:val="29140D24"/>
    <w:rsid w:val="291D2A95"/>
    <w:rsid w:val="2FF3224E"/>
    <w:rsid w:val="32F167B0"/>
    <w:rsid w:val="37C6625F"/>
    <w:rsid w:val="39E25A39"/>
    <w:rsid w:val="3A3510BC"/>
    <w:rsid w:val="3CCA16DD"/>
    <w:rsid w:val="3DC17D06"/>
    <w:rsid w:val="3E344619"/>
    <w:rsid w:val="4A293473"/>
    <w:rsid w:val="4C3D459C"/>
    <w:rsid w:val="4EBB6D22"/>
    <w:rsid w:val="50CF1A3C"/>
    <w:rsid w:val="50D30B56"/>
    <w:rsid w:val="5AE85F55"/>
    <w:rsid w:val="5C194334"/>
    <w:rsid w:val="61D301BB"/>
    <w:rsid w:val="632F322E"/>
    <w:rsid w:val="63810003"/>
    <w:rsid w:val="649C0AAD"/>
    <w:rsid w:val="69530C3E"/>
    <w:rsid w:val="6C371455"/>
    <w:rsid w:val="6D535020"/>
    <w:rsid w:val="75B03398"/>
    <w:rsid w:val="75E05163"/>
    <w:rsid w:val="770C2D36"/>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ind w:firstLine="540" w:firstLineChars="224"/>
    </w:pPr>
    <w:rPr>
      <w:bCs/>
      <w:kern w:val="44"/>
      <w:sz w:val="18"/>
      <w:szCs w:val="18"/>
    </w:rPr>
  </w:style>
  <w:style w:type="paragraph" w:styleId="3">
    <w:name w:val="envelope return"/>
    <w:basedOn w:val="1"/>
    <w:qFormat/>
    <w:uiPriority w:val="0"/>
    <w:pPr>
      <w:snapToGrid w:val="0"/>
    </w:pPr>
    <w:rPr>
      <w:rFonts w:ascii="Arial" w:hAnsi="Arial"/>
    </w:rPr>
  </w:style>
  <w:style w:type="paragraph" w:styleId="4">
    <w:name w:val="Date"/>
    <w:basedOn w:val="1"/>
    <w:next w:val="1"/>
    <w:unhideWhenUsed/>
    <w:qFormat/>
    <w:uiPriority w:val="99"/>
    <w:rPr>
      <w:rFonts w:ascii="Arial" w:hAnsi="Arial" w:eastAsia="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0">
    <w:name w:val="15"/>
    <w:basedOn w:val="8"/>
    <w:qFormat/>
    <w:uiPriority w:val="0"/>
    <w:rPr>
      <w:rFonts w:hint="default" w:ascii="Calibri" w:hAnsi="Calibri"/>
      <w:b/>
      <w:bCs/>
    </w:rPr>
  </w:style>
  <w:style w:type="character" w:customStyle="1" w:styleId="11">
    <w:name w:val="页眉 Char"/>
    <w:basedOn w:val="8"/>
    <w:link w:val="6"/>
    <w:qFormat/>
    <w:uiPriority w:val="0"/>
    <w:rPr>
      <w:rFonts w:ascii="Calibri" w:hAnsi="Calibri"/>
      <w:kern w:val="2"/>
      <w:sz w:val="18"/>
      <w:szCs w:val="18"/>
    </w:rPr>
  </w:style>
  <w:style w:type="character" w:customStyle="1" w:styleId="12">
    <w:name w:val="页脚 Char"/>
    <w:basedOn w:val="8"/>
    <w:link w:val="5"/>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8</Pages>
  <Words>1697</Words>
  <Characters>1698</Characters>
  <Lines>19</Lines>
  <Paragraphs>5</Paragraphs>
  <TotalTime>0</TotalTime>
  <ScaleCrop>false</ScaleCrop>
  <LinksUpToDate>false</LinksUpToDate>
  <CharactersWithSpaces>2759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2022-05-10T08:49:54Z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ED35030A825D48CC8BC94EDE652908ED</vt:lpwstr>
  </property>
</Properties>
</file>