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spacing w:line="400" w:lineRule="exact"/>
        <w:ind w:right="-21" w:rightChars="-10"/>
        <w:jc w:val="center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一次性产包综合评分标准</w:t>
      </w:r>
    </w:p>
    <w:tbl>
      <w:tblPr>
        <w:tblStyle w:val="8"/>
        <w:tblW w:w="7920" w:type="dxa"/>
        <w:jc w:val="center"/>
        <w:tblInd w:w="-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12"/>
        <w:gridCol w:w="5285"/>
        <w:gridCol w:w="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8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因素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</w:rPr>
              <w:t>评分标准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配送业绩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（10分）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每提供一份近三年以来（自开标之日往前推三年）在国内三级及以上医院用户中，同品牌同类型产品供货业绩合同得2分，本项最高得10分。</w:t>
            </w:r>
          </w:p>
          <w:p>
            <w:pPr>
              <w:adjustRightInd w:val="0"/>
              <w:snapToGrid w:val="0"/>
              <w:ind w:left="630" w:hanging="630" w:hangingChars="3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注：（1）投标文件中须提供合同复印件，至少提供能反映买卖单位、最终用户、合同内容(含清单,价格)、签订时间、签字盖章等内容的关键页面,否则不计分；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）日期以合同签订时间为准，无明确签订时间的不得分。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）供应商须提供医院等级截图，不提供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不得分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产品综合性能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分）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评标小组根据各供应商提供产品的生产年限、品牌、市场占有率综合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</w:rPr>
              <w:t>各供应商提供样品的质量、综合性能、性价比综合打分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</w:rPr>
              <w:t>（不含）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20-30</w:t>
            </w:r>
            <w:r>
              <w:rPr>
                <w:rFonts w:hint="eastAsia" w:ascii="宋体" w:hAnsi="宋体" w:eastAsia="宋体" w:cs="宋体"/>
              </w:rPr>
              <w:t>（含）分，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良好</w:t>
            </w:r>
            <w:r>
              <w:rPr>
                <w:rFonts w:hint="eastAsia" w:ascii="宋体" w:hAnsi="宋体" w:eastAsia="宋体" w:cs="宋体"/>
              </w:rPr>
              <w:t>（不含）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10-20</w:t>
            </w:r>
            <w:r>
              <w:rPr>
                <w:rFonts w:hint="eastAsia" w:ascii="宋体" w:hAnsi="宋体" w:eastAsia="宋体" w:cs="宋体"/>
              </w:rPr>
              <w:t>（含）分，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</w:rPr>
              <w:t>含）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</w:rPr>
              <w:t>（含）分，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差得0分</w:t>
            </w:r>
            <w:r>
              <w:rPr>
                <w:rFonts w:hint="eastAsia" w:ascii="宋体" w:hAnsi="宋体" w:eastAsia="宋体" w:cs="宋体"/>
              </w:rPr>
              <w:t>，满分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</w:rPr>
              <w:t>要求：评标小组根据供应商所投产品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以及提供的样品</w:t>
            </w:r>
            <w:r>
              <w:rPr>
                <w:rFonts w:hint="eastAsia" w:ascii="宋体" w:hAnsi="宋体" w:eastAsia="宋体" w:cs="宋体"/>
              </w:rPr>
              <w:t>进行分析比较、评议。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响应报价得分计算（60分）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满足招标文件要求且最后报价最低的供应商的价格为基准价。满足招标文件要求且最后报价最低的供应商的价格分为满分。其他供应商的价格分统一按照下列公式计算：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</w:rPr>
              <w:t>响应报价得分＝（评审基准价/最后响应报价）×60。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60分</w:t>
            </w:r>
          </w:p>
        </w:tc>
      </w:tr>
    </w:tbl>
    <w:p/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备注：按综合得分排名推荐三名中标候选人，综合得分排名第一的推荐为中标人，样品试用15</w:t>
      </w:r>
      <w:bookmarkStart w:id="0" w:name="_GoBack"/>
      <w:bookmarkEnd w:id="0"/>
      <w:r>
        <w:rPr>
          <w:rFonts w:hint="eastAsia"/>
          <w:lang w:val="en-US" w:eastAsia="zh-CN"/>
        </w:rPr>
        <w:t>天达到招标要求签订合同。如达不到招标要求，第二名递补，以此类推。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DE9690D"/>
    <w:rsid w:val="1A2B2033"/>
    <w:rsid w:val="21AE1D1E"/>
    <w:rsid w:val="2CA12ABB"/>
    <w:rsid w:val="353017B4"/>
    <w:rsid w:val="367906C0"/>
    <w:rsid w:val="44581CD9"/>
    <w:rsid w:val="5F9101E4"/>
    <w:rsid w:val="67220245"/>
    <w:rsid w:val="672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utoSpaceDE/>
      <w:autoSpaceDN/>
      <w:adjustRightInd/>
      <w:spacing w:after="120" w:line="240" w:lineRule="auto"/>
      <w:ind w:left="200" w:leftChars="200" w:firstLine="200" w:firstLineChars="200"/>
      <w:textAlignment w:val="auto"/>
    </w:pPr>
    <w:rPr>
      <w:rFonts w:ascii="Calibri" w:hAnsi="Calibri" w:eastAsia="宋体" w:cs="Calibri"/>
      <w:kern w:val="2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548</Characters>
  <Lines>4</Lines>
  <Paragraphs>1</Paragraphs>
  <TotalTime>19</TotalTime>
  <ScaleCrop>false</ScaleCrop>
  <LinksUpToDate>false</LinksUpToDate>
  <CharactersWithSpaces>642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qiqiqicool</cp:lastModifiedBy>
  <dcterms:modified xsi:type="dcterms:W3CDTF">2022-05-26T03:14:27Z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