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9"/>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spacing w:line="360" w:lineRule="auto"/>
        <w:rPr>
          <w:rFonts w:hint="eastAsia" w:ascii="仿宋" w:hAnsi="仿宋" w:eastAsia="仿宋" w:cs="仿宋"/>
          <w:b/>
          <w:color w:val="000000"/>
          <w:sz w:val="24"/>
          <w:szCs w:val="24"/>
        </w:rPr>
      </w:pPr>
    </w:p>
    <w:p>
      <w:pPr>
        <w:jc w:val="center"/>
        <w:rPr>
          <w:rFonts w:hint="eastAsia"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技术参数响应表</w:t>
      </w:r>
      <w:bookmarkEnd w:id="0"/>
      <w:bookmarkEnd w:id="1"/>
    </w:p>
    <w:tbl>
      <w:tblPr>
        <w:tblStyle w:val="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hint="eastAsia" w:ascii="仿宋" w:hAnsi="仿宋" w:eastAsia="仿宋" w:cs="仿宋"/>
                <w:sz w:val="24"/>
                <w:szCs w:val="24"/>
              </w:rPr>
            </w:pPr>
          </w:p>
        </w:tc>
        <w:tc>
          <w:tcPr>
            <w:tcW w:w="1437" w:type="dxa"/>
            <w:vMerge w:val="continue"/>
          </w:tcPr>
          <w:p>
            <w:pPr>
              <w:spacing w:line="240" w:lineRule="atLeast"/>
              <w:jc w:val="center"/>
              <w:rPr>
                <w:rFonts w:hint="eastAsia" w:ascii="仿宋" w:hAnsi="仿宋" w:eastAsia="仿宋" w:cs="仿宋"/>
                <w:sz w:val="24"/>
                <w:szCs w:val="24"/>
              </w:rPr>
            </w:pPr>
          </w:p>
        </w:tc>
        <w:tc>
          <w:tcPr>
            <w:tcW w:w="1556"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jc w:val="center"/>
              <w:rPr>
                <w:rFonts w:hint="eastAsia" w:ascii="仿宋" w:hAnsi="仿宋" w:eastAsia="仿宋" w:cs="仿宋"/>
                <w:sz w:val="24"/>
                <w:szCs w:val="24"/>
              </w:rPr>
            </w:pPr>
          </w:p>
        </w:tc>
        <w:tc>
          <w:tcPr>
            <w:tcW w:w="1984" w:type="dxa"/>
            <w:vMerge w:val="continue"/>
          </w:tcPr>
          <w:p>
            <w:pPr>
              <w:spacing w:line="24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1</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2</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w:t>
            </w:r>
          </w:p>
        </w:tc>
        <w:tc>
          <w:tcPr>
            <w:tcW w:w="1984" w:type="dxa"/>
          </w:tcPr>
          <w:p>
            <w:pPr>
              <w:rPr>
                <w:rFonts w:hint="eastAsia" w:ascii="仿宋" w:hAnsi="仿宋" w:eastAsia="仿宋" w:cs="仿宋"/>
                <w:sz w:val="28"/>
                <w:szCs w:val="28"/>
              </w:rPr>
            </w:pPr>
          </w:p>
        </w:tc>
      </w:tr>
    </w:tbl>
    <w:p>
      <w:pPr>
        <w:autoSpaceDE w:val="0"/>
        <w:autoSpaceDN w:val="0"/>
        <w:adjustRightInd w:val="0"/>
        <w:ind w:firstLine="560" w:firstLineChars="200"/>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w:t>
      </w:r>
      <w:bookmarkStart w:id="3" w:name="_GoBack"/>
      <w:r>
        <w:rPr>
          <w:rFonts w:hint="eastAsia" w:ascii="仿宋" w:hAnsi="仿宋" w:eastAsia="仿宋" w:cs="仿宋"/>
          <w:color w:val="auto"/>
          <w:spacing w:val="0"/>
          <w:position w:val="0"/>
          <w:sz w:val="28"/>
          <w:shd w:val="clear" w:fill="FFFFFF"/>
          <w:lang w:val="en-US" w:eastAsia="zh-CN"/>
        </w:rPr>
        <w:t>投标人需填写技术参数响应表，明确技术参数是否响应，如与招标文件技术参数不一致应在表中列出正（或负）偏离</w:t>
      </w:r>
      <w:r>
        <w:rPr>
          <w:rFonts w:hint="eastAsia" w:ascii="仿宋" w:hAnsi="仿宋" w:eastAsia="仿宋" w:cs="仿宋"/>
          <w:b w:val="0"/>
          <w:bCs/>
          <w:sz w:val="28"/>
          <w:szCs w:val="28"/>
          <w:lang w:val="zh-CN"/>
        </w:rPr>
        <w:t>；</w:t>
      </w:r>
      <w:bookmarkEnd w:id="3"/>
    </w:p>
    <w:p>
      <w:pPr>
        <w:keepNext w:val="0"/>
        <w:keepLines w:val="0"/>
        <w:pageBreakBefore w:val="0"/>
        <w:widowControl w:val="0"/>
        <w:kinsoku/>
        <w:wordWrap/>
        <w:overflowPunct/>
        <w:topLinePunct w:val="0"/>
        <w:autoSpaceDE/>
        <w:autoSpaceDN/>
        <w:bidi w:val="0"/>
        <w:adjustRightInd/>
        <w:snapToGrid/>
        <w:spacing w:before="150" w:after="150" w:line="540" w:lineRule="auto"/>
        <w:ind w:left="0" w:right="150" w:firstLine="560" w:firstLineChars="200"/>
        <w:jc w:val="left"/>
        <w:textAlignment w:val="auto"/>
        <w:outlineLvl w:val="9"/>
        <w:rPr>
          <w:rFonts w:hint="eastAsia" w:ascii="仿宋" w:hAnsi="仿宋" w:eastAsia="仿宋" w:cs="仿宋"/>
          <w:color w:val="auto"/>
          <w:spacing w:val="0"/>
          <w:position w:val="0"/>
          <w:sz w:val="28"/>
          <w:shd w:val="clear" w:fill="FFFFFF"/>
          <w:lang w:val="en-US" w:eastAsia="zh-CN"/>
        </w:rPr>
      </w:pPr>
      <w:r>
        <w:rPr>
          <w:rFonts w:hint="eastAsia" w:ascii="仿宋" w:hAnsi="仿宋" w:eastAsia="仿宋" w:cs="仿宋"/>
          <w:b w:val="0"/>
          <w:bCs/>
          <w:sz w:val="28"/>
          <w:szCs w:val="28"/>
          <w:lang w:val="en-US" w:eastAsia="zh-CN"/>
        </w:rPr>
        <w:t>2.</w:t>
      </w:r>
      <w:r>
        <w:rPr>
          <w:rFonts w:hint="eastAsia" w:ascii="仿宋" w:hAnsi="仿宋" w:eastAsia="仿宋" w:cs="仿宋"/>
          <w:color w:val="auto"/>
          <w:spacing w:val="0"/>
          <w:position w:val="0"/>
          <w:sz w:val="28"/>
          <w:shd w:val="clear" w:fill="FFFFFF"/>
          <w:lang w:val="en-US" w:eastAsia="zh-CN"/>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pStyle w:val="2"/>
        <w:rPr>
          <w:rFonts w:hint="eastAsia" w:eastAsia="仿宋"/>
          <w:lang w:val="en-US" w:eastAsia="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val="zh-CN"/>
        </w:rPr>
        <w:t>如果行数不够，请自行增加。</w:t>
      </w: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hint="eastAsia" w:ascii="仿宋" w:hAnsi="仿宋" w:eastAsia="仿宋" w:cs="仿宋"/>
          <w:b/>
          <w:bCs/>
          <w:sz w:val="40"/>
          <w:szCs w:val="40"/>
        </w:rPr>
        <w:sectPr>
          <w:pgSz w:w="11906" w:h="16838"/>
          <w:pgMar w:top="1440" w:right="1800" w:bottom="1440" w:left="1800" w:header="851" w:footer="992" w:gutter="0"/>
          <w:cols w:space="425" w:num="1"/>
          <w:docGrid w:type="lines" w:linePitch="312" w:charSpace="0"/>
        </w:sectPr>
      </w:pPr>
      <w:r>
        <w:rPr>
          <w:rFonts w:hint="eastAsia"/>
          <w:b/>
          <w:sz w:val="36"/>
          <w:szCs w:val="36"/>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投标分项报价表</w:t>
      </w:r>
    </w:p>
    <w:tbl>
      <w:tblPr>
        <w:tblStyle w:val="7"/>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1215" w:type="dxa"/>
            <w:tcBorders>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名称</w:t>
            </w:r>
          </w:p>
        </w:tc>
        <w:tc>
          <w:tcPr>
            <w:tcW w:w="1591" w:type="dxa"/>
            <w:tcBorders>
              <w:left w:val="single" w:color="auto" w:sz="4" w:space="0"/>
              <w:righ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规格型号</w:t>
            </w:r>
          </w:p>
        </w:tc>
        <w:tc>
          <w:tcPr>
            <w:tcW w:w="1374"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品牌</w:t>
            </w:r>
          </w:p>
        </w:tc>
        <w:tc>
          <w:tcPr>
            <w:tcW w:w="815"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788"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单位</w:t>
            </w:r>
          </w:p>
        </w:tc>
        <w:tc>
          <w:tcPr>
            <w:tcW w:w="1161" w:type="dxa"/>
            <w:tcBorders>
              <w:left w:val="single" w:color="auto" w:sz="4" w:space="0"/>
            </w:tcBorders>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单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c>
          <w:tcPr>
            <w:tcW w:w="1396" w:type="dxa"/>
            <w:vAlign w:val="center"/>
          </w:tcPr>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合 价</w:t>
            </w:r>
          </w:p>
          <w:p>
            <w:pPr>
              <w:spacing w:line="288"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b w:val="0"/>
                <w:bCs w:val="0"/>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b w:val="0"/>
                <w:bCs w:val="0"/>
                <w:sz w:val="28"/>
                <w:szCs w:val="28"/>
              </w:rPr>
            </w:pPr>
          </w:p>
        </w:tc>
        <w:tc>
          <w:tcPr>
            <w:tcW w:w="815"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788" w:type="dxa"/>
            <w:shd w:val="clear" w:color="auto" w:fill="FFFFFF"/>
            <w:vAlign w:val="center"/>
          </w:tcPr>
          <w:p>
            <w:pPr>
              <w:spacing w:line="288" w:lineRule="auto"/>
              <w:jc w:val="center"/>
              <w:textAlignment w:val="center"/>
              <w:rPr>
                <w:rFonts w:hint="eastAsia" w:ascii="仿宋" w:hAnsi="仿宋" w:eastAsia="仿宋" w:cs="仿宋"/>
                <w:b w:val="0"/>
                <w:bCs w:val="0"/>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b w:val="0"/>
                <w:bCs w:val="0"/>
                <w:sz w:val="28"/>
                <w:szCs w:val="28"/>
              </w:rPr>
            </w:pPr>
          </w:p>
        </w:tc>
        <w:tc>
          <w:tcPr>
            <w:tcW w:w="1396" w:type="dxa"/>
            <w:vAlign w:val="center"/>
          </w:tcPr>
          <w:p>
            <w:pPr>
              <w:spacing w:line="288" w:lineRule="auto"/>
              <w:rPr>
                <w:rFonts w:hint="eastAsia" w:ascii="仿宋" w:hAnsi="仿宋" w:eastAsia="仿宋" w:cs="仿宋"/>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rPr>
                <w:rFonts w:hint="eastAsia" w:ascii="仿宋" w:hAnsi="仿宋" w:eastAsia="仿宋" w:cs="仿宋"/>
                <w:b w:val="0"/>
                <w:bCs w:val="0"/>
                <w:sz w:val="28"/>
                <w:szCs w:val="28"/>
              </w:rPr>
            </w:pPr>
          </w:p>
          <w:p>
            <w:pPr>
              <w:spacing w:line="288"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投标总报价：大写</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rPr>
              <w:t>元；</w:t>
            </w:r>
          </w:p>
          <w:p>
            <w:pPr>
              <w:spacing w:line="288" w:lineRule="auto"/>
              <w:ind w:firstLine="1680" w:firstLineChars="600"/>
              <w:rPr>
                <w:rFonts w:hint="eastAsia" w:ascii="仿宋" w:hAnsi="仿宋" w:eastAsia="仿宋" w:cs="仿宋"/>
                <w:b w:val="0"/>
                <w:bCs w:val="0"/>
                <w:sz w:val="28"/>
                <w:szCs w:val="28"/>
              </w:rPr>
            </w:pPr>
            <w:r>
              <w:rPr>
                <w:rFonts w:hint="eastAsia" w:ascii="仿宋" w:hAnsi="仿宋" w:eastAsia="仿宋" w:cs="仿宋"/>
                <w:b w:val="0"/>
                <w:bCs w:val="0"/>
                <w:sz w:val="28"/>
                <w:szCs w:val="28"/>
              </w:rPr>
              <w:t>小写：</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u w:val="none"/>
              </w:rPr>
              <w:t xml:space="preserve"> </w:t>
            </w:r>
            <w:r>
              <w:rPr>
                <w:rFonts w:hint="eastAsia" w:ascii="仿宋" w:hAnsi="仿宋" w:eastAsia="仿宋" w:cs="仿宋"/>
                <w:b w:val="0"/>
                <w:bCs w:val="0"/>
                <w:sz w:val="28"/>
                <w:szCs w:val="28"/>
              </w:rPr>
              <w:t>元；</w:t>
            </w:r>
          </w:p>
        </w:tc>
      </w:tr>
    </w:tbl>
    <w:p>
      <w:pPr>
        <w:spacing w:line="360" w:lineRule="exact"/>
        <w:ind w:firstLine="531" w:firstLineChars="147"/>
        <w:jc w:val="center"/>
        <w:rPr>
          <w:rFonts w:hint="eastAsia" w:ascii="仿宋" w:hAnsi="仿宋" w:eastAsia="仿宋" w:cs="仿宋"/>
          <w:b/>
          <w:sz w:val="36"/>
          <w:szCs w:val="36"/>
        </w:rPr>
      </w:pPr>
    </w:p>
    <w:p>
      <w:pPr>
        <w:spacing w:line="360" w:lineRule="auto"/>
        <w:rPr>
          <w:rFonts w:hint="eastAsia" w:ascii="仿宋" w:hAnsi="仿宋" w:eastAsia="仿宋" w:cs="仿宋"/>
          <w:b/>
          <w:color w:val="FF0000"/>
          <w:sz w:val="24"/>
          <w:szCs w:val="24"/>
        </w:rPr>
      </w:pPr>
      <w:r>
        <w:rPr>
          <w:rFonts w:hint="eastAsia" w:ascii="仿宋" w:hAnsi="仿宋" w:eastAsia="仿宋" w:cs="仿宋"/>
          <w:sz w:val="24"/>
          <w:szCs w:val="24"/>
          <w:lang w:val="zh-CN"/>
        </w:rPr>
        <w:t>注：1.所有投标只能选择一种方案，单价和合价的报价只能是唯一，且须列出详细的分项报价。</w:t>
      </w:r>
      <w:r>
        <w:rPr>
          <w:rFonts w:hint="eastAsia" w:ascii="仿宋" w:hAnsi="仿宋" w:eastAsia="仿宋" w:cs="仿宋"/>
          <w:b/>
          <w:color w:val="FF0000"/>
          <w:sz w:val="24"/>
          <w:szCs w:val="24"/>
        </w:rPr>
        <w:t>（与采购清单项相一致，不得缺项，否则视同包含在其他项目。）</w:t>
      </w:r>
    </w:p>
    <w:p>
      <w:pPr>
        <w:numPr>
          <w:ilvl w:val="0"/>
          <w:numId w:val="1"/>
        </w:num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numPr>
          <w:ilvl w:val="0"/>
          <w:numId w:val="0"/>
        </w:numPr>
        <w:spacing w:line="360" w:lineRule="auto"/>
        <w:rPr>
          <w:rFonts w:hint="eastAsia" w:ascii="仿宋" w:hAnsi="仿宋" w:eastAsia="仿宋" w:cs="仿宋"/>
          <w:sz w:val="24"/>
          <w:szCs w:val="24"/>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r>
        <w:rPr>
          <w:rFonts w:hint="eastAsia"/>
          <w:b/>
          <w:sz w:val="36"/>
          <w:szCs w:val="36"/>
        </w:rPr>
        <w:br w:type="page"/>
      </w:r>
      <w:bookmarkStart w:id="2" w:name="OLE_LINK9"/>
    </w:p>
    <w:bookmarkEnd w:id="2"/>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EE849"/>
    <w:multiLevelType w:val="singleLevel"/>
    <w:tmpl w:val="299EE84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0A6234"/>
    <w:rsid w:val="05A65567"/>
    <w:rsid w:val="08D86F1C"/>
    <w:rsid w:val="09436A8B"/>
    <w:rsid w:val="0B6D6042"/>
    <w:rsid w:val="0FC01235"/>
    <w:rsid w:val="0FFB02D4"/>
    <w:rsid w:val="120C6E54"/>
    <w:rsid w:val="17A742F8"/>
    <w:rsid w:val="196A26BE"/>
    <w:rsid w:val="19E02984"/>
    <w:rsid w:val="1A03177F"/>
    <w:rsid w:val="1A8B6BD5"/>
    <w:rsid w:val="1EFC6360"/>
    <w:rsid w:val="21172629"/>
    <w:rsid w:val="23910BC6"/>
    <w:rsid w:val="24845F9E"/>
    <w:rsid w:val="256C0CC0"/>
    <w:rsid w:val="25EA09AD"/>
    <w:rsid w:val="29140D24"/>
    <w:rsid w:val="291D2A95"/>
    <w:rsid w:val="2C250873"/>
    <w:rsid w:val="2FF3224E"/>
    <w:rsid w:val="30144A2D"/>
    <w:rsid w:val="32F167B0"/>
    <w:rsid w:val="37C6625F"/>
    <w:rsid w:val="39E25A39"/>
    <w:rsid w:val="3A3510BC"/>
    <w:rsid w:val="3CCA16DD"/>
    <w:rsid w:val="3D9B2275"/>
    <w:rsid w:val="3DC17D06"/>
    <w:rsid w:val="40073BBA"/>
    <w:rsid w:val="457412D9"/>
    <w:rsid w:val="4A293473"/>
    <w:rsid w:val="4BFF0BF2"/>
    <w:rsid w:val="4C3D459C"/>
    <w:rsid w:val="4EBB6D22"/>
    <w:rsid w:val="50CF1A3C"/>
    <w:rsid w:val="50D30B56"/>
    <w:rsid w:val="51B3364F"/>
    <w:rsid w:val="58DA5965"/>
    <w:rsid w:val="5AE85F55"/>
    <w:rsid w:val="5BF91397"/>
    <w:rsid w:val="5C194334"/>
    <w:rsid w:val="61D301BB"/>
    <w:rsid w:val="623C31ED"/>
    <w:rsid w:val="632F322E"/>
    <w:rsid w:val="63810003"/>
    <w:rsid w:val="649C0AAD"/>
    <w:rsid w:val="655A393D"/>
    <w:rsid w:val="6934183A"/>
    <w:rsid w:val="69530C3E"/>
    <w:rsid w:val="6C371455"/>
    <w:rsid w:val="6D535020"/>
    <w:rsid w:val="6E201C15"/>
    <w:rsid w:val="75B03398"/>
    <w:rsid w:val="75E05163"/>
    <w:rsid w:val="79E71BD3"/>
    <w:rsid w:val="7A08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ind w:firstLine="540" w:firstLineChars="224"/>
    </w:pPr>
    <w:rPr>
      <w:bCs/>
      <w:kern w:val="44"/>
      <w:sz w:val="18"/>
      <w:szCs w:val="18"/>
    </w:rPr>
  </w:style>
  <w:style w:type="paragraph" w:styleId="3">
    <w:name w:val="envelope return"/>
    <w:basedOn w:val="1"/>
    <w:qFormat/>
    <w:uiPriority w:val="0"/>
    <w:pPr>
      <w:snapToGrid w:val="0"/>
    </w:pPr>
    <w:rPr>
      <w:rFonts w:ascii="Arial" w:hAnsi="Arial"/>
    </w:rPr>
  </w:style>
  <w:style w:type="paragraph" w:styleId="4">
    <w:name w:val="Date"/>
    <w:basedOn w:val="1"/>
    <w:next w:val="1"/>
    <w:unhideWhenUsed/>
    <w:qFormat/>
    <w:uiPriority w:val="99"/>
    <w:rPr>
      <w:rFonts w:ascii="Arial" w:hAnsi="Arial" w:eastAsia="仿宋_GB2312"/>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0">
    <w:name w:val="15"/>
    <w:basedOn w:val="8"/>
    <w:qFormat/>
    <w:uiPriority w:val="0"/>
    <w:rPr>
      <w:rFonts w:hint="default" w:ascii="Calibri" w:hAnsi="Calibri"/>
      <w:b/>
      <w:bCs/>
    </w:rPr>
  </w:style>
  <w:style w:type="character" w:customStyle="1" w:styleId="11">
    <w:name w:val="页眉 Char"/>
    <w:basedOn w:val="8"/>
    <w:link w:val="6"/>
    <w:qFormat/>
    <w:uiPriority w:val="0"/>
    <w:rPr>
      <w:rFonts w:ascii="Calibri" w:hAnsi="Calibri"/>
      <w:kern w:val="2"/>
      <w:sz w:val="18"/>
      <w:szCs w:val="18"/>
    </w:rPr>
  </w:style>
  <w:style w:type="character" w:customStyle="1" w:styleId="12">
    <w:name w:val="页脚 Char"/>
    <w:basedOn w:val="8"/>
    <w:link w:val="5"/>
    <w:qFormat/>
    <w:uiPriority w:val="0"/>
    <w:rPr>
      <w:rFonts w:ascii="Calibri" w:hAnsi="Calibri"/>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8</Pages>
  <Words>1842</Words>
  <Characters>1846</Characters>
  <Lines>19</Lines>
  <Paragraphs>5</Paragraphs>
  <TotalTime>1</TotalTime>
  <ScaleCrop>false</ScaleCrop>
  <LinksUpToDate>false</LinksUpToDate>
  <CharactersWithSpaces>2907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2022-06-17T07:49:02Z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ED35030A825D48CC8BC94EDE652908ED</vt:lpwstr>
  </property>
</Properties>
</file>