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cs="仿宋"/>
          <w:b/>
          <w:bCs/>
          <w:sz w:val="28"/>
          <w:szCs w:val="28"/>
        </w:rPr>
      </w:pPr>
      <w:r>
        <w:rPr>
          <w:rFonts w:hint="eastAsia" w:ascii="仿宋" w:hAnsi="仿宋" w:eastAsia="仿宋" w:cs="仿宋"/>
          <w:b/>
          <w:bCs/>
          <w:sz w:val="28"/>
          <w:szCs w:val="28"/>
        </w:rPr>
        <w:t>附件2</w:t>
      </w:r>
    </w:p>
    <w:p>
      <w:pPr>
        <w:spacing w:line="520" w:lineRule="exact"/>
        <w:ind w:firstLine="435"/>
        <w:jc w:val="left"/>
        <w:rPr>
          <w:rFonts w:ascii="仿宋" w:hAnsi="仿宋" w:eastAsia="仿宋" w:cs="仿宋"/>
          <w:sz w:val="24"/>
        </w:rPr>
      </w:pPr>
      <w:r>
        <w:rPr>
          <w:rFonts w:hint="eastAsia" w:ascii="仿宋" w:hAnsi="仿宋" w:eastAsia="仿宋" w:cs="仿宋"/>
          <w:sz w:val="24"/>
        </w:rPr>
        <w:t>全流程电子开评标系统</w:t>
      </w:r>
      <w:bookmarkStart w:id="1" w:name="_GoBack"/>
      <w:bookmarkEnd w:id="1"/>
      <w:r>
        <w:rPr>
          <w:rFonts w:hint="eastAsia" w:ascii="仿宋" w:hAnsi="仿宋" w:eastAsia="仿宋" w:cs="仿宋"/>
          <w:sz w:val="24"/>
        </w:rPr>
        <w:t>综合评分法</w:t>
      </w:r>
    </w:p>
    <w:p>
      <w:pPr>
        <w:spacing w:line="520" w:lineRule="exact"/>
        <w:ind w:firstLine="435"/>
        <w:rPr>
          <w:rFonts w:ascii="仿宋" w:hAnsi="仿宋" w:eastAsia="仿宋" w:cs="仿宋"/>
          <w:sz w:val="24"/>
        </w:rPr>
      </w:pPr>
      <w:r>
        <w:rPr>
          <w:rFonts w:hint="eastAsia" w:ascii="仿宋" w:hAnsi="仿宋" w:eastAsia="仿宋" w:cs="仿宋"/>
          <w:sz w:val="24"/>
        </w:rPr>
        <w:t>（1）商务技术分（</w:t>
      </w:r>
      <w:r>
        <w:rPr>
          <w:rFonts w:ascii="仿宋" w:hAnsi="仿宋" w:eastAsia="仿宋" w:cs="仿宋"/>
          <w:sz w:val="24"/>
        </w:rPr>
        <w:t>7</w:t>
      </w:r>
      <w:r>
        <w:rPr>
          <w:rFonts w:hint="eastAsia" w:ascii="仿宋" w:hAnsi="仿宋" w:eastAsia="仿宋" w:cs="仿宋"/>
          <w:sz w:val="24"/>
        </w:rPr>
        <w:t>0分）</w:t>
      </w:r>
    </w:p>
    <w:tbl>
      <w:tblPr>
        <w:tblStyle w:val="3"/>
        <w:tblW w:w="9118" w:type="dxa"/>
        <w:tblInd w:w="0" w:type="dxa"/>
        <w:tblLayout w:type="fixed"/>
        <w:tblCellMar>
          <w:top w:w="0" w:type="dxa"/>
          <w:left w:w="108" w:type="dxa"/>
          <w:bottom w:w="0" w:type="dxa"/>
          <w:right w:w="108" w:type="dxa"/>
        </w:tblCellMar>
      </w:tblPr>
      <w:tblGrid>
        <w:gridCol w:w="717"/>
        <w:gridCol w:w="1377"/>
        <w:gridCol w:w="1394"/>
        <w:gridCol w:w="5630"/>
      </w:tblGrid>
      <w:tr>
        <w:tblPrEx>
          <w:tblCellMar>
            <w:top w:w="0" w:type="dxa"/>
            <w:left w:w="108" w:type="dxa"/>
            <w:bottom w:w="0" w:type="dxa"/>
            <w:right w:w="108" w:type="dxa"/>
          </w:tblCellMar>
        </w:tblPrEx>
        <w:trPr>
          <w:trHeight w:val="394" w:hRule="atLeast"/>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b/>
                <w:bCs/>
                <w:color w:val="000000"/>
                <w:sz w:val="24"/>
              </w:rPr>
            </w:pPr>
            <w:bookmarkStart w:id="0" w:name="OLE_LINK7"/>
            <w:r>
              <w:rPr>
                <w:rFonts w:hint="eastAsia" w:ascii="仿宋" w:hAnsi="仿宋" w:eastAsia="仿宋" w:cs="仿宋"/>
                <w:b/>
                <w:bCs/>
                <w:color w:val="000000"/>
                <w:sz w:val="24"/>
              </w:rPr>
              <w:t>序号</w:t>
            </w:r>
          </w:p>
        </w:tc>
        <w:tc>
          <w:tcPr>
            <w:tcW w:w="1377"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b/>
                <w:bCs/>
                <w:color w:val="000000"/>
                <w:sz w:val="24"/>
              </w:rPr>
            </w:pPr>
            <w:r>
              <w:rPr>
                <w:rFonts w:hint="eastAsia" w:ascii="仿宋" w:hAnsi="仿宋" w:eastAsia="仿宋" w:cs="仿宋"/>
                <w:b/>
                <w:bCs/>
                <w:color w:val="000000"/>
                <w:sz w:val="24"/>
              </w:rPr>
              <w:t>评分因素</w:t>
            </w:r>
          </w:p>
        </w:tc>
        <w:tc>
          <w:tcPr>
            <w:tcW w:w="702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b/>
                <w:bCs/>
                <w:color w:val="000000"/>
                <w:sz w:val="24"/>
              </w:rPr>
            </w:pPr>
            <w:r>
              <w:rPr>
                <w:rFonts w:hint="eastAsia" w:ascii="仿宋" w:hAnsi="仿宋" w:eastAsia="仿宋" w:cs="仿宋"/>
                <w:b/>
                <w:bCs/>
                <w:color w:val="000000"/>
                <w:sz w:val="24"/>
              </w:rPr>
              <w:t>评分标准</w:t>
            </w:r>
          </w:p>
        </w:tc>
      </w:tr>
      <w:tr>
        <w:tblPrEx>
          <w:tblCellMar>
            <w:top w:w="0" w:type="dxa"/>
            <w:left w:w="108" w:type="dxa"/>
            <w:bottom w:w="0" w:type="dxa"/>
            <w:right w:w="108" w:type="dxa"/>
          </w:tblCellMar>
        </w:tblPrEx>
        <w:trPr>
          <w:trHeight w:val="1446" w:hRule="atLeast"/>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1377" w:type="dxa"/>
            <w:tcBorders>
              <w:top w:val="nil"/>
              <w:left w:val="nil"/>
              <w:bottom w:val="nil"/>
              <w:right w:val="single" w:color="auto" w:sz="4" w:space="0"/>
            </w:tcBorders>
            <w:shd w:val="clear" w:color="auto" w:fill="auto"/>
            <w:vAlign w:val="center"/>
          </w:tcPr>
          <w:p>
            <w:pPr>
              <w:widowControl/>
              <w:spacing w:line="360" w:lineRule="auto"/>
              <w:jc w:val="center"/>
              <w:rPr>
                <w:rFonts w:ascii="仿宋" w:hAnsi="仿宋" w:eastAsia="仿宋" w:cs="仿宋"/>
              </w:rPr>
            </w:pPr>
            <w:r>
              <w:rPr>
                <w:rFonts w:hint="eastAsia" w:ascii="仿宋" w:hAnsi="仿宋" w:eastAsia="仿宋" w:cs="仿宋"/>
              </w:rPr>
              <w:t>投标人业绩</w:t>
            </w:r>
          </w:p>
          <w:p>
            <w:pPr>
              <w:widowControl/>
              <w:spacing w:line="360" w:lineRule="auto"/>
              <w:jc w:val="center"/>
              <w:rPr>
                <w:rFonts w:ascii="仿宋" w:hAnsi="仿宋" w:eastAsia="仿宋" w:cs="仿宋"/>
              </w:rPr>
            </w:pPr>
            <w:r>
              <w:rPr>
                <w:rFonts w:hint="eastAsia" w:ascii="仿宋" w:hAnsi="仿宋" w:eastAsia="仿宋" w:cs="仿宋"/>
              </w:rPr>
              <w:t>（20分）</w:t>
            </w:r>
          </w:p>
        </w:tc>
        <w:tc>
          <w:tcPr>
            <w:tcW w:w="7024" w:type="dxa"/>
            <w:gridSpan w:val="2"/>
            <w:tcBorders>
              <w:top w:val="nil"/>
              <w:left w:val="nil"/>
              <w:bottom w:val="nil"/>
              <w:right w:val="single" w:color="auto" w:sz="4" w:space="0"/>
            </w:tcBorders>
            <w:shd w:val="clear" w:color="auto" w:fill="auto"/>
            <w:vAlign w:val="center"/>
          </w:tcPr>
          <w:p>
            <w:pPr>
              <w:widowControl/>
              <w:spacing w:line="360" w:lineRule="auto"/>
              <w:jc w:val="left"/>
              <w:rPr>
                <w:rFonts w:ascii="仿宋" w:hAnsi="仿宋" w:eastAsia="仿宋" w:cs="仿宋"/>
              </w:rPr>
            </w:pPr>
            <w:r>
              <w:rPr>
                <w:rFonts w:hint="eastAsia" w:ascii="仿宋" w:hAnsi="仿宋" w:eastAsia="仿宋" w:cs="仿宋"/>
              </w:rPr>
              <w:t>近三年（2019年1月1日至投标截止日）每提供一份电子招标采购管理系统项目实施的业绩得</w:t>
            </w:r>
            <w:r>
              <w:rPr>
                <w:rFonts w:hint="eastAsia" w:ascii="仿宋" w:hAnsi="仿宋" w:eastAsia="仿宋" w:cs="仿宋"/>
                <w:lang w:val="en-US" w:eastAsia="zh-CN"/>
              </w:rPr>
              <w:t>5</w:t>
            </w:r>
            <w:r>
              <w:rPr>
                <w:rFonts w:hint="eastAsia" w:ascii="仿宋" w:hAnsi="仿宋" w:eastAsia="仿宋" w:cs="仿宋"/>
              </w:rPr>
              <w:t>分，最高得20分；</w:t>
            </w:r>
            <w:r>
              <w:rPr>
                <w:rFonts w:hint="eastAsia" w:ascii="仿宋" w:hAnsi="仿宋" w:eastAsia="仿宋" w:cs="仿宋"/>
              </w:rPr>
              <w:br w:type="textWrapping"/>
            </w:r>
            <w:r>
              <w:rPr>
                <w:rFonts w:hint="eastAsia" w:ascii="仿宋" w:hAnsi="仿宋" w:eastAsia="仿宋" w:cs="仿宋"/>
              </w:rPr>
              <w:t>注：须提供合同复印件或扫描件，否则不得分。</w:t>
            </w:r>
          </w:p>
        </w:tc>
      </w:tr>
      <w:tr>
        <w:tblPrEx>
          <w:tblCellMar>
            <w:top w:w="0" w:type="dxa"/>
            <w:left w:w="108" w:type="dxa"/>
            <w:bottom w:w="0" w:type="dxa"/>
            <w:right w:w="108" w:type="dxa"/>
          </w:tblCellMar>
        </w:tblPrEx>
        <w:trPr>
          <w:trHeight w:val="3603" w:hRule="atLeast"/>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137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rPr>
            </w:pPr>
            <w:r>
              <w:rPr>
                <w:rFonts w:hint="eastAsia" w:ascii="仿宋" w:hAnsi="仿宋" w:eastAsia="仿宋" w:cs="仿宋"/>
              </w:rPr>
              <w:t>技术能力</w:t>
            </w:r>
          </w:p>
          <w:p>
            <w:pPr>
              <w:widowControl/>
              <w:spacing w:line="360" w:lineRule="auto"/>
              <w:jc w:val="center"/>
              <w:rPr>
                <w:rFonts w:ascii="仿宋" w:hAnsi="仿宋" w:eastAsia="仿宋" w:cs="仿宋"/>
              </w:rPr>
            </w:pPr>
            <w:r>
              <w:rPr>
                <w:rFonts w:hint="eastAsia" w:ascii="仿宋" w:hAnsi="仿宋" w:eastAsia="仿宋" w:cs="仿宋"/>
              </w:rPr>
              <w:t>（10分）</w:t>
            </w:r>
          </w:p>
        </w:tc>
        <w:tc>
          <w:tcPr>
            <w:tcW w:w="702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rPr>
            </w:pPr>
            <w:r>
              <w:rPr>
                <w:rFonts w:hint="eastAsia" w:ascii="仿宋" w:hAnsi="仿宋" w:eastAsia="仿宋" w:cs="仿宋"/>
              </w:rPr>
              <w:t>（1）投标人具有省级及以上高新技术企业证书得2分；</w:t>
            </w:r>
            <w:r>
              <w:rPr>
                <w:rFonts w:hint="eastAsia" w:ascii="仿宋" w:hAnsi="仿宋" w:eastAsia="仿宋" w:cs="仿宋"/>
              </w:rPr>
              <w:br w:type="textWrapping"/>
            </w:r>
            <w:r>
              <w:rPr>
                <w:rFonts w:hint="eastAsia" w:ascii="仿宋" w:hAnsi="仿宋" w:eastAsia="仿宋" w:cs="仿宋"/>
              </w:rPr>
              <w:t>（2）投标人取得 ISO9001 质量管理体系认证证书得2分；</w:t>
            </w:r>
          </w:p>
          <w:p>
            <w:pPr>
              <w:widowControl/>
              <w:spacing w:line="360" w:lineRule="auto"/>
              <w:jc w:val="left"/>
              <w:rPr>
                <w:rFonts w:ascii="仿宋" w:hAnsi="仿宋" w:eastAsia="仿宋" w:cs="仿宋"/>
              </w:rPr>
            </w:pPr>
            <w:r>
              <w:rPr>
                <w:rFonts w:hint="eastAsia" w:ascii="仿宋" w:hAnsi="仿宋" w:eastAsia="仿宋" w:cs="仿宋"/>
              </w:rPr>
              <w:t>（3）投标人所承建的电子招标采购平台通过《电子招标投标办法》及《电子招标投标系统检测认证办法》规定的检测要求，取得EBS三星检测认证证书。得2分；</w:t>
            </w:r>
          </w:p>
          <w:p>
            <w:pPr>
              <w:widowControl/>
              <w:spacing w:line="360" w:lineRule="auto"/>
              <w:jc w:val="left"/>
              <w:rPr>
                <w:rFonts w:ascii="仿宋" w:hAnsi="仿宋" w:eastAsia="仿宋" w:cs="仿宋"/>
              </w:rPr>
            </w:pPr>
            <w:r>
              <w:rPr>
                <w:rFonts w:hint="eastAsia" w:ascii="仿宋" w:hAnsi="仿宋" w:eastAsia="仿宋" w:cs="仿宋"/>
              </w:rPr>
              <w:t>（4）投标人取得信息系统安全等级保护第三级及以上的得2分；</w:t>
            </w:r>
          </w:p>
          <w:p>
            <w:pPr>
              <w:widowControl/>
              <w:spacing w:line="360" w:lineRule="auto"/>
              <w:jc w:val="left"/>
              <w:rPr>
                <w:rFonts w:ascii="仿宋" w:hAnsi="仿宋" w:eastAsia="仿宋" w:cs="仿宋"/>
              </w:rPr>
            </w:pPr>
            <w:r>
              <w:rPr>
                <w:rFonts w:hint="eastAsia" w:ascii="仿宋" w:hAnsi="仿宋" w:eastAsia="仿宋" w:cs="仿宋"/>
              </w:rPr>
              <w:t>（5）投标人具有电子招投标系统自主知识产权软件著作权登记证书的得2分。</w:t>
            </w:r>
          </w:p>
          <w:p>
            <w:pPr>
              <w:widowControl/>
              <w:spacing w:line="360" w:lineRule="auto"/>
              <w:jc w:val="left"/>
              <w:rPr>
                <w:rFonts w:ascii="仿宋" w:hAnsi="仿宋" w:eastAsia="仿宋" w:cs="仿宋"/>
              </w:rPr>
            </w:pPr>
            <w:r>
              <w:rPr>
                <w:rFonts w:hint="eastAsia" w:ascii="仿宋" w:hAnsi="仿宋" w:eastAsia="仿宋" w:cs="仿宋"/>
              </w:rPr>
              <w:t>注：须提供相关证书或证明材料复印件或扫描件，否则不得分。</w:t>
            </w:r>
          </w:p>
        </w:tc>
      </w:tr>
      <w:tr>
        <w:tblPrEx>
          <w:tblCellMar>
            <w:top w:w="0" w:type="dxa"/>
            <w:left w:w="108" w:type="dxa"/>
            <w:bottom w:w="0" w:type="dxa"/>
            <w:right w:w="108" w:type="dxa"/>
          </w:tblCellMar>
        </w:tblPrEx>
        <w:trPr>
          <w:trHeight w:val="3573" w:hRule="atLeast"/>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137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rPr>
            </w:pPr>
            <w:r>
              <w:rPr>
                <w:rFonts w:hint="eastAsia" w:ascii="仿宋" w:hAnsi="仿宋" w:eastAsia="仿宋" w:cs="仿宋"/>
              </w:rPr>
              <w:t>项目负责人</w:t>
            </w:r>
          </w:p>
          <w:p>
            <w:pPr>
              <w:widowControl/>
              <w:spacing w:line="360" w:lineRule="auto"/>
              <w:jc w:val="center"/>
              <w:rPr>
                <w:rFonts w:ascii="仿宋" w:hAnsi="仿宋" w:eastAsia="仿宋" w:cs="仿宋"/>
              </w:rPr>
            </w:pPr>
            <w:r>
              <w:rPr>
                <w:rFonts w:hint="eastAsia" w:ascii="仿宋" w:hAnsi="仿宋" w:eastAsia="仿宋" w:cs="仿宋"/>
              </w:rPr>
              <w:t>（4分）</w:t>
            </w:r>
          </w:p>
        </w:tc>
        <w:tc>
          <w:tcPr>
            <w:tcW w:w="702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rPr>
            </w:pPr>
            <w:r>
              <w:rPr>
                <w:rFonts w:hint="eastAsia" w:ascii="仿宋" w:hAnsi="仿宋" w:eastAsia="仿宋" w:cs="仿宋"/>
              </w:rPr>
              <w:t>（1）投标人拟派本项目的项目负责人具有PMP项目管理师或计算机技术与软件专业技术资格（水平）考试中级及以上资格得2分；</w:t>
            </w:r>
          </w:p>
          <w:p>
            <w:pPr>
              <w:widowControl/>
              <w:spacing w:line="360" w:lineRule="auto"/>
              <w:jc w:val="left"/>
              <w:rPr>
                <w:rFonts w:ascii="仿宋" w:hAnsi="仿宋" w:eastAsia="仿宋" w:cs="仿宋"/>
              </w:rPr>
            </w:pPr>
            <w:r>
              <w:rPr>
                <w:rFonts w:hint="eastAsia" w:ascii="仿宋" w:hAnsi="仿宋" w:eastAsia="仿宋" w:cs="仿宋"/>
              </w:rPr>
              <w:t>（2）投标人拟派本项目的项目负责人担任过类似电子招标采购管理系统项目负责人的得2分。</w:t>
            </w:r>
            <w:r>
              <w:rPr>
                <w:rFonts w:hint="eastAsia" w:ascii="仿宋" w:hAnsi="仿宋" w:eastAsia="仿宋" w:cs="仿宋"/>
              </w:rPr>
              <w:br w:type="textWrapping"/>
            </w:r>
            <w:r>
              <w:rPr>
                <w:rFonts w:hint="eastAsia" w:ascii="仿宋" w:hAnsi="仿宋" w:eastAsia="仿宋" w:cs="仿宋"/>
              </w:rPr>
              <w:t>注：</w:t>
            </w:r>
          </w:p>
          <w:p>
            <w:pPr>
              <w:widowControl/>
              <w:spacing w:line="360" w:lineRule="auto"/>
              <w:jc w:val="left"/>
              <w:rPr>
                <w:rFonts w:ascii="仿宋" w:hAnsi="仿宋" w:eastAsia="仿宋" w:cs="仿宋"/>
              </w:rPr>
            </w:pPr>
            <w:r>
              <w:rPr>
                <w:rFonts w:hint="eastAsia" w:ascii="仿宋" w:hAnsi="仿宋" w:eastAsia="仿宋" w:cs="仿宋"/>
              </w:rPr>
              <w:t>1）提供证书复印件或扫描件；</w:t>
            </w:r>
          </w:p>
          <w:p>
            <w:pPr>
              <w:widowControl/>
              <w:spacing w:line="360" w:lineRule="auto"/>
              <w:jc w:val="left"/>
              <w:rPr>
                <w:rFonts w:ascii="仿宋" w:hAnsi="仿宋" w:eastAsia="仿宋" w:cs="仿宋"/>
              </w:rPr>
            </w:pPr>
            <w:r>
              <w:rPr>
                <w:rFonts w:hint="eastAsia" w:ascii="仿宋" w:hAnsi="仿宋" w:eastAsia="仿宋" w:cs="仿宋"/>
              </w:rPr>
              <w:t>2）须提供投标人为其缴纳的2022年1月以来任意连续3个月的社保证明；</w:t>
            </w:r>
          </w:p>
        </w:tc>
      </w:tr>
      <w:tr>
        <w:tblPrEx>
          <w:tblCellMar>
            <w:top w:w="0" w:type="dxa"/>
            <w:left w:w="108" w:type="dxa"/>
            <w:bottom w:w="0" w:type="dxa"/>
            <w:right w:w="108" w:type="dxa"/>
          </w:tblCellMar>
        </w:tblPrEx>
        <w:trPr>
          <w:trHeight w:val="908" w:hRule="atLeast"/>
        </w:trPr>
        <w:tc>
          <w:tcPr>
            <w:tcW w:w="7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13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rPr>
            </w:pPr>
            <w:r>
              <w:rPr>
                <w:rFonts w:hint="eastAsia" w:ascii="仿宋" w:hAnsi="仿宋" w:eastAsia="仿宋" w:cs="仿宋"/>
              </w:rPr>
              <w:t>技术方案</w:t>
            </w:r>
          </w:p>
          <w:p>
            <w:pPr>
              <w:widowControl/>
              <w:spacing w:line="360" w:lineRule="auto"/>
              <w:jc w:val="center"/>
              <w:rPr>
                <w:rFonts w:hint="eastAsia" w:ascii="仿宋" w:hAnsi="仿宋" w:eastAsia="仿宋" w:cs="仿宋"/>
              </w:rPr>
            </w:pPr>
            <w:r>
              <w:rPr>
                <w:rFonts w:hint="eastAsia" w:ascii="仿宋" w:hAnsi="仿宋" w:eastAsia="仿宋" w:cs="仿宋"/>
              </w:rPr>
              <w:t>（30分）</w:t>
            </w:r>
          </w:p>
        </w:tc>
        <w:tc>
          <w:tcPr>
            <w:tcW w:w="139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rPr>
            </w:pPr>
          </w:p>
          <w:p>
            <w:pPr>
              <w:widowControl/>
              <w:spacing w:line="360" w:lineRule="auto"/>
              <w:jc w:val="center"/>
              <w:rPr>
                <w:rFonts w:ascii="仿宋" w:hAnsi="仿宋" w:eastAsia="仿宋" w:cs="仿宋"/>
              </w:rPr>
            </w:pPr>
            <w:r>
              <w:rPr>
                <w:rFonts w:hint="eastAsia" w:ascii="仿宋" w:hAnsi="仿宋" w:eastAsia="仿宋" w:cs="仿宋"/>
              </w:rPr>
              <w:t>系统建设方案</w:t>
            </w:r>
          </w:p>
          <w:p>
            <w:pPr>
              <w:widowControl/>
              <w:spacing w:line="360" w:lineRule="auto"/>
              <w:jc w:val="center"/>
              <w:rPr>
                <w:rFonts w:ascii="仿宋" w:hAnsi="仿宋" w:eastAsia="仿宋" w:cs="仿宋"/>
              </w:rPr>
            </w:pPr>
            <w:r>
              <w:rPr>
                <w:rFonts w:hint="eastAsia" w:ascii="仿宋" w:hAnsi="仿宋" w:eastAsia="仿宋" w:cs="仿宋"/>
              </w:rPr>
              <w:t>（20分</w:t>
            </w:r>
          </w:p>
        </w:tc>
        <w:tc>
          <w:tcPr>
            <w:tcW w:w="563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rPr>
            </w:pPr>
            <w:r>
              <w:rPr>
                <w:rFonts w:hint="eastAsia" w:ascii="仿宋" w:hAnsi="仿宋" w:eastAsia="仿宋" w:cs="仿宋"/>
              </w:rPr>
              <w:t>方案须详细阐述系统的体系架构设计、功能模块、实现思路和关键技术，以及对功能设计的思考，方案完整、科学、合理、先进、性价比高，项目方案与项目需求匹配程度高，系统功能满足招标文件要求，根据响应程度综合评定，优的计14-20分，良7-13分，一般1-6分。</w:t>
            </w:r>
          </w:p>
        </w:tc>
      </w:tr>
      <w:tr>
        <w:tblPrEx>
          <w:tblCellMar>
            <w:top w:w="0" w:type="dxa"/>
            <w:left w:w="108" w:type="dxa"/>
            <w:bottom w:w="0" w:type="dxa"/>
            <w:right w:w="108" w:type="dxa"/>
          </w:tblCellMar>
        </w:tblPrEx>
        <w:trPr>
          <w:trHeight w:val="1358" w:hRule="atLeast"/>
        </w:trPr>
        <w:tc>
          <w:tcPr>
            <w:tcW w:w="7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仿宋" w:hAnsi="仿宋" w:eastAsia="仿宋" w:cs="仿宋"/>
                <w:color w:val="000000"/>
                <w:sz w:val="24"/>
              </w:rPr>
            </w:pPr>
          </w:p>
        </w:tc>
        <w:tc>
          <w:tcPr>
            <w:tcW w:w="1377"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rPr>
            </w:pP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rPr>
            </w:pPr>
            <w:r>
              <w:rPr>
                <w:rFonts w:hint="eastAsia" w:ascii="仿宋" w:hAnsi="仿宋" w:eastAsia="仿宋" w:cs="仿宋"/>
              </w:rPr>
              <w:t>项目管理</w:t>
            </w:r>
          </w:p>
          <w:p>
            <w:pPr>
              <w:widowControl/>
              <w:spacing w:line="360" w:lineRule="auto"/>
              <w:jc w:val="center"/>
              <w:rPr>
                <w:rFonts w:ascii="仿宋" w:hAnsi="仿宋" w:eastAsia="仿宋" w:cs="仿宋"/>
              </w:rPr>
            </w:pPr>
            <w:r>
              <w:rPr>
                <w:rFonts w:hint="eastAsia" w:ascii="仿宋" w:hAnsi="仿宋" w:eastAsia="仿宋" w:cs="仿宋"/>
              </w:rPr>
              <w:t>方案</w:t>
            </w:r>
          </w:p>
          <w:p>
            <w:pPr>
              <w:widowControl/>
              <w:spacing w:line="360" w:lineRule="auto"/>
              <w:jc w:val="center"/>
              <w:rPr>
                <w:rFonts w:ascii="仿宋" w:hAnsi="仿宋" w:eastAsia="仿宋" w:cs="仿宋"/>
              </w:rPr>
            </w:pPr>
            <w:r>
              <w:rPr>
                <w:rFonts w:hint="eastAsia" w:ascii="仿宋" w:hAnsi="仿宋" w:eastAsia="仿宋" w:cs="仿宋"/>
              </w:rPr>
              <w:t>（5分）</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rPr>
            </w:pPr>
            <w:r>
              <w:rPr>
                <w:rFonts w:hint="eastAsia" w:ascii="仿宋" w:hAnsi="仿宋" w:eastAsia="仿宋" w:cs="仿宋"/>
              </w:rPr>
              <w:t>方案详述项目管理实时周期、组织安排、计划进度等，方案系统、科学、严谨，保障项目顺利实施，根据响应程度，优的计4-5分，良2-3分，一般1分。</w:t>
            </w:r>
          </w:p>
        </w:tc>
      </w:tr>
      <w:tr>
        <w:tblPrEx>
          <w:tblCellMar>
            <w:top w:w="0" w:type="dxa"/>
            <w:left w:w="108" w:type="dxa"/>
            <w:bottom w:w="0" w:type="dxa"/>
            <w:right w:w="108" w:type="dxa"/>
          </w:tblCellMar>
        </w:tblPrEx>
        <w:trPr>
          <w:trHeight w:val="1358" w:hRule="atLeast"/>
        </w:trPr>
        <w:tc>
          <w:tcPr>
            <w:tcW w:w="7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仿宋" w:hAnsi="仿宋" w:eastAsia="仿宋" w:cs="仿宋"/>
                <w:color w:val="000000"/>
                <w:sz w:val="24"/>
              </w:rPr>
            </w:pPr>
          </w:p>
        </w:tc>
        <w:tc>
          <w:tcPr>
            <w:tcW w:w="1377"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rPr>
            </w:pPr>
          </w:p>
        </w:tc>
        <w:tc>
          <w:tcPr>
            <w:tcW w:w="139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rPr>
            </w:pPr>
            <w:r>
              <w:rPr>
                <w:rFonts w:hint="eastAsia" w:ascii="仿宋" w:hAnsi="仿宋" w:eastAsia="仿宋" w:cs="仿宋"/>
              </w:rPr>
              <w:t>培训</w:t>
            </w:r>
          </w:p>
          <w:p>
            <w:pPr>
              <w:widowControl/>
              <w:spacing w:line="360" w:lineRule="auto"/>
              <w:jc w:val="center"/>
              <w:rPr>
                <w:rFonts w:ascii="仿宋" w:hAnsi="仿宋" w:eastAsia="仿宋" w:cs="仿宋"/>
              </w:rPr>
            </w:pPr>
            <w:r>
              <w:rPr>
                <w:rFonts w:hint="eastAsia" w:ascii="仿宋" w:hAnsi="仿宋" w:eastAsia="仿宋" w:cs="仿宋"/>
              </w:rPr>
              <w:t>方案</w:t>
            </w:r>
          </w:p>
          <w:p>
            <w:pPr>
              <w:widowControl/>
              <w:spacing w:line="360" w:lineRule="auto"/>
              <w:jc w:val="center"/>
              <w:rPr>
                <w:rFonts w:ascii="仿宋" w:hAnsi="仿宋" w:eastAsia="仿宋" w:cs="仿宋"/>
              </w:rPr>
            </w:pPr>
            <w:r>
              <w:rPr>
                <w:rFonts w:hint="eastAsia" w:ascii="仿宋" w:hAnsi="仿宋" w:eastAsia="仿宋" w:cs="仿宋"/>
              </w:rPr>
              <w:t>（5分）</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rPr>
            </w:pPr>
            <w:r>
              <w:rPr>
                <w:rFonts w:hint="eastAsia" w:ascii="仿宋" w:hAnsi="仿宋" w:eastAsia="仿宋" w:cs="仿宋"/>
              </w:rPr>
              <w:t>提供分角色、多层次的集中和专项培训，综合考虑培训内容、时间安排、师资力量配备等情况：根据响应程度，优的计4-5分，良2-3分，一般1分。</w:t>
            </w:r>
          </w:p>
        </w:tc>
      </w:tr>
      <w:tr>
        <w:tblPrEx>
          <w:tblCellMar>
            <w:top w:w="0" w:type="dxa"/>
            <w:left w:w="108" w:type="dxa"/>
            <w:bottom w:w="0" w:type="dxa"/>
            <w:right w:w="108" w:type="dxa"/>
          </w:tblCellMar>
        </w:tblPrEx>
        <w:trPr>
          <w:trHeight w:val="1358" w:hRule="atLeast"/>
        </w:trPr>
        <w:tc>
          <w:tcPr>
            <w:tcW w:w="7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13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rPr>
            </w:pPr>
            <w:r>
              <w:rPr>
                <w:rFonts w:hint="eastAsia" w:ascii="仿宋" w:hAnsi="仿宋" w:eastAsia="仿宋" w:cs="仿宋"/>
              </w:rPr>
              <w:t>服务能力</w:t>
            </w:r>
          </w:p>
          <w:p>
            <w:pPr>
              <w:widowControl/>
              <w:spacing w:line="360" w:lineRule="auto"/>
              <w:jc w:val="center"/>
              <w:rPr>
                <w:rFonts w:hint="eastAsia" w:ascii="仿宋" w:hAnsi="仿宋" w:eastAsia="仿宋" w:cs="仿宋"/>
              </w:rPr>
            </w:pPr>
            <w:r>
              <w:rPr>
                <w:rFonts w:hint="eastAsia" w:ascii="仿宋" w:hAnsi="仿宋" w:eastAsia="仿宋" w:cs="仿宋"/>
              </w:rPr>
              <w:t>（6分）</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rPr>
            </w:pPr>
            <w:r>
              <w:rPr>
                <w:rFonts w:hint="eastAsia" w:ascii="仿宋" w:hAnsi="仿宋" w:eastAsia="仿宋" w:cs="仿宋"/>
              </w:rPr>
              <w:t>本地化</w:t>
            </w:r>
          </w:p>
          <w:p>
            <w:pPr>
              <w:widowControl/>
              <w:spacing w:line="360" w:lineRule="auto"/>
              <w:jc w:val="center"/>
              <w:rPr>
                <w:rFonts w:ascii="仿宋" w:hAnsi="仿宋" w:eastAsia="仿宋" w:cs="仿宋"/>
              </w:rPr>
            </w:pPr>
            <w:r>
              <w:rPr>
                <w:rFonts w:hint="eastAsia" w:ascii="仿宋" w:hAnsi="仿宋" w:eastAsia="仿宋" w:cs="仿宋"/>
              </w:rPr>
              <w:t>服务能力</w:t>
            </w:r>
          </w:p>
          <w:p>
            <w:pPr>
              <w:widowControl/>
              <w:spacing w:line="360" w:lineRule="auto"/>
              <w:jc w:val="center"/>
              <w:rPr>
                <w:rFonts w:ascii="仿宋" w:hAnsi="仿宋" w:eastAsia="仿宋" w:cs="仿宋"/>
              </w:rPr>
            </w:pPr>
            <w:r>
              <w:rPr>
                <w:rFonts w:hint="eastAsia" w:ascii="仿宋" w:hAnsi="仿宋" w:eastAsia="仿宋" w:cs="仿宋"/>
              </w:rPr>
              <w:t>（2分）</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rPr>
            </w:pPr>
            <w:r>
              <w:rPr>
                <w:rFonts w:hint="eastAsia" w:ascii="仿宋" w:hAnsi="仿宋" w:eastAsia="仿宋" w:cs="仿宋"/>
              </w:rPr>
              <w:t>投标人已注册在安徽省或者在安徽省有分支机构得2分。</w:t>
            </w:r>
          </w:p>
        </w:tc>
      </w:tr>
      <w:tr>
        <w:tblPrEx>
          <w:tblCellMar>
            <w:top w:w="0" w:type="dxa"/>
            <w:left w:w="108" w:type="dxa"/>
            <w:bottom w:w="0" w:type="dxa"/>
            <w:right w:w="108" w:type="dxa"/>
          </w:tblCellMar>
        </w:tblPrEx>
        <w:trPr>
          <w:trHeight w:val="1367" w:hRule="atLeast"/>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仿宋" w:hAnsi="仿宋" w:eastAsia="仿宋" w:cs="仿宋"/>
                <w:color w:val="000000"/>
                <w:sz w:val="24"/>
              </w:rPr>
            </w:pPr>
          </w:p>
        </w:tc>
        <w:tc>
          <w:tcPr>
            <w:tcW w:w="13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rPr>
            </w:pP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rPr>
            </w:pPr>
            <w:r>
              <w:rPr>
                <w:rFonts w:hint="eastAsia" w:ascii="仿宋" w:hAnsi="仿宋" w:eastAsia="仿宋" w:cs="仿宋"/>
              </w:rPr>
              <w:t>售后</w:t>
            </w:r>
          </w:p>
          <w:p>
            <w:pPr>
              <w:widowControl/>
              <w:spacing w:line="360" w:lineRule="auto"/>
              <w:jc w:val="center"/>
              <w:rPr>
                <w:rFonts w:ascii="仿宋" w:hAnsi="仿宋" w:eastAsia="仿宋" w:cs="仿宋"/>
              </w:rPr>
            </w:pPr>
            <w:r>
              <w:rPr>
                <w:rFonts w:hint="eastAsia" w:ascii="仿宋" w:hAnsi="仿宋" w:eastAsia="仿宋" w:cs="仿宋"/>
              </w:rPr>
              <w:t>服务能力</w:t>
            </w:r>
          </w:p>
          <w:p>
            <w:pPr>
              <w:widowControl/>
              <w:spacing w:line="360" w:lineRule="auto"/>
              <w:jc w:val="center"/>
              <w:rPr>
                <w:rFonts w:ascii="仿宋" w:hAnsi="仿宋" w:eastAsia="仿宋" w:cs="仿宋"/>
              </w:rPr>
            </w:pPr>
            <w:r>
              <w:rPr>
                <w:rFonts w:hint="eastAsia" w:ascii="仿宋" w:hAnsi="仿宋" w:eastAsia="仿宋" w:cs="仿宋"/>
              </w:rPr>
              <w:t>（4分）</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rPr>
            </w:pPr>
            <w:r>
              <w:rPr>
                <w:rFonts w:hint="eastAsia" w:ascii="仿宋" w:hAnsi="仿宋" w:eastAsia="仿宋" w:cs="仿宋"/>
              </w:rPr>
              <w:t>根据提供的运维服务方案竞争力，如售后服务内容、年度维保费用、维保模式、对本项目有助的增值服务等进行综合评定，优的计4分，良2-3分，一般1分。</w:t>
            </w:r>
          </w:p>
        </w:tc>
      </w:tr>
      <w:bookmarkEnd w:id="0"/>
    </w:tbl>
    <w:p>
      <w:pPr>
        <w:spacing w:line="520" w:lineRule="exact"/>
        <w:ind w:firstLine="435"/>
        <w:rPr>
          <w:rFonts w:ascii="仿宋" w:hAnsi="仿宋" w:eastAsia="仿宋" w:cs="仿宋"/>
          <w:sz w:val="24"/>
        </w:rPr>
      </w:pPr>
    </w:p>
    <w:p>
      <w:pPr>
        <w:numPr>
          <w:ilvl w:val="0"/>
          <w:numId w:val="1"/>
        </w:numPr>
        <w:spacing w:line="520" w:lineRule="exact"/>
        <w:ind w:firstLine="435"/>
        <w:rPr>
          <w:rFonts w:ascii="仿宋" w:hAnsi="仿宋" w:eastAsia="仿宋" w:cs="仿宋"/>
          <w:sz w:val="24"/>
        </w:rPr>
      </w:pPr>
      <w:r>
        <w:rPr>
          <w:rFonts w:hint="eastAsia" w:ascii="仿宋" w:hAnsi="仿宋" w:eastAsia="仿宋" w:cs="仿宋"/>
          <w:sz w:val="24"/>
        </w:rPr>
        <w:t>价格分（30分）</w:t>
      </w:r>
    </w:p>
    <w:p>
      <w:pPr>
        <w:widowControl/>
        <w:spacing w:line="360" w:lineRule="auto"/>
        <w:jc w:val="left"/>
        <w:rPr>
          <w:rFonts w:ascii="仿宋" w:hAnsi="仿宋" w:eastAsia="仿宋" w:cs="仿宋"/>
          <w:b/>
          <w:bCs/>
        </w:rPr>
      </w:pPr>
      <w:r>
        <w:rPr>
          <w:rFonts w:hint="eastAsia" w:ascii="仿宋" w:hAnsi="仿宋" w:eastAsia="仿宋" w:cs="仿宋"/>
          <w:b/>
          <w:bCs/>
        </w:rPr>
        <w:t>报价要求：招标人不支付任何费用，软件公司向参与医院全流程电子招标项目的投标人</w:t>
      </w:r>
      <w:r>
        <w:rPr>
          <w:rFonts w:hint="eastAsia" w:ascii="仿宋" w:hAnsi="仿宋" w:eastAsia="仿宋" w:cs="仿宋"/>
          <w:b/>
          <w:bCs/>
          <w:lang w:val="en-US" w:eastAsia="zh-CN"/>
        </w:rPr>
        <w:t>收取</w:t>
      </w:r>
      <w:r>
        <w:rPr>
          <w:rFonts w:hint="eastAsia" w:ascii="仿宋" w:hAnsi="仿宋" w:eastAsia="仿宋" w:cs="仿宋"/>
          <w:b/>
          <w:bCs/>
        </w:rPr>
        <w:t>报名技术服务费，最高限价不得高于500元/项目收费标准。</w:t>
      </w:r>
    </w:p>
    <w:p>
      <w:pPr>
        <w:pStyle w:val="2"/>
        <w:rPr>
          <w:rFonts w:ascii="仿宋" w:hAnsi="仿宋" w:eastAsia="仿宋" w:cs="仿宋"/>
        </w:rPr>
      </w:pPr>
    </w:p>
    <w:tbl>
      <w:tblPr>
        <w:tblStyle w:val="3"/>
        <w:tblW w:w="52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0"/>
        <w:gridCol w:w="1222"/>
        <w:gridCol w:w="6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373" w:type="pct"/>
            <w:vAlign w:val="center"/>
          </w:tcPr>
          <w:p>
            <w:pPr>
              <w:widowControl/>
              <w:spacing w:line="360" w:lineRule="auto"/>
              <w:jc w:val="center"/>
              <w:rPr>
                <w:rFonts w:ascii="仿宋" w:hAnsi="仿宋" w:eastAsia="仿宋" w:cs="仿宋"/>
              </w:rPr>
            </w:pPr>
            <w:r>
              <w:rPr>
                <w:rFonts w:hint="eastAsia" w:ascii="仿宋" w:hAnsi="仿宋" w:eastAsia="仿宋" w:cs="仿宋"/>
              </w:rPr>
              <w:t>1</w:t>
            </w:r>
          </w:p>
        </w:tc>
        <w:tc>
          <w:tcPr>
            <w:tcW w:w="702" w:type="pct"/>
            <w:vAlign w:val="center"/>
          </w:tcPr>
          <w:p>
            <w:pPr>
              <w:widowControl/>
              <w:spacing w:line="360" w:lineRule="auto"/>
              <w:jc w:val="center"/>
              <w:rPr>
                <w:rFonts w:ascii="仿宋" w:hAnsi="仿宋" w:eastAsia="仿宋" w:cs="仿宋"/>
              </w:rPr>
            </w:pPr>
            <w:r>
              <w:rPr>
                <w:rFonts w:hint="eastAsia" w:ascii="仿宋" w:hAnsi="仿宋" w:eastAsia="仿宋" w:cs="仿宋"/>
              </w:rPr>
              <w:t>投标报价</w:t>
            </w:r>
          </w:p>
          <w:p>
            <w:pPr>
              <w:widowControl/>
              <w:spacing w:line="360" w:lineRule="auto"/>
              <w:jc w:val="center"/>
              <w:rPr>
                <w:rFonts w:ascii="仿宋" w:hAnsi="仿宋" w:eastAsia="仿宋" w:cs="仿宋"/>
              </w:rPr>
            </w:pPr>
            <w:r>
              <w:rPr>
                <w:rFonts w:hint="eastAsia" w:ascii="仿宋" w:hAnsi="仿宋" w:eastAsia="仿宋" w:cs="仿宋"/>
              </w:rPr>
              <w:t>（30分）</w:t>
            </w:r>
          </w:p>
        </w:tc>
        <w:tc>
          <w:tcPr>
            <w:tcW w:w="3924" w:type="pct"/>
            <w:vAlign w:val="center"/>
          </w:tcPr>
          <w:p>
            <w:pPr>
              <w:widowControl/>
              <w:spacing w:line="360" w:lineRule="auto"/>
              <w:jc w:val="center"/>
              <w:rPr>
                <w:rFonts w:ascii="仿宋" w:hAnsi="仿宋" w:eastAsia="仿宋" w:cs="仿宋"/>
              </w:rPr>
            </w:pPr>
            <w:r>
              <w:rPr>
                <w:rFonts w:hint="eastAsia" w:ascii="仿宋" w:hAnsi="仿宋" w:eastAsia="仿宋" w:cs="仿宋"/>
              </w:rPr>
              <w:t>投标报价满足招标文件要求的，最低投标报价的投标人得30分；</w:t>
            </w:r>
          </w:p>
          <w:p>
            <w:pPr>
              <w:widowControl/>
              <w:spacing w:line="360" w:lineRule="auto"/>
              <w:jc w:val="center"/>
              <w:rPr>
                <w:rFonts w:ascii="仿宋" w:hAnsi="仿宋" w:eastAsia="仿宋" w:cs="仿宋"/>
              </w:rPr>
            </w:pPr>
            <w:r>
              <w:rPr>
                <w:rFonts w:hint="eastAsia" w:ascii="仿宋" w:hAnsi="仿宋" w:eastAsia="仿宋" w:cs="仿宋"/>
              </w:rPr>
              <w:t>其他投标人报价得分＝最低投标报价/投标人报价×30。</w:t>
            </w:r>
          </w:p>
        </w:tc>
      </w:tr>
    </w:tbl>
    <w:p>
      <w:pPr>
        <w:pStyle w:val="2"/>
        <w:rPr>
          <w:rFonts w:ascii="仿宋" w:hAnsi="仿宋" w:eastAsia="仿宋" w:cs="仿宋"/>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3100E"/>
    <w:multiLevelType w:val="singleLevel"/>
    <w:tmpl w:val="EE73100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ZjMjZhMzI5MDJkZmE2ZTVjMWJlODUzY2E1ZTIifQ=="/>
  </w:docVars>
  <w:rsids>
    <w:rsidRoot w:val="00000000"/>
    <w:rsid w:val="44AB23D9"/>
    <w:rsid w:val="516F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1033</Words>
  <Characters>1080</Characters>
  <Lines>0</Lines>
  <Paragraphs>0</Paragraphs>
  <TotalTime>0</TotalTime>
  <ScaleCrop>false</ScaleCrop>
  <LinksUpToDate>false</LinksUpToDate>
  <CharactersWithSpaces>1082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2022-07-13T09:15:49Z</dcterms:created>
  <dc:creator>11798</dc:creator>
  <cp:lastModifiedBy>无聊的老H</cp:lastModifiedBy>
  <dcterms:modified xsi:type="dcterms:W3CDTF">2022-07-13T09:16:24Z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F7EDDF4651284F67ABB330972AA1E063</vt:lpwstr>
  </property>
</Properties>
</file>