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</w:p>
    <w:p>
      <w:pPr>
        <w:keepNext w:val="0"/>
        <w:keepLines w:val="0"/>
        <w:widowControl/>
        <w:suppressLineNumbers w:val="0"/>
        <w:ind w:firstLine="442" w:firstLineChars="10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2022年度滁州市第一人民医院公开招聘工作人员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面试成绩</w:t>
      </w:r>
    </w:p>
    <w:p>
      <w:pPr>
        <w:jc w:val="left"/>
      </w:pPr>
    </w:p>
    <w:p>
      <w:pPr>
        <w:jc w:val="left"/>
      </w:pPr>
    </w:p>
    <w:tbl>
      <w:tblPr>
        <w:tblW w:w="848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2715"/>
        <w:gridCol w:w="261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面试得分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外科学（普外—胃肠）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外科学（普外—胃肠）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外科学（普外-肝胆）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外科学（神外）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外科学（骨科）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外科学（普外-肝胆）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外科学（神外）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外科学（整形或烧伤）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外科学（骨科）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抽签号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面试得分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肿瘤学（甲乳）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外科学（整形或烧伤）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皮肤病与性病学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3303F"/>
    <w:rsid w:val="2EB3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2022-11-19T04:53:00Z</dcterms:created>
  <dc:creator>双生代</dc:creator>
  <cp:lastModifiedBy>双生代</cp:lastModifiedBy>
  <dcterms:modified xsi:type="dcterms:W3CDTF">2022-11-19T04:56:26Z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