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z w:val="29"/>
          <w:szCs w:val="29"/>
        </w:rPr>
        <w:t>附件二：</w:t>
      </w:r>
    </w:p>
    <w:p>
      <w:pPr>
        <w:adjustRightInd w:val="0"/>
        <w:snapToGrid w:val="0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</w:rPr>
        <w:t>血液透析机维修保养满意度评价表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8"/>
        <w:gridCol w:w="5495"/>
        <w:gridCol w:w="804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使用科室</w:t>
            </w:r>
          </w:p>
        </w:tc>
        <w:tc>
          <w:tcPr>
            <w:tcW w:w="7026" w:type="dxa"/>
            <w:gridSpan w:val="3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维保单位</w:t>
            </w:r>
          </w:p>
        </w:tc>
        <w:tc>
          <w:tcPr>
            <w:tcW w:w="7026" w:type="dxa"/>
            <w:gridSpan w:val="3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2" w:type="dxa"/>
            <w:gridSpan w:val="3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评价内容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评价</w:t>
            </w: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履行合同约定的服务内容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2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对维保单位提供的培训（每年不少于2次）的评价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3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对维保单位提供的服务（维修、备件）的评价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4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对维保单位的远程或现场应急响应（人员及时性、处理周期、处理结果、事件汇报）的评价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5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维保单位能否及时发现问题，并提供很好的改进建议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6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对维保单位设备维修记录、维护保养记录、质量控制记录的评价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7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对维保单位现场工程师的技术水平的评价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8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对维保单位现场工程师的仪表、沟通能力和服务态度的评价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9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  <w:shd w:val="clear" w:color="auto" w:fill="FFFFFF"/>
                <w:lang w:bidi="ar"/>
              </w:rPr>
              <w:t>对维保设备的季度平均开机率的整体评价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62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10</w:t>
            </w:r>
          </w:p>
        </w:tc>
        <w:tc>
          <w:tcPr>
            <w:tcW w:w="6200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对维保单位的资源协调、工作安排、应急处置、质量交付、整体管理的评价</w:t>
            </w:r>
          </w:p>
        </w:tc>
        <w:tc>
          <w:tcPr>
            <w:tcW w:w="804" w:type="dxa"/>
            <w:vAlign w:val="center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</w:p>
        </w:tc>
        <w:tc>
          <w:tcPr>
            <w:tcW w:w="730" w:type="dxa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满分</w:t>
            </w:r>
          </w:p>
          <w:p>
            <w:pPr>
              <w:ind w:left="0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10分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65" w:type="dxa"/>
            <w:gridSpan w:val="3"/>
            <w:vAlign w:val="center"/>
          </w:tcPr>
          <w:p>
            <w:pPr>
              <w:ind w:left="0"/>
              <w:jc w:val="center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合  计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ind w:left="0"/>
              <w:rPr>
                <w:rFonts w:ascii="仿宋" w:hAnsi="仿宋" w:eastAsia="仿宋" w:cs="仿宋"/>
                <w:b/>
                <w:bCs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36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8296" w:type="dxa"/>
            <w:gridSpan w:val="5"/>
          </w:tcPr>
          <w:p>
            <w:pPr>
              <w:ind w:left="0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评价内容共分10项，合计总分100分，每项满分10分。</w:t>
            </w:r>
            <w:r>
              <w:rPr>
                <w:rFonts w:hint="eastAsia" w:ascii="仿宋" w:hAnsi="仿宋" w:eastAsia="仿宋" w:cs="仿宋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Cs w:val="24"/>
              </w:rPr>
              <w:t>使用科室每季度根据评价内容打出相应分值并计算总分。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  <w:jc w:val="center"/>
        </w:trPr>
        <w:tc>
          <w:tcPr>
            <w:tcW w:w="8296" w:type="dxa"/>
            <w:gridSpan w:val="5"/>
          </w:tcPr>
          <w:p>
            <w:pPr>
              <w:spacing w:line="360" w:lineRule="auto"/>
              <w:ind w:left="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科室意见及建议：</w:t>
            </w:r>
          </w:p>
          <w:p>
            <w:pPr>
              <w:spacing w:line="360" w:lineRule="auto"/>
              <w:ind w:left="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left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left="0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360" w:lineRule="auto"/>
              <w:ind w:left="0" w:firstLine="6264" w:firstLineChars="2600"/>
              <w:rPr>
                <w:rFonts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科室签字：  </w:t>
            </w:r>
          </w:p>
          <w:p>
            <w:pPr>
              <w:ind w:left="0"/>
              <w:jc w:val="right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 月     日</w:t>
            </w:r>
          </w:p>
        </w:tc>
      </w:tr>
    </w:tbl>
    <w:p>
      <w:pPr>
        <w:adjustRightInd w:val="0"/>
        <w:snapToGrid w:val="0"/>
        <w:ind w:left="0"/>
        <w:jc w:val="left"/>
        <w:rPr>
          <w:rFonts w:ascii="宋体" w:hAnsi="宋体"/>
          <w:b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4A88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958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2023-05-29T01:20:45Z</dcterms:created>
  <dc:creator>11798</dc:creator>
  <cp:lastModifiedBy>无聊的老H</cp:lastModifiedBy>
  <dcterms:modified xsi:type="dcterms:W3CDTF">2023-05-29T01:20:57Z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3D53A935C93E4C67B6A40B7CC8BE8BFB_12</vt:lpwstr>
  </property>
</Properties>
</file>