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附件四：一标包评分办法</w:t>
      </w:r>
    </w:p>
    <w:tbl>
      <w:tblPr>
        <w:tblStyle w:val="5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141"/>
        <w:gridCol w:w="515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序号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515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说明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价格分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157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1）有效响应报价：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初步评审合格的投标人的投标报价为有效投标报价。有效投标报价参与评标基准值及报价部分得分的计算。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2）投标报价（30分）：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取所有有效投标总价的最低价为评标基准值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满足招标文件要求且投标价格最低的投标报价的价格分为30分，其他投标人的价格分统一按照下列公式计算：投标报价得分＝（评标基准价/投标报价）×30%×100。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技术参数和配置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（50分）</w:t>
            </w:r>
          </w:p>
        </w:tc>
        <w:tc>
          <w:tcPr>
            <w:tcW w:w="5157" w:type="dxa"/>
            <w:vAlign w:val="center"/>
          </w:tcPr>
          <w:p>
            <w:pPr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1、对招标文件中所有技术参数全部满足的得满分。</w:t>
            </w:r>
          </w:p>
          <w:p>
            <w:pPr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2、标注“★”号的技术条参数为重要参数每有一项负偏离得，该项得0分。</w:t>
            </w:r>
          </w:p>
          <w:p>
            <w:pPr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3、非“★”号参数为普通参数每有一项负偏离得扣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1.5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分，非“★”号参数负偏离超过（含）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sz w:val="24"/>
              </w:rPr>
              <w:t>项的，此项得0分。</w:t>
            </w:r>
          </w:p>
          <w:p>
            <w:pPr>
              <w:rPr>
                <w:rFonts w:ascii="Times New Roman" w:hAnsi="Times New Roman" w:eastAsia="仿宋" w:cs="宋体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FF0000"/>
                <w:sz w:val="24"/>
              </w:rPr>
              <w:t>投标人制作技术标文件需自行编制页码，本项提供的“证明材料”需在技术标文件中使用标记对评审相关指标进行标注，且在技术响应表中应明确注明“证明材料”所在技术标文件中的页码，否则视为不响应，按负偏离处理；</w:t>
            </w:r>
          </w:p>
          <w:p>
            <w:r>
              <w:rPr>
                <w:rFonts w:hint="eastAsia" w:ascii="Times New Roman" w:hAnsi="Times New Roman" w:eastAsia="仿宋" w:cs="宋体"/>
                <w:color w:val="FF0000"/>
                <w:sz w:val="24"/>
              </w:rPr>
              <w:t>注：以参数清单要求提供的证明材料作为评审依据。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3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ind w:left="-38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免费质保期</w:t>
            </w:r>
          </w:p>
          <w:p>
            <w:pPr>
              <w:spacing w:line="360" w:lineRule="auto"/>
              <w:ind w:left="-38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（10分）</w:t>
            </w:r>
          </w:p>
        </w:tc>
        <w:tc>
          <w:tcPr>
            <w:tcW w:w="5157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免费质保三年，每延长一年得5分，最多得10分。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（需提供相关质保期限承诺书，否则本项不得分。）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4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售后服务能力、措施（5分）</w:t>
            </w:r>
          </w:p>
        </w:tc>
        <w:tc>
          <w:tcPr>
            <w:tcW w:w="5157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根据售后的响应时间、故障修复时间、巡检次数及巡检时间段售后服务的保障措施等方面，评审时按各投标响应横向分析比较、评议、综合打分。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（优秀得5分；良好得4-2分；一般得1分；其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sz w:val="24"/>
              </w:rPr>
              <w:t>余不得分）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优惠条件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（5分）</w:t>
            </w:r>
          </w:p>
        </w:tc>
        <w:tc>
          <w:tcPr>
            <w:tcW w:w="5157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依据投标人承诺的投标优惠条件对招标人的有利情况进行综合比较，主要考虑优惠条件的实用性及实际价值。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（优惠条件较好的得5</w:t>
            </w:r>
            <w:r>
              <w:rPr>
                <w:rFonts w:ascii="Times New Roman" w:hAnsi="Times New Roman" w:eastAsia="仿宋" w:cs="宋体"/>
                <w:sz w:val="24"/>
              </w:rPr>
              <w:t>-3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分，一般的得</w:t>
            </w:r>
            <w:r>
              <w:rPr>
                <w:rFonts w:ascii="Times New Roman" w:hAnsi="Times New Roman" w:eastAsia="仿宋" w:cs="宋体"/>
                <w:sz w:val="24"/>
              </w:rPr>
              <w:t>2-1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分，没有不得分）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31AA5322"/>
    <w:rsid w:val="3FBF7ADA"/>
    <w:rsid w:val="49C24A4E"/>
    <w:rsid w:val="54DA541B"/>
    <w:rsid w:val="5FB56FC0"/>
    <w:rsid w:val="623807F6"/>
    <w:rsid w:val="6AA26564"/>
    <w:rsid w:val="6FD6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widowControl/>
      <w:ind w:firstLine="48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2023-11-20T07:12:00Z</dcterms:created>
  <dc:creator>11798</dc:creator>
  <cp:lastModifiedBy>无聊的老H</cp:lastModifiedBy>
  <cp:lastPrinted>2023-11-22T00:41:54Z</cp:lastPrinted>
  <dcterms:modified xsi:type="dcterms:W3CDTF">2023-11-22T00:42:22Z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9994B75704AC4C8ABC7DE3849EA28228_12</vt:lpwstr>
  </property>
</Properties>
</file>