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eastAsia="华文仿宋"/>
          <w:lang w:val="en-US" w:eastAsia="zh-CN"/>
        </w:rPr>
      </w:pPr>
      <w:r>
        <w:rPr>
          <w:rFonts w:hint="eastAsia"/>
          <w:lang w:val="en-US" w:eastAsia="zh-CN"/>
        </w:rPr>
        <w:t>附件三：综合评分法</w:t>
      </w:r>
    </w:p>
    <w:tbl>
      <w:tblPr>
        <w:tblStyle w:val="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3"/>
        <w:gridCol w:w="1161"/>
        <w:gridCol w:w="6139"/>
        <w:gridCol w:w="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336" w:type="pct"/>
            <w:shd w:val="clear" w:color="auto" w:fill="auto"/>
            <w:vAlign w:val="center"/>
          </w:tcPr>
          <w:p>
            <w:pPr>
              <w:autoSpaceDN w:val="0"/>
              <w:adjustRightInd w:val="0"/>
              <w:snapToGrid w:val="0"/>
              <w:spacing w:line="240" w:lineRule="auto"/>
              <w:ind w:firstLine="0" w:firstLineChars="0"/>
              <w:jc w:val="center"/>
              <w:rPr>
                <w:rFonts w:hint="eastAsia" w:ascii="仿宋" w:hAnsi="仿宋" w:eastAsia="仿宋" w:cs="仿宋"/>
                <w:b/>
                <w:sz w:val="22"/>
                <w:szCs w:val="22"/>
              </w:rPr>
            </w:pPr>
            <w:r>
              <w:rPr>
                <w:rFonts w:hint="eastAsia" w:ascii="仿宋" w:hAnsi="仿宋" w:eastAsia="仿宋" w:cs="仿宋"/>
                <w:b/>
                <w:sz w:val="22"/>
                <w:szCs w:val="22"/>
              </w:rPr>
              <w:t>序号</w:t>
            </w:r>
          </w:p>
        </w:tc>
        <w:tc>
          <w:tcPr>
            <w:tcW w:w="681" w:type="pct"/>
            <w:shd w:val="clear" w:color="auto" w:fill="auto"/>
            <w:vAlign w:val="center"/>
          </w:tcPr>
          <w:p>
            <w:pPr>
              <w:autoSpaceDN w:val="0"/>
              <w:adjustRightInd w:val="0"/>
              <w:snapToGrid w:val="0"/>
              <w:spacing w:line="240" w:lineRule="auto"/>
              <w:ind w:firstLine="0" w:firstLineChars="0"/>
              <w:jc w:val="center"/>
              <w:rPr>
                <w:rFonts w:hint="eastAsia" w:ascii="仿宋" w:hAnsi="仿宋" w:eastAsia="仿宋" w:cs="仿宋"/>
                <w:b/>
                <w:sz w:val="22"/>
                <w:szCs w:val="22"/>
              </w:rPr>
            </w:pPr>
            <w:r>
              <w:rPr>
                <w:rFonts w:hint="eastAsia" w:ascii="仿宋" w:hAnsi="仿宋" w:eastAsia="仿宋" w:cs="仿宋"/>
                <w:b/>
                <w:sz w:val="22"/>
                <w:szCs w:val="22"/>
              </w:rPr>
              <w:t>评分</w:t>
            </w:r>
          </w:p>
          <w:p>
            <w:pPr>
              <w:autoSpaceDN w:val="0"/>
              <w:adjustRightInd w:val="0"/>
              <w:snapToGrid w:val="0"/>
              <w:spacing w:line="240" w:lineRule="auto"/>
              <w:ind w:firstLine="0" w:firstLineChars="0"/>
              <w:jc w:val="center"/>
              <w:rPr>
                <w:rFonts w:hint="eastAsia" w:ascii="仿宋" w:hAnsi="仿宋" w:eastAsia="仿宋" w:cs="仿宋"/>
                <w:b/>
                <w:sz w:val="22"/>
                <w:szCs w:val="22"/>
              </w:rPr>
            </w:pPr>
            <w:r>
              <w:rPr>
                <w:rFonts w:hint="eastAsia" w:ascii="仿宋" w:hAnsi="仿宋" w:eastAsia="仿宋" w:cs="仿宋"/>
                <w:b/>
                <w:sz w:val="22"/>
                <w:szCs w:val="22"/>
              </w:rPr>
              <w:t>因素</w:t>
            </w:r>
          </w:p>
        </w:tc>
        <w:tc>
          <w:tcPr>
            <w:tcW w:w="3601" w:type="pct"/>
            <w:shd w:val="clear" w:color="auto" w:fill="auto"/>
            <w:vAlign w:val="center"/>
          </w:tcPr>
          <w:p>
            <w:pPr>
              <w:autoSpaceDN w:val="0"/>
              <w:adjustRightInd w:val="0"/>
              <w:snapToGrid w:val="0"/>
              <w:spacing w:line="240" w:lineRule="auto"/>
              <w:ind w:firstLine="0" w:firstLineChars="0"/>
              <w:jc w:val="center"/>
              <w:rPr>
                <w:rFonts w:hint="eastAsia" w:ascii="仿宋" w:hAnsi="仿宋" w:eastAsia="仿宋" w:cs="仿宋"/>
                <w:b/>
                <w:sz w:val="22"/>
                <w:szCs w:val="22"/>
              </w:rPr>
            </w:pPr>
            <w:r>
              <w:rPr>
                <w:rFonts w:hint="eastAsia" w:ascii="仿宋" w:hAnsi="仿宋" w:eastAsia="仿宋" w:cs="仿宋"/>
                <w:b/>
                <w:sz w:val="22"/>
                <w:szCs w:val="22"/>
              </w:rPr>
              <w:t>评分标准</w:t>
            </w:r>
          </w:p>
        </w:tc>
        <w:tc>
          <w:tcPr>
            <w:tcW w:w="380" w:type="pct"/>
            <w:shd w:val="clear" w:color="auto" w:fill="auto"/>
            <w:vAlign w:val="center"/>
          </w:tcPr>
          <w:p>
            <w:pPr>
              <w:autoSpaceDN w:val="0"/>
              <w:adjustRightInd w:val="0"/>
              <w:snapToGrid w:val="0"/>
              <w:spacing w:line="240" w:lineRule="auto"/>
              <w:ind w:firstLine="0" w:firstLineChars="0"/>
              <w:jc w:val="center"/>
              <w:rPr>
                <w:rFonts w:hint="eastAsia" w:ascii="仿宋" w:hAnsi="仿宋" w:eastAsia="仿宋" w:cs="仿宋"/>
                <w:b/>
                <w:sz w:val="22"/>
                <w:szCs w:val="22"/>
              </w:rPr>
            </w:pPr>
            <w:r>
              <w:rPr>
                <w:rFonts w:hint="eastAsia" w:ascii="仿宋" w:hAnsi="仿宋" w:eastAsia="仿宋" w:cs="仿宋"/>
                <w:b/>
                <w:sz w:val="22"/>
                <w:szCs w:val="22"/>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5000" w:type="pct"/>
            <w:gridSpan w:val="4"/>
            <w:shd w:val="clear" w:color="auto" w:fill="auto"/>
            <w:vAlign w:val="center"/>
          </w:tcPr>
          <w:p>
            <w:pPr>
              <w:adjustRightInd w:val="0"/>
              <w:snapToGrid w:val="0"/>
              <w:spacing w:line="240" w:lineRule="auto"/>
              <w:ind w:firstLine="0" w:firstLineChars="0"/>
              <w:jc w:val="center"/>
              <w:rPr>
                <w:rFonts w:hint="eastAsia" w:ascii="仿宋" w:hAnsi="仿宋" w:eastAsia="仿宋" w:cs="仿宋"/>
                <w:b/>
                <w:sz w:val="22"/>
                <w:szCs w:val="22"/>
                <w:lang w:val="en-US" w:eastAsia="zh-CN"/>
              </w:rPr>
            </w:pPr>
            <w:r>
              <w:rPr>
                <w:rFonts w:hint="eastAsia" w:ascii="仿宋" w:hAnsi="仿宋" w:eastAsia="仿宋" w:cs="仿宋"/>
                <w:b/>
                <w:sz w:val="22"/>
                <w:szCs w:val="22"/>
                <w:lang w:val="en-US" w:eastAsia="zh-CN"/>
              </w:rPr>
              <w:t>商务分（30分）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336" w:type="pct"/>
            <w:shd w:val="clear" w:color="auto" w:fill="auto"/>
            <w:vAlign w:val="center"/>
          </w:tcPr>
          <w:p>
            <w:pPr>
              <w:adjustRightInd w:val="0"/>
              <w:snapToGrid w:val="0"/>
              <w:spacing w:line="240" w:lineRule="auto"/>
              <w:ind w:firstLine="0" w:firstLineChars="0"/>
              <w:jc w:val="center"/>
              <w:rPr>
                <w:rFonts w:hint="eastAsia" w:ascii="仿宋" w:hAnsi="仿宋" w:eastAsia="仿宋" w:cs="仿宋"/>
                <w:sz w:val="22"/>
                <w:szCs w:val="22"/>
              </w:rPr>
            </w:pPr>
            <w:r>
              <w:rPr>
                <w:rFonts w:hint="eastAsia" w:ascii="仿宋" w:hAnsi="仿宋" w:eastAsia="仿宋" w:cs="仿宋"/>
                <w:sz w:val="22"/>
                <w:szCs w:val="22"/>
              </w:rPr>
              <w:t>1</w:t>
            </w:r>
          </w:p>
        </w:tc>
        <w:tc>
          <w:tcPr>
            <w:tcW w:w="681" w:type="pct"/>
            <w:shd w:val="clear" w:color="auto" w:fill="auto"/>
            <w:vAlign w:val="center"/>
          </w:tcPr>
          <w:p>
            <w:pPr>
              <w:adjustRightInd w:val="0"/>
              <w:snapToGrid w:val="0"/>
              <w:spacing w:line="240" w:lineRule="auto"/>
              <w:ind w:firstLine="0" w:firstLineChars="0"/>
              <w:jc w:val="center"/>
              <w:rPr>
                <w:rFonts w:hint="eastAsia" w:ascii="仿宋" w:hAnsi="仿宋" w:eastAsia="仿宋" w:cs="仿宋"/>
                <w:sz w:val="22"/>
                <w:szCs w:val="22"/>
              </w:rPr>
            </w:pPr>
            <w:r>
              <w:rPr>
                <w:rFonts w:hint="eastAsia" w:ascii="仿宋" w:hAnsi="仿宋" w:eastAsia="仿宋" w:cs="仿宋"/>
                <w:sz w:val="22"/>
                <w:szCs w:val="22"/>
              </w:rPr>
              <w:t>价格</w:t>
            </w:r>
          </w:p>
        </w:tc>
        <w:tc>
          <w:tcPr>
            <w:tcW w:w="3601" w:type="pct"/>
            <w:shd w:val="clear" w:color="auto" w:fill="auto"/>
            <w:vAlign w:val="center"/>
          </w:tcPr>
          <w:p>
            <w:pPr>
              <w:tabs>
                <w:tab w:val="left" w:pos="720"/>
              </w:tabs>
              <w:adjustRightInd w:val="0"/>
              <w:snapToGrid w:val="0"/>
              <w:spacing w:line="240" w:lineRule="auto"/>
              <w:ind w:firstLine="0" w:firstLineChars="0"/>
              <w:rPr>
                <w:rFonts w:hint="eastAsia"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sz w:val="22"/>
                <w:szCs w:val="22"/>
                <w14:textFill>
                  <w14:solidFill>
                    <w14:schemeClr w14:val="tx1"/>
                  </w14:solidFill>
                </w14:textFill>
              </w:rPr>
              <w:t>采用低价优先法计算，总价价格最低者得</w:t>
            </w:r>
            <w:r>
              <w:rPr>
                <w:rFonts w:hint="eastAsia" w:ascii="仿宋" w:hAnsi="仿宋" w:eastAsia="仿宋" w:cs="仿宋"/>
                <w:color w:val="000000" w:themeColor="text1"/>
                <w:sz w:val="22"/>
                <w:szCs w:val="22"/>
                <w:lang w:val="en-US" w:eastAsia="zh-CN"/>
                <w14:textFill>
                  <w14:solidFill>
                    <w14:schemeClr w14:val="tx1"/>
                  </w14:solidFill>
                </w14:textFill>
              </w:rPr>
              <w:t>30</w:t>
            </w:r>
            <w:r>
              <w:rPr>
                <w:rFonts w:hint="eastAsia" w:ascii="仿宋" w:hAnsi="仿宋" w:eastAsia="仿宋" w:cs="仿宋"/>
                <w:color w:val="000000" w:themeColor="text1"/>
                <w:sz w:val="22"/>
                <w:szCs w:val="22"/>
                <w14:textFill>
                  <w14:solidFill>
                    <w14:schemeClr w14:val="tx1"/>
                  </w14:solidFill>
                </w14:textFill>
              </w:rPr>
              <w:t>分，其它家得分=最低价/各家的报价×</w:t>
            </w:r>
            <w:r>
              <w:rPr>
                <w:rFonts w:hint="eastAsia" w:ascii="仿宋" w:hAnsi="仿宋" w:eastAsia="仿宋" w:cs="仿宋"/>
                <w:color w:val="000000" w:themeColor="text1"/>
                <w:sz w:val="22"/>
                <w:szCs w:val="22"/>
                <w:lang w:val="en-US" w:eastAsia="zh-CN"/>
                <w14:textFill>
                  <w14:solidFill>
                    <w14:schemeClr w14:val="tx1"/>
                  </w14:solidFill>
                </w14:textFill>
              </w:rPr>
              <w:t>30</w:t>
            </w:r>
            <w:r>
              <w:rPr>
                <w:rFonts w:hint="eastAsia" w:ascii="仿宋" w:hAnsi="仿宋" w:eastAsia="仿宋" w:cs="仿宋"/>
                <w:color w:val="000000" w:themeColor="text1"/>
                <w:sz w:val="22"/>
                <w:szCs w:val="22"/>
                <w14:textFill>
                  <w14:solidFill>
                    <w14:schemeClr w14:val="tx1"/>
                  </w14:solidFill>
                </w14:textFill>
              </w:rPr>
              <w:t>分</w:t>
            </w:r>
          </w:p>
        </w:tc>
        <w:tc>
          <w:tcPr>
            <w:tcW w:w="380" w:type="pct"/>
            <w:shd w:val="clear" w:color="auto" w:fill="auto"/>
            <w:vAlign w:val="center"/>
          </w:tcPr>
          <w:p>
            <w:pPr>
              <w:adjustRightInd w:val="0"/>
              <w:snapToGrid w:val="0"/>
              <w:spacing w:line="240" w:lineRule="auto"/>
              <w:ind w:firstLine="0" w:firstLineChars="0"/>
              <w:jc w:val="center"/>
              <w:rPr>
                <w:rFonts w:hint="eastAsia" w:ascii="仿宋" w:hAnsi="仿宋" w:eastAsia="仿宋" w:cs="仿宋"/>
                <w:kern w:val="0"/>
                <w:sz w:val="22"/>
                <w:szCs w:val="22"/>
                <w:lang w:val="en-US" w:eastAsia="zh-CN"/>
              </w:rPr>
            </w:pPr>
            <w:r>
              <w:rPr>
                <w:rFonts w:hint="eastAsia" w:ascii="仿宋" w:hAnsi="仿宋" w:eastAsia="仿宋" w:cs="仿宋"/>
                <w:kern w:val="0"/>
                <w:sz w:val="22"/>
                <w:szCs w:val="22"/>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5000" w:type="pct"/>
            <w:gridSpan w:val="4"/>
            <w:shd w:val="clear" w:color="auto" w:fill="auto"/>
            <w:vAlign w:val="center"/>
          </w:tcPr>
          <w:p>
            <w:pPr>
              <w:adjustRightInd w:val="0"/>
              <w:snapToGrid w:val="0"/>
              <w:spacing w:line="240" w:lineRule="auto"/>
              <w:ind w:firstLine="0" w:firstLineChars="0"/>
              <w:jc w:val="center"/>
              <w:rPr>
                <w:rFonts w:hint="eastAsia" w:ascii="仿宋" w:hAnsi="仿宋" w:eastAsia="仿宋" w:cs="仿宋"/>
                <w:b/>
                <w:bCs/>
                <w:sz w:val="22"/>
                <w:szCs w:val="22"/>
                <w:lang w:val="en-US" w:eastAsia="zh-CN"/>
              </w:rPr>
            </w:pPr>
            <w:r>
              <w:rPr>
                <w:rFonts w:hint="eastAsia" w:ascii="仿宋" w:hAnsi="仿宋" w:eastAsia="仿宋" w:cs="仿宋"/>
                <w:b/>
                <w:bCs/>
                <w:sz w:val="22"/>
                <w:szCs w:val="22"/>
                <w:lang w:val="en-US" w:eastAsia="zh-CN"/>
              </w:rPr>
              <w:t>技术、资信（70）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5000" w:type="pct"/>
            <w:gridSpan w:val="4"/>
            <w:shd w:val="clear" w:color="auto" w:fill="auto"/>
            <w:vAlign w:val="center"/>
          </w:tcPr>
          <w:p>
            <w:pPr>
              <w:adjustRightInd w:val="0"/>
              <w:snapToGrid w:val="0"/>
              <w:spacing w:line="240" w:lineRule="auto"/>
              <w:ind w:firstLine="0" w:firstLineChars="0"/>
              <w:jc w:val="center"/>
              <w:rPr>
                <w:rFonts w:hint="eastAsia" w:ascii="仿宋" w:hAnsi="仿宋" w:eastAsia="仿宋" w:cs="仿宋"/>
                <w:b/>
                <w:bCs/>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336" w:type="pct"/>
            <w:shd w:val="clear" w:color="auto" w:fill="auto"/>
            <w:vAlign w:val="center"/>
          </w:tcPr>
          <w:p>
            <w:pPr>
              <w:adjustRightInd w:val="0"/>
              <w:snapToGrid w:val="0"/>
              <w:spacing w:line="240" w:lineRule="auto"/>
              <w:ind w:firstLine="0" w:firstLineChars="0"/>
              <w:jc w:val="center"/>
              <w:rPr>
                <w:rFonts w:hint="eastAsia" w:ascii="仿宋" w:hAnsi="仿宋" w:eastAsia="仿宋" w:cs="仿宋"/>
                <w:kern w:val="0"/>
                <w:sz w:val="22"/>
                <w:szCs w:val="22"/>
                <w:lang w:val="en-US" w:eastAsia="zh-CN" w:bidi="ar-SA"/>
              </w:rPr>
            </w:pPr>
            <w:r>
              <w:rPr>
                <w:rFonts w:hint="eastAsia" w:ascii="仿宋" w:hAnsi="仿宋" w:eastAsia="仿宋" w:cs="仿宋"/>
                <w:kern w:val="0"/>
                <w:sz w:val="22"/>
                <w:szCs w:val="22"/>
              </w:rPr>
              <w:t>1</w:t>
            </w:r>
          </w:p>
        </w:tc>
        <w:tc>
          <w:tcPr>
            <w:tcW w:w="681" w:type="pct"/>
            <w:shd w:val="clear" w:color="auto" w:fill="auto"/>
            <w:vAlign w:val="center"/>
          </w:tcPr>
          <w:p>
            <w:pPr>
              <w:adjustRightInd w:val="0"/>
              <w:snapToGrid w:val="0"/>
              <w:spacing w:line="240" w:lineRule="auto"/>
              <w:ind w:firstLine="0" w:firstLineChars="0"/>
              <w:jc w:val="center"/>
              <w:rPr>
                <w:rFonts w:hint="eastAsia" w:ascii="仿宋" w:hAnsi="仿宋" w:eastAsia="仿宋" w:cs="仿宋"/>
                <w:kern w:val="2"/>
                <w:sz w:val="22"/>
                <w:szCs w:val="22"/>
                <w:lang w:val="en-US" w:eastAsia="zh-CN" w:bidi="ar-SA"/>
              </w:rPr>
            </w:pPr>
            <w:r>
              <w:rPr>
                <w:rFonts w:hint="eastAsia" w:ascii="仿宋" w:hAnsi="仿宋" w:eastAsia="仿宋" w:cs="仿宋"/>
                <w:sz w:val="22"/>
                <w:szCs w:val="22"/>
              </w:rPr>
              <w:t>技术参数响应</w:t>
            </w:r>
          </w:p>
        </w:tc>
        <w:tc>
          <w:tcPr>
            <w:tcW w:w="3601" w:type="pct"/>
            <w:shd w:val="clear" w:color="auto" w:fill="auto"/>
            <w:vAlign w:val="center"/>
          </w:tcPr>
          <w:p>
            <w:pPr>
              <w:widowControl/>
              <w:adjustRightInd w:val="0"/>
              <w:snapToGrid w:val="0"/>
              <w:spacing w:line="240" w:lineRule="auto"/>
              <w:ind w:firstLine="0" w:firstLineChars="0"/>
              <w:rPr>
                <w:rFonts w:hint="eastAsia" w:ascii="仿宋" w:hAnsi="仿宋" w:eastAsia="仿宋" w:cs="仿宋"/>
                <w:sz w:val="22"/>
                <w:szCs w:val="22"/>
              </w:rPr>
            </w:pPr>
            <w:r>
              <w:rPr>
                <w:rFonts w:hint="eastAsia" w:ascii="仿宋" w:hAnsi="仿宋" w:eastAsia="仿宋" w:cs="仿宋"/>
                <w:sz w:val="22"/>
                <w:szCs w:val="22"/>
              </w:rPr>
              <w:t>投标人所投产品主要技术指标应完全满足或优于采购文件中的“技术参数”每有一项“</w:t>
            </w:r>
            <w:r>
              <w:rPr>
                <w:rFonts w:hint="eastAsia" w:ascii="仿宋" w:hAnsi="仿宋" w:eastAsia="仿宋" w:cs="仿宋"/>
                <w:sz w:val="22"/>
                <w:szCs w:val="22"/>
                <w:lang w:val="en-US" w:eastAsia="zh-CN"/>
              </w:rPr>
              <w:t>▲</w:t>
            </w:r>
            <w:r>
              <w:rPr>
                <w:rFonts w:hint="eastAsia" w:ascii="仿宋" w:hAnsi="仿宋" w:eastAsia="仿宋" w:cs="仿宋"/>
                <w:sz w:val="22"/>
                <w:szCs w:val="22"/>
              </w:rPr>
              <w:t>”参数不满足扣3分，非“</w:t>
            </w:r>
            <w:r>
              <w:rPr>
                <w:rFonts w:hint="eastAsia" w:ascii="仿宋" w:hAnsi="仿宋" w:eastAsia="仿宋" w:cs="仿宋"/>
                <w:sz w:val="22"/>
                <w:szCs w:val="22"/>
                <w:lang w:val="en-US" w:eastAsia="zh-CN"/>
              </w:rPr>
              <w:t>▲</w:t>
            </w:r>
            <w:r>
              <w:rPr>
                <w:rFonts w:hint="eastAsia" w:ascii="仿宋" w:hAnsi="仿宋" w:eastAsia="仿宋" w:cs="仿宋"/>
                <w:sz w:val="22"/>
                <w:szCs w:val="22"/>
              </w:rPr>
              <w:t>”不满足扣1分，扣完为止。</w:t>
            </w:r>
          </w:p>
          <w:p>
            <w:pPr>
              <w:adjustRightInd w:val="0"/>
              <w:snapToGrid w:val="0"/>
              <w:spacing w:line="240" w:lineRule="auto"/>
              <w:ind w:firstLine="0" w:firstLineChars="0"/>
              <w:outlineLvl w:val="0"/>
              <w:rPr>
                <w:rFonts w:hint="eastAsia" w:ascii="仿宋" w:hAnsi="仿宋" w:eastAsia="仿宋" w:cs="仿宋"/>
                <w:kern w:val="2"/>
                <w:sz w:val="22"/>
                <w:szCs w:val="22"/>
                <w:lang w:val="en-US" w:eastAsia="zh-CN" w:bidi="ar-SA"/>
              </w:rPr>
            </w:pPr>
            <w:r>
              <w:rPr>
                <w:rFonts w:hint="eastAsia" w:ascii="仿宋" w:hAnsi="仿宋" w:eastAsia="仿宋" w:cs="仿宋"/>
                <w:sz w:val="22"/>
                <w:szCs w:val="22"/>
              </w:rPr>
              <w:t>注：“</w:t>
            </w:r>
            <w:r>
              <w:rPr>
                <w:rFonts w:hint="eastAsia" w:ascii="仿宋" w:hAnsi="仿宋" w:eastAsia="仿宋" w:cs="仿宋"/>
                <w:sz w:val="22"/>
                <w:szCs w:val="22"/>
                <w:lang w:val="en-US" w:eastAsia="zh-CN"/>
              </w:rPr>
              <w:t>▲</w:t>
            </w:r>
            <w:r>
              <w:rPr>
                <w:rFonts w:hint="eastAsia" w:ascii="仿宋" w:hAnsi="仿宋" w:eastAsia="仿宋" w:cs="仿宋"/>
                <w:sz w:val="22"/>
                <w:szCs w:val="22"/>
              </w:rPr>
              <w:t>”参数须提供截图或证明材料，否则视为不满足。</w:t>
            </w:r>
          </w:p>
        </w:tc>
        <w:tc>
          <w:tcPr>
            <w:tcW w:w="380" w:type="pct"/>
            <w:shd w:val="clear" w:color="auto" w:fill="auto"/>
            <w:vAlign w:val="center"/>
          </w:tcPr>
          <w:p>
            <w:pPr>
              <w:adjustRightInd w:val="0"/>
              <w:snapToGrid w:val="0"/>
              <w:spacing w:line="240" w:lineRule="auto"/>
              <w:ind w:firstLine="0" w:firstLineChars="0"/>
              <w:jc w:val="center"/>
              <w:rPr>
                <w:rFonts w:hint="eastAsia" w:ascii="仿宋" w:hAnsi="仿宋" w:eastAsia="仿宋" w:cs="仿宋"/>
                <w:kern w:val="0"/>
                <w:sz w:val="22"/>
                <w:szCs w:val="22"/>
                <w:lang w:val="en-US" w:eastAsia="zh-CN" w:bidi="ar-SA"/>
              </w:rPr>
            </w:pPr>
            <w:r>
              <w:rPr>
                <w:rFonts w:hint="eastAsia" w:ascii="仿宋" w:hAnsi="仿宋" w:eastAsia="仿宋" w:cs="仿宋"/>
                <w:kern w:val="0"/>
                <w:sz w:val="22"/>
                <w:szCs w:val="22"/>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336" w:type="pct"/>
            <w:shd w:val="clear" w:color="auto" w:fill="auto"/>
            <w:vAlign w:val="center"/>
          </w:tcPr>
          <w:p>
            <w:pPr>
              <w:adjustRightInd w:val="0"/>
              <w:snapToGrid w:val="0"/>
              <w:spacing w:line="240" w:lineRule="auto"/>
              <w:ind w:firstLine="0" w:firstLineChars="0"/>
              <w:jc w:val="center"/>
              <w:rPr>
                <w:rFonts w:hint="eastAsia" w:ascii="仿宋" w:hAnsi="仿宋" w:eastAsia="仿宋" w:cs="仿宋"/>
                <w:sz w:val="22"/>
                <w:szCs w:val="22"/>
                <w:lang w:eastAsia="zh-CN"/>
              </w:rPr>
            </w:pPr>
            <w:r>
              <w:rPr>
                <w:rFonts w:hint="eastAsia" w:ascii="仿宋" w:hAnsi="仿宋" w:eastAsia="仿宋" w:cs="仿宋"/>
                <w:sz w:val="22"/>
                <w:szCs w:val="22"/>
                <w:lang w:val="en-US" w:eastAsia="zh-CN"/>
              </w:rPr>
              <w:t>2</w:t>
            </w:r>
          </w:p>
        </w:tc>
        <w:tc>
          <w:tcPr>
            <w:tcW w:w="681" w:type="pct"/>
            <w:shd w:val="clear" w:color="auto" w:fill="auto"/>
            <w:vAlign w:val="center"/>
          </w:tcPr>
          <w:p>
            <w:pPr>
              <w:adjustRightInd w:val="0"/>
              <w:snapToGrid w:val="0"/>
              <w:spacing w:line="240" w:lineRule="auto"/>
              <w:ind w:firstLine="0" w:firstLineChars="0"/>
              <w:jc w:val="center"/>
              <w:rPr>
                <w:rFonts w:hint="eastAsia" w:ascii="仿宋" w:hAnsi="仿宋" w:eastAsia="仿宋" w:cs="仿宋"/>
                <w:sz w:val="22"/>
                <w:szCs w:val="22"/>
              </w:rPr>
            </w:pPr>
            <w:r>
              <w:rPr>
                <w:rFonts w:hint="eastAsia" w:ascii="仿宋" w:hAnsi="仿宋" w:eastAsia="仿宋" w:cs="仿宋"/>
                <w:sz w:val="22"/>
                <w:szCs w:val="22"/>
              </w:rPr>
              <w:t>企业综合实力</w:t>
            </w:r>
          </w:p>
        </w:tc>
        <w:tc>
          <w:tcPr>
            <w:tcW w:w="3601" w:type="pct"/>
            <w:shd w:val="clear" w:color="auto" w:fill="auto"/>
            <w:vAlign w:val="center"/>
          </w:tcPr>
          <w:p>
            <w:pPr>
              <w:adjustRightInd w:val="0"/>
              <w:snapToGrid w:val="0"/>
              <w:spacing w:line="240" w:lineRule="auto"/>
              <w:ind w:firstLine="440" w:firstLineChars="200"/>
              <w:rPr>
                <w:rFonts w:hint="eastAsia" w:ascii="仿宋" w:hAnsi="仿宋" w:eastAsia="仿宋" w:cs="仿宋"/>
                <w:b w:val="0"/>
                <w:bCs w:val="0"/>
                <w:sz w:val="22"/>
                <w:szCs w:val="22"/>
              </w:rPr>
            </w:pPr>
            <w:r>
              <w:rPr>
                <w:rFonts w:hint="eastAsia" w:ascii="仿宋" w:hAnsi="仿宋" w:eastAsia="仿宋" w:cs="仿宋"/>
                <w:b w:val="0"/>
                <w:bCs w:val="0"/>
                <w:sz w:val="22"/>
                <w:szCs w:val="22"/>
                <w:lang w:val="en-US" w:eastAsia="zh-CN"/>
              </w:rPr>
              <w:t>1、</w:t>
            </w:r>
            <w:r>
              <w:rPr>
                <w:rFonts w:hint="eastAsia" w:ascii="仿宋" w:hAnsi="仿宋" w:eastAsia="仿宋" w:cs="仿宋"/>
                <w:b w:val="0"/>
                <w:bCs w:val="0"/>
                <w:sz w:val="22"/>
                <w:szCs w:val="22"/>
              </w:rPr>
              <w:t>所投产品厂商</w:t>
            </w:r>
            <w:bookmarkStart w:id="0" w:name="_GoBack"/>
            <w:bookmarkEnd w:id="0"/>
            <w:r>
              <w:rPr>
                <w:rFonts w:hint="eastAsia" w:ascii="仿宋" w:hAnsi="仿宋" w:eastAsia="仿宋" w:cs="仿宋"/>
                <w:b w:val="0"/>
                <w:bCs w:val="0"/>
                <w:sz w:val="22"/>
                <w:szCs w:val="22"/>
              </w:rPr>
              <w:t>具备TL9000质量管理体系认证、信息系统建设、中国网络安全审查技术与认证中心颁发的软件安全开发服务资质认证（二级及以上）、ITSS信息技术服务标准符合性证书（SAAS二级及以上），每提供一个得</w:t>
            </w:r>
            <w:r>
              <w:rPr>
                <w:rFonts w:hint="eastAsia" w:ascii="仿宋" w:hAnsi="仿宋" w:eastAsia="仿宋" w:cs="仿宋"/>
                <w:b w:val="0"/>
                <w:bCs w:val="0"/>
                <w:sz w:val="22"/>
                <w:szCs w:val="22"/>
                <w:lang w:val="en-US" w:eastAsia="zh-CN"/>
              </w:rPr>
              <w:t>1</w:t>
            </w:r>
            <w:r>
              <w:rPr>
                <w:rFonts w:hint="eastAsia" w:ascii="仿宋" w:hAnsi="仿宋" w:eastAsia="仿宋" w:cs="仿宋"/>
                <w:b w:val="0"/>
                <w:bCs w:val="0"/>
                <w:sz w:val="22"/>
                <w:szCs w:val="22"/>
              </w:rPr>
              <w:t>分，全部提供得</w:t>
            </w:r>
            <w:r>
              <w:rPr>
                <w:rFonts w:hint="eastAsia" w:ascii="仿宋" w:hAnsi="仿宋" w:eastAsia="仿宋" w:cs="仿宋"/>
                <w:b w:val="0"/>
                <w:bCs w:val="0"/>
                <w:sz w:val="22"/>
                <w:szCs w:val="22"/>
                <w:lang w:val="en-US" w:eastAsia="zh-CN"/>
              </w:rPr>
              <w:t>4</w:t>
            </w:r>
            <w:r>
              <w:rPr>
                <w:rFonts w:hint="eastAsia" w:ascii="仿宋" w:hAnsi="仿宋" w:eastAsia="仿宋" w:cs="仿宋"/>
                <w:b w:val="0"/>
                <w:bCs w:val="0"/>
                <w:sz w:val="22"/>
                <w:szCs w:val="22"/>
              </w:rPr>
              <w:t>分，不提供不得分；</w:t>
            </w:r>
          </w:p>
          <w:p>
            <w:pPr>
              <w:adjustRightInd w:val="0"/>
              <w:snapToGrid w:val="0"/>
              <w:spacing w:line="240" w:lineRule="auto"/>
              <w:ind w:firstLine="440" w:firstLineChars="200"/>
              <w:rPr>
                <w:rFonts w:hint="eastAsia" w:ascii="仿宋" w:hAnsi="仿宋" w:eastAsia="仿宋" w:cs="仿宋"/>
                <w:b/>
                <w:bCs/>
                <w:sz w:val="22"/>
                <w:szCs w:val="22"/>
              </w:rPr>
            </w:pPr>
            <w:r>
              <w:rPr>
                <w:rFonts w:hint="eastAsia" w:ascii="仿宋" w:hAnsi="仿宋" w:eastAsia="仿宋" w:cs="仿宋"/>
                <w:b w:val="0"/>
                <w:bCs w:val="0"/>
                <w:sz w:val="22"/>
                <w:szCs w:val="22"/>
              </w:rPr>
              <w:t>2、投标人提供近三年内（2020年1月起）安全维保类项目业绩，每个业绩得</w:t>
            </w:r>
            <w:r>
              <w:rPr>
                <w:rFonts w:hint="eastAsia" w:ascii="仿宋" w:hAnsi="仿宋" w:eastAsia="仿宋" w:cs="仿宋"/>
                <w:b w:val="0"/>
                <w:bCs w:val="0"/>
                <w:sz w:val="22"/>
                <w:szCs w:val="22"/>
                <w:lang w:val="en-US" w:eastAsia="zh-CN"/>
              </w:rPr>
              <w:t>1分</w:t>
            </w:r>
            <w:r>
              <w:rPr>
                <w:rFonts w:hint="eastAsia" w:ascii="仿宋" w:hAnsi="仿宋" w:eastAsia="仿宋" w:cs="仿宋"/>
                <w:b w:val="0"/>
                <w:bCs w:val="0"/>
                <w:sz w:val="22"/>
                <w:szCs w:val="22"/>
              </w:rPr>
              <w:t>最高得</w:t>
            </w:r>
            <w:r>
              <w:rPr>
                <w:rFonts w:hint="eastAsia" w:ascii="仿宋" w:hAnsi="仿宋" w:eastAsia="仿宋" w:cs="仿宋"/>
                <w:b w:val="0"/>
                <w:bCs w:val="0"/>
                <w:sz w:val="22"/>
                <w:szCs w:val="22"/>
                <w:lang w:val="en-US" w:eastAsia="zh-CN"/>
              </w:rPr>
              <w:t>2</w:t>
            </w:r>
            <w:r>
              <w:rPr>
                <w:rFonts w:hint="eastAsia" w:ascii="仿宋" w:hAnsi="仿宋" w:eastAsia="仿宋" w:cs="仿宋"/>
                <w:b w:val="0"/>
                <w:bCs w:val="0"/>
                <w:sz w:val="22"/>
                <w:szCs w:val="22"/>
              </w:rPr>
              <w:t>分</w:t>
            </w:r>
          </w:p>
        </w:tc>
        <w:tc>
          <w:tcPr>
            <w:tcW w:w="380" w:type="pct"/>
            <w:shd w:val="clear" w:color="auto" w:fill="auto"/>
            <w:vAlign w:val="center"/>
          </w:tcPr>
          <w:p>
            <w:pPr>
              <w:adjustRightInd w:val="0"/>
              <w:snapToGrid w:val="0"/>
              <w:spacing w:line="240" w:lineRule="auto"/>
              <w:ind w:firstLine="0" w:firstLineChars="0"/>
              <w:jc w:val="center"/>
              <w:rPr>
                <w:rFonts w:hint="eastAsia" w:ascii="仿宋" w:hAnsi="仿宋" w:eastAsia="仿宋" w:cs="仿宋"/>
                <w:b/>
                <w:bCs/>
                <w:sz w:val="22"/>
                <w:szCs w:val="22"/>
                <w:lang w:val="en-US" w:eastAsia="zh-CN"/>
              </w:rPr>
            </w:pPr>
            <w:r>
              <w:rPr>
                <w:rFonts w:hint="eastAsia" w:ascii="仿宋" w:hAnsi="仿宋" w:eastAsia="仿宋" w:cs="仿宋"/>
                <w:b w:val="0"/>
                <w:bCs w:val="0"/>
                <w:sz w:val="22"/>
                <w:szCs w:val="22"/>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336" w:type="pct"/>
            <w:shd w:val="clear" w:color="auto" w:fill="auto"/>
            <w:vAlign w:val="center"/>
          </w:tcPr>
          <w:p>
            <w:pPr>
              <w:adjustRightInd w:val="0"/>
              <w:snapToGrid w:val="0"/>
              <w:spacing w:line="240" w:lineRule="auto"/>
              <w:ind w:firstLine="0" w:firstLineChars="0"/>
              <w:jc w:val="center"/>
              <w:rPr>
                <w:rFonts w:hint="eastAsia" w:ascii="仿宋" w:hAnsi="仿宋" w:eastAsia="仿宋" w:cs="仿宋"/>
                <w:sz w:val="22"/>
                <w:szCs w:val="22"/>
              </w:rPr>
            </w:pPr>
            <w:r>
              <w:rPr>
                <w:rFonts w:hint="eastAsia" w:ascii="仿宋" w:hAnsi="仿宋" w:eastAsia="仿宋" w:cs="仿宋"/>
                <w:sz w:val="22"/>
                <w:szCs w:val="22"/>
              </w:rPr>
              <w:t>3</w:t>
            </w:r>
          </w:p>
        </w:tc>
        <w:tc>
          <w:tcPr>
            <w:tcW w:w="681" w:type="pct"/>
            <w:shd w:val="clear" w:color="auto" w:fill="auto"/>
            <w:vAlign w:val="center"/>
          </w:tcPr>
          <w:p>
            <w:pPr>
              <w:adjustRightInd w:val="0"/>
              <w:snapToGrid w:val="0"/>
              <w:spacing w:line="240" w:lineRule="auto"/>
              <w:ind w:firstLine="0" w:firstLineChars="0"/>
              <w:jc w:val="center"/>
              <w:rPr>
                <w:rFonts w:hint="eastAsia" w:ascii="仿宋" w:hAnsi="仿宋" w:eastAsia="仿宋" w:cs="仿宋"/>
                <w:sz w:val="22"/>
                <w:szCs w:val="22"/>
              </w:rPr>
            </w:pPr>
            <w:r>
              <w:rPr>
                <w:rFonts w:hint="eastAsia" w:ascii="仿宋" w:hAnsi="仿宋" w:eastAsia="仿宋" w:cs="仿宋"/>
                <w:sz w:val="22"/>
                <w:szCs w:val="22"/>
              </w:rPr>
              <w:t>产品技术实力</w:t>
            </w:r>
          </w:p>
        </w:tc>
        <w:tc>
          <w:tcPr>
            <w:tcW w:w="3601" w:type="pct"/>
            <w:shd w:val="clear" w:color="auto" w:fill="auto"/>
            <w:vAlign w:val="center"/>
          </w:tcPr>
          <w:p>
            <w:pPr>
              <w:adjustRightInd w:val="0"/>
              <w:snapToGrid w:val="0"/>
              <w:spacing w:line="24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为了提升安全产品协同联动能力，投标态势感知探针</w:t>
            </w:r>
            <w:r>
              <w:rPr>
                <w:rFonts w:hint="eastAsia" w:ascii="仿宋" w:hAnsi="仿宋" w:eastAsia="仿宋" w:cs="仿宋"/>
                <w:sz w:val="22"/>
                <w:szCs w:val="22"/>
                <w:lang w:val="en-US" w:eastAsia="zh-CN"/>
              </w:rPr>
              <w:t>扩容</w:t>
            </w:r>
            <w:r>
              <w:rPr>
                <w:rFonts w:hint="eastAsia" w:ascii="仿宋" w:hAnsi="仿宋" w:eastAsia="仿宋" w:cs="仿宋"/>
                <w:sz w:val="22"/>
                <w:szCs w:val="22"/>
              </w:rPr>
              <w:t>产品支持与网内已运行态势感知平台产品策略联动，支持接收态势感知平台漏洞监测任务和漏扫设备管理，提供厂商承诺声明及产品功能界面证明材料得4分，不提供不得分</w:t>
            </w:r>
          </w:p>
        </w:tc>
        <w:tc>
          <w:tcPr>
            <w:tcW w:w="380" w:type="pct"/>
            <w:shd w:val="clear" w:color="auto" w:fill="auto"/>
            <w:vAlign w:val="center"/>
          </w:tcPr>
          <w:p>
            <w:pPr>
              <w:adjustRightInd w:val="0"/>
              <w:snapToGrid w:val="0"/>
              <w:spacing w:line="240" w:lineRule="auto"/>
              <w:ind w:firstLine="0" w:firstLineChars="0"/>
              <w:jc w:val="center"/>
              <w:rPr>
                <w:rFonts w:hint="eastAsia" w:ascii="仿宋" w:hAnsi="仿宋" w:eastAsia="仿宋" w:cs="仿宋"/>
                <w:kern w:val="0"/>
                <w:sz w:val="22"/>
                <w:szCs w:val="22"/>
                <w:lang w:val="en-US" w:eastAsia="zh-CN"/>
              </w:rPr>
            </w:pPr>
            <w:r>
              <w:rPr>
                <w:rFonts w:hint="eastAsia" w:ascii="仿宋" w:hAnsi="仿宋" w:eastAsia="仿宋" w:cs="仿宋"/>
                <w:kern w:val="0"/>
                <w:sz w:val="22"/>
                <w:szCs w:val="22"/>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336" w:type="pct"/>
            <w:shd w:val="clear" w:color="auto" w:fill="auto"/>
            <w:vAlign w:val="center"/>
          </w:tcPr>
          <w:p>
            <w:pPr>
              <w:adjustRightInd w:val="0"/>
              <w:snapToGrid w:val="0"/>
              <w:spacing w:line="240" w:lineRule="auto"/>
              <w:ind w:firstLine="0" w:firstLineChars="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4</w:t>
            </w:r>
          </w:p>
        </w:tc>
        <w:tc>
          <w:tcPr>
            <w:tcW w:w="681" w:type="pct"/>
            <w:shd w:val="clear" w:color="auto" w:fill="auto"/>
            <w:vAlign w:val="center"/>
          </w:tcPr>
          <w:p>
            <w:pPr>
              <w:adjustRightInd w:val="0"/>
              <w:snapToGrid w:val="0"/>
              <w:spacing w:line="240" w:lineRule="auto"/>
              <w:ind w:firstLine="0" w:firstLineChars="0"/>
              <w:rPr>
                <w:rFonts w:hint="eastAsia" w:ascii="仿宋" w:hAnsi="仿宋" w:eastAsia="仿宋" w:cs="仿宋"/>
                <w:sz w:val="22"/>
                <w:szCs w:val="22"/>
              </w:rPr>
            </w:pPr>
            <w:r>
              <w:rPr>
                <w:rFonts w:hint="eastAsia" w:ascii="仿宋" w:hAnsi="仿宋" w:eastAsia="仿宋" w:cs="仿宋"/>
                <w:sz w:val="22"/>
                <w:szCs w:val="22"/>
              </w:rPr>
              <w:t>技术服务人员配备</w:t>
            </w:r>
          </w:p>
        </w:tc>
        <w:tc>
          <w:tcPr>
            <w:tcW w:w="3601" w:type="pct"/>
            <w:shd w:val="clear" w:color="auto" w:fill="auto"/>
            <w:vAlign w:val="center"/>
          </w:tcPr>
          <w:p>
            <w:pPr>
              <w:adjustRightInd w:val="0"/>
              <w:snapToGrid w:val="0"/>
              <w:spacing w:line="24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本项目为安全类项目，需要提供安全服务并为本项目配备安全技术服务团队，要求如下：</w:t>
            </w:r>
          </w:p>
          <w:p>
            <w:pPr>
              <w:adjustRightInd w:val="0"/>
              <w:snapToGrid w:val="0"/>
              <w:spacing w:line="24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1、1名技术负责人：具备信息系统项目管理师证书（国家人力资源和社会保障部、工业和信息化部联合颁发）、注册信息安全工程师（CISP）、注册数据安全治理专员（CISP-DSG），以上证书全部提供得</w:t>
            </w:r>
            <w:r>
              <w:rPr>
                <w:rFonts w:hint="eastAsia" w:ascii="仿宋" w:hAnsi="仿宋" w:eastAsia="仿宋" w:cs="仿宋"/>
                <w:sz w:val="22"/>
                <w:szCs w:val="22"/>
                <w:lang w:val="en-US" w:eastAsia="zh-CN"/>
              </w:rPr>
              <w:t>3</w:t>
            </w:r>
            <w:r>
              <w:rPr>
                <w:rFonts w:hint="eastAsia" w:ascii="仿宋" w:hAnsi="仿宋" w:eastAsia="仿宋" w:cs="仿宋"/>
                <w:sz w:val="22"/>
                <w:szCs w:val="22"/>
              </w:rPr>
              <w:t>分，每提供一项证书得</w:t>
            </w:r>
            <w:r>
              <w:rPr>
                <w:rFonts w:hint="eastAsia" w:ascii="仿宋" w:hAnsi="仿宋" w:eastAsia="仿宋" w:cs="仿宋"/>
                <w:sz w:val="22"/>
                <w:szCs w:val="22"/>
                <w:lang w:val="en-US" w:eastAsia="zh-CN"/>
              </w:rPr>
              <w:t>1</w:t>
            </w:r>
            <w:r>
              <w:rPr>
                <w:rFonts w:hint="eastAsia" w:ascii="仿宋" w:hAnsi="仿宋" w:eastAsia="仿宋" w:cs="仿宋"/>
                <w:sz w:val="22"/>
                <w:szCs w:val="22"/>
              </w:rPr>
              <w:t>分，不提供不得分。</w:t>
            </w:r>
          </w:p>
          <w:p>
            <w:pPr>
              <w:adjustRightInd w:val="0"/>
              <w:snapToGrid w:val="0"/>
              <w:spacing w:line="24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2、1名实施工程师：具备注册信息安全专业人员证书（CISP）</w:t>
            </w:r>
            <w:r>
              <w:rPr>
                <w:rFonts w:hint="eastAsia" w:ascii="仿宋" w:hAnsi="仿宋" w:eastAsia="仿宋" w:cs="仿宋"/>
                <w:sz w:val="22"/>
                <w:szCs w:val="22"/>
                <w:lang w:val="en-US" w:eastAsia="zh-CN"/>
              </w:rPr>
              <w:t>或</w:t>
            </w:r>
            <w:r>
              <w:rPr>
                <w:rFonts w:hint="eastAsia" w:ascii="仿宋" w:hAnsi="仿宋" w:eastAsia="仿宋" w:cs="仿宋"/>
                <w:sz w:val="22"/>
                <w:szCs w:val="22"/>
              </w:rPr>
              <w:t>注册数据安全治理专业人员(CISP-DSG) (中国信息安全测评中心颁发)，以上证书提供得</w:t>
            </w:r>
            <w:r>
              <w:rPr>
                <w:rFonts w:hint="eastAsia" w:ascii="仿宋" w:hAnsi="仿宋" w:eastAsia="仿宋" w:cs="仿宋"/>
                <w:sz w:val="22"/>
                <w:szCs w:val="22"/>
                <w:lang w:val="en-US" w:eastAsia="zh-CN"/>
              </w:rPr>
              <w:t>1</w:t>
            </w:r>
            <w:r>
              <w:rPr>
                <w:rFonts w:hint="eastAsia" w:ascii="仿宋" w:hAnsi="仿宋" w:eastAsia="仿宋" w:cs="仿宋"/>
                <w:sz w:val="22"/>
                <w:szCs w:val="22"/>
              </w:rPr>
              <w:t>分，不提供不得分。</w:t>
            </w:r>
          </w:p>
          <w:p>
            <w:pPr>
              <w:adjustRightInd w:val="0"/>
              <w:snapToGrid w:val="0"/>
              <w:spacing w:line="24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3、1名安全保障工程师：具备信息安全工程师证书(国家人力资源和社会保障部、工业和信息化部联合颁发)</w:t>
            </w:r>
            <w:r>
              <w:rPr>
                <w:rFonts w:hint="eastAsia" w:ascii="仿宋" w:hAnsi="仿宋" w:eastAsia="仿宋" w:cs="仿宋"/>
                <w:sz w:val="22"/>
                <w:szCs w:val="22"/>
                <w:lang w:val="en-US" w:eastAsia="zh-CN"/>
              </w:rPr>
              <w:t>或</w:t>
            </w:r>
            <w:r>
              <w:rPr>
                <w:rFonts w:hint="eastAsia" w:ascii="仿宋" w:hAnsi="仿宋" w:eastAsia="仿宋" w:cs="仿宋"/>
                <w:sz w:val="22"/>
                <w:szCs w:val="22"/>
              </w:rPr>
              <w:t>网络规划设计师证书(国家人力资源和社会保障部、工业和信息化部联合颁发)，以上证书提供得</w:t>
            </w:r>
            <w:r>
              <w:rPr>
                <w:rFonts w:hint="eastAsia" w:ascii="仿宋" w:hAnsi="仿宋" w:eastAsia="仿宋" w:cs="仿宋"/>
                <w:sz w:val="22"/>
                <w:szCs w:val="22"/>
                <w:lang w:val="en-US" w:eastAsia="zh-CN"/>
              </w:rPr>
              <w:t>1</w:t>
            </w:r>
            <w:r>
              <w:rPr>
                <w:rFonts w:hint="eastAsia" w:ascii="仿宋" w:hAnsi="仿宋" w:eastAsia="仿宋" w:cs="仿宋"/>
                <w:sz w:val="22"/>
                <w:szCs w:val="22"/>
              </w:rPr>
              <w:t>分，不提供不得分。</w:t>
            </w:r>
          </w:p>
          <w:p>
            <w:pPr>
              <w:adjustRightInd w:val="0"/>
              <w:snapToGrid w:val="0"/>
              <w:spacing w:line="240" w:lineRule="auto"/>
              <w:ind w:firstLine="440" w:firstLineChars="200"/>
              <w:rPr>
                <w:rFonts w:hint="eastAsia" w:ascii="仿宋" w:hAnsi="仿宋" w:eastAsia="仿宋" w:cs="仿宋"/>
                <w:sz w:val="22"/>
                <w:szCs w:val="22"/>
                <w:lang w:eastAsia="zh-CN"/>
              </w:rPr>
            </w:pPr>
            <w:r>
              <w:rPr>
                <w:rFonts w:hint="eastAsia" w:ascii="仿宋" w:hAnsi="仿宋" w:eastAsia="仿宋" w:cs="仿宋"/>
                <w:sz w:val="22"/>
                <w:szCs w:val="22"/>
              </w:rPr>
              <w:t>4、1名安全培训工程师：具备系统规划与管理师证书(国家人力资源和社会保障部、工业和信息化部联合颁发)</w:t>
            </w:r>
            <w:r>
              <w:rPr>
                <w:rFonts w:hint="eastAsia" w:ascii="仿宋" w:hAnsi="仿宋" w:eastAsia="仿宋" w:cs="仿宋"/>
                <w:sz w:val="22"/>
                <w:szCs w:val="22"/>
                <w:lang w:val="en-US" w:eastAsia="zh-CN"/>
              </w:rPr>
              <w:t>或</w:t>
            </w:r>
            <w:r>
              <w:rPr>
                <w:rFonts w:hint="eastAsia" w:ascii="仿宋" w:hAnsi="仿宋" w:eastAsia="仿宋" w:cs="仿宋"/>
                <w:sz w:val="22"/>
                <w:szCs w:val="22"/>
              </w:rPr>
              <w:t>注册信息安全专业人员证书（CISP），以上证书提供得</w:t>
            </w:r>
            <w:r>
              <w:rPr>
                <w:rFonts w:hint="eastAsia" w:ascii="仿宋" w:hAnsi="仿宋" w:eastAsia="仿宋" w:cs="仿宋"/>
                <w:sz w:val="22"/>
                <w:szCs w:val="22"/>
                <w:lang w:val="en-US" w:eastAsia="zh-CN"/>
              </w:rPr>
              <w:t>1</w:t>
            </w:r>
            <w:r>
              <w:rPr>
                <w:rFonts w:hint="eastAsia" w:ascii="仿宋" w:hAnsi="仿宋" w:eastAsia="仿宋" w:cs="仿宋"/>
                <w:sz w:val="22"/>
                <w:szCs w:val="22"/>
              </w:rPr>
              <w:t>分，不提供不得分</w:t>
            </w:r>
            <w:r>
              <w:rPr>
                <w:rFonts w:hint="eastAsia" w:ascii="仿宋" w:hAnsi="仿宋" w:eastAsia="仿宋" w:cs="仿宋"/>
                <w:sz w:val="22"/>
                <w:szCs w:val="22"/>
                <w:lang w:eastAsia="zh-CN"/>
              </w:rPr>
              <w:t>。</w:t>
            </w:r>
          </w:p>
          <w:p>
            <w:pPr>
              <w:adjustRightInd w:val="0"/>
              <w:snapToGrid w:val="0"/>
              <w:spacing w:line="240" w:lineRule="auto"/>
              <w:ind w:firstLine="440" w:firstLineChars="200"/>
              <w:rPr>
                <w:rFonts w:hint="eastAsia" w:ascii="仿宋" w:hAnsi="仿宋" w:eastAsia="仿宋" w:cs="仿宋"/>
                <w:sz w:val="22"/>
                <w:szCs w:val="22"/>
                <w:lang w:eastAsia="zh-CN"/>
              </w:rPr>
            </w:pPr>
            <w:r>
              <w:rPr>
                <w:rFonts w:hint="eastAsia" w:ascii="仿宋" w:hAnsi="仿宋" w:eastAsia="仿宋" w:cs="仿宋"/>
                <w:sz w:val="22"/>
                <w:szCs w:val="22"/>
                <w:lang w:val="en-US" w:eastAsia="zh-CN"/>
              </w:rPr>
              <w:t>注：提供</w:t>
            </w:r>
            <w:r>
              <w:rPr>
                <w:rFonts w:hint="eastAsia" w:ascii="仿宋" w:hAnsi="仿宋" w:eastAsia="仿宋" w:cs="仿宋"/>
                <w:sz w:val="22"/>
                <w:szCs w:val="22"/>
                <w:lang w:eastAsia="zh-CN"/>
              </w:rPr>
              <w:t>（1）所配备人员证书复印件/扫描件；</w:t>
            </w:r>
          </w:p>
          <w:p>
            <w:pPr>
              <w:numPr>
                <w:ilvl w:val="0"/>
                <w:numId w:val="1"/>
              </w:numPr>
              <w:adjustRightInd w:val="0"/>
              <w:snapToGrid w:val="0"/>
              <w:spacing w:line="240" w:lineRule="auto"/>
              <w:ind w:firstLine="440" w:firstLineChars="200"/>
              <w:rPr>
                <w:rFonts w:hint="eastAsia" w:ascii="仿宋" w:hAnsi="仿宋" w:eastAsia="仿宋" w:cs="仿宋"/>
                <w:sz w:val="22"/>
                <w:szCs w:val="22"/>
                <w:lang w:eastAsia="zh-CN"/>
              </w:rPr>
            </w:pPr>
            <w:r>
              <w:rPr>
                <w:rFonts w:hint="eastAsia" w:ascii="仿宋" w:hAnsi="仿宋" w:eastAsia="仿宋" w:cs="仿宋"/>
                <w:sz w:val="22"/>
                <w:szCs w:val="22"/>
                <w:lang w:eastAsia="zh-CN"/>
              </w:rPr>
              <w:t>上述人员缴纳的近3个月内（任意1个月即可）社保证明材料扫描件（提供任意五险之一的社保证明材料即可）；如所提供社保为公司所有员工社保，请用明显标记标出所提供人员的社保信息，以便评标委员会进行评审。）</w:t>
            </w:r>
          </w:p>
          <w:p>
            <w:pPr>
              <w:numPr>
                <w:ilvl w:val="0"/>
                <w:numId w:val="1"/>
              </w:numPr>
              <w:adjustRightInd w:val="0"/>
              <w:snapToGrid w:val="0"/>
              <w:spacing w:line="240" w:lineRule="auto"/>
              <w:ind w:firstLine="440" w:firstLineChars="200"/>
              <w:rPr>
                <w:rFonts w:hint="eastAsia" w:ascii="仿宋" w:hAnsi="仿宋" w:eastAsia="仿宋" w:cs="仿宋"/>
                <w:sz w:val="22"/>
                <w:szCs w:val="22"/>
                <w:lang w:eastAsia="zh-CN"/>
              </w:rPr>
            </w:pPr>
            <w:r>
              <w:rPr>
                <w:rFonts w:hint="eastAsia" w:ascii="仿宋" w:hAnsi="仿宋" w:eastAsia="仿宋" w:cs="仿宋"/>
                <w:sz w:val="22"/>
                <w:szCs w:val="22"/>
                <w:lang w:val="en-US" w:eastAsia="zh-CN"/>
              </w:rPr>
              <w:t>以上人员不得兼任。</w:t>
            </w:r>
          </w:p>
        </w:tc>
        <w:tc>
          <w:tcPr>
            <w:tcW w:w="380" w:type="pct"/>
            <w:shd w:val="clear" w:color="auto" w:fill="auto"/>
            <w:vAlign w:val="center"/>
          </w:tcPr>
          <w:p>
            <w:pPr>
              <w:adjustRightInd w:val="0"/>
              <w:snapToGrid w:val="0"/>
              <w:spacing w:line="240" w:lineRule="auto"/>
              <w:ind w:firstLine="0" w:firstLineChars="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3" w:hRule="atLeast"/>
        </w:trPr>
        <w:tc>
          <w:tcPr>
            <w:tcW w:w="336" w:type="pct"/>
            <w:shd w:val="clear" w:color="auto" w:fill="auto"/>
            <w:vAlign w:val="center"/>
          </w:tcPr>
          <w:p>
            <w:pPr>
              <w:adjustRightInd w:val="0"/>
              <w:snapToGrid w:val="0"/>
              <w:spacing w:line="240" w:lineRule="auto"/>
              <w:ind w:firstLine="0" w:firstLineChars="0"/>
              <w:jc w:val="center"/>
              <w:rPr>
                <w:rFonts w:hint="eastAsia" w:ascii="仿宋" w:hAnsi="仿宋" w:eastAsia="仿宋" w:cs="仿宋"/>
                <w:sz w:val="22"/>
                <w:szCs w:val="22"/>
                <w:lang w:eastAsia="zh-CN"/>
              </w:rPr>
            </w:pPr>
            <w:r>
              <w:rPr>
                <w:rFonts w:hint="eastAsia" w:ascii="仿宋" w:hAnsi="仿宋" w:eastAsia="仿宋" w:cs="仿宋"/>
                <w:sz w:val="22"/>
                <w:szCs w:val="22"/>
                <w:lang w:val="en-US" w:eastAsia="zh-CN"/>
              </w:rPr>
              <w:t>5</w:t>
            </w:r>
          </w:p>
        </w:tc>
        <w:tc>
          <w:tcPr>
            <w:tcW w:w="681" w:type="pct"/>
            <w:shd w:val="clear" w:color="auto" w:fill="auto"/>
            <w:vAlign w:val="center"/>
          </w:tcPr>
          <w:p>
            <w:pPr>
              <w:adjustRightInd w:val="0"/>
              <w:snapToGrid w:val="0"/>
              <w:spacing w:line="240" w:lineRule="auto"/>
              <w:ind w:firstLine="0" w:firstLineChars="0"/>
              <w:rPr>
                <w:rFonts w:hint="eastAsia" w:ascii="仿宋" w:hAnsi="仿宋" w:eastAsia="仿宋" w:cs="仿宋"/>
                <w:sz w:val="22"/>
                <w:szCs w:val="22"/>
              </w:rPr>
            </w:pPr>
            <w:r>
              <w:rPr>
                <w:rFonts w:hint="eastAsia" w:ascii="仿宋" w:hAnsi="仿宋" w:eastAsia="仿宋" w:cs="仿宋"/>
                <w:sz w:val="22"/>
                <w:szCs w:val="22"/>
              </w:rPr>
              <w:t>项目实施方案</w:t>
            </w:r>
          </w:p>
        </w:tc>
        <w:tc>
          <w:tcPr>
            <w:tcW w:w="3601" w:type="pct"/>
            <w:shd w:val="clear" w:color="auto" w:fill="auto"/>
            <w:vAlign w:val="center"/>
          </w:tcPr>
          <w:p>
            <w:pPr>
              <w:adjustRightInd w:val="0"/>
              <w:snapToGrid w:val="0"/>
              <w:spacing w:line="24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投标人能够充分理解招标文件中采购需求， 针对项目概述、现状分析、需求分析、规划设计等方面，对项目有深入分析，制定规划清晰、合理的方案。</w:t>
            </w:r>
          </w:p>
          <w:p>
            <w:pPr>
              <w:adjustRightInd w:val="0"/>
              <w:snapToGrid w:val="0"/>
              <w:spacing w:line="24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方案思路清晰完整，设计比较合理、切实可行的得</w:t>
            </w:r>
            <w:r>
              <w:rPr>
                <w:rFonts w:hint="eastAsia" w:ascii="仿宋" w:hAnsi="仿宋" w:eastAsia="仿宋" w:cs="仿宋"/>
                <w:sz w:val="22"/>
                <w:szCs w:val="22"/>
                <w:lang w:val="en-US" w:eastAsia="zh-CN"/>
              </w:rPr>
              <w:t>3</w:t>
            </w:r>
            <w:r>
              <w:rPr>
                <w:rFonts w:hint="eastAsia" w:ascii="仿宋" w:hAnsi="仿宋" w:eastAsia="仿宋" w:cs="仿宋"/>
                <w:sz w:val="22"/>
                <w:szCs w:val="22"/>
              </w:rPr>
              <w:t>分；</w:t>
            </w:r>
          </w:p>
          <w:p>
            <w:pPr>
              <w:adjustRightInd w:val="0"/>
              <w:snapToGrid w:val="0"/>
              <w:spacing w:line="24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方案比较清晰完整，设计合理、可行的得</w:t>
            </w:r>
            <w:r>
              <w:rPr>
                <w:rFonts w:hint="eastAsia" w:ascii="仿宋" w:hAnsi="仿宋" w:eastAsia="仿宋" w:cs="仿宋"/>
                <w:sz w:val="22"/>
                <w:szCs w:val="22"/>
                <w:lang w:val="en-US" w:eastAsia="zh-CN"/>
              </w:rPr>
              <w:t>2</w:t>
            </w:r>
            <w:r>
              <w:rPr>
                <w:rFonts w:hint="eastAsia" w:ascii="仿宋" w:hAnsi="仿宋" w:eastAsia="仿宋" w:cs="仿宋"/>
                <w:sz w:val="22"/>
                <w:szCs w:val="22"/>
              </w:rPr>
              <w:t>分；</w:t>
            </w:r>
          </w:p>
          <w:p>
            <w:pPr>
              <w:adjustRightInd w:val="0"/>
              <w:snapToGrid w:val="0"/>
              <w:spacing w:line="24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方案基本合理、能满足设计基本需求的得</w:t>
            </w:r>
            <w:r>
              <w:rPr>
                <w:rFonts w:hint="eastAsia" w:ascii="仿宋" w:hAnsi="仿宋" w:eastAsia="仿宋" w:cs="仿宋"/>
                <w:sz w:val="22"/>
                <w:szCs w:val="22"/>
                <w:lang w:val="en-US" w:eastAsia="zh-CN"/>
              </w:rPr>
              <w:t>1</w:t>
            </w:r>
            <w:r>
              <w:rPr>
                <w:rFonts w:hint="eastAsia" w:ascii="仿宋" w:hAnsi="仿宋" w:eastAsia="仿宋" w:cs="仿宋"/>
                <w:sz w:val="22"/>
                <w:szCs w:val="22"/>
              </w:rPr>
              <w:t>分；</w:t>
            </w:r>
          </w:p>
          <w:p>
            <w:pPr>
              <w:adjustRightInd w:val="0"/>
              <w:snapToGrid w:val="0"/>
              <w:spacing w:line="24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未提供方案不得分。</w:t>
            </w:r>
          </w:p>
        </w:tc>
        <w:tc>
          <w:tcPr>
            <w:tcW w:w="380" w:type="pct"/>
            <w:shd w:val="clear" w:color="auto" w:fill="auto"/>
            <w:vAlign w:val="center"/>
          </w:tcPr>
          <w:p>
            <w:pPr>
              <w:adjustRightInd w:val="0"/>
              <w:snapToGrid w:val="0"/>
              <w:spacing w:line="240" w:lineRule="auto"/>
              <w:ind w:firstLine="0" w:firstLineChars="0"/>
              <w:jc w:val="center"/>
              <w:rPr>
                <w:rFonts w:hint="eastAsia" w:ascii="仿宋" w:hAnsi="仿宋" w:eastAsia="仿宋" w:cs="仿宋"/>
                <w:kern w:val="0"/>
                <w:sz w:val="22"/>
                <w:szCs w:val="22"/>
                <w:lang w:val="en-US" w:eastAsia="zh-CN"/>
              </w:rPr>
            </w:pPr>
            <w:r>
              <w:rPr>
                <w:rFonts w:hint="eastAsia" w:ascii="仿宋" w:hAnsi="仿宋" w:eastAsia="仿宋" w:cs="仿宋"/>
                <w:kern w:val="0"/>
                <w:sz w:val="22"/>
                <w:szCs w:val="22"/>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3" w:hRule="atLeast"/>
        </w:trPr>
        <w:tc>
          <w:tcPr>
            <w:tcW w:w="336" w:type="pct"/>
            <w:shd w:val="clear" w:color="auto" w:fill="auto"/>
            <w:vAlign w:val="center"/>
          </w:tcPr>
          <w:p>
            <w:pPr>
              <w:adjustRightInd w:val="0"/>
              <w:snapToGrid w:val="0"/>
              <w:spacing w:line="240" w:lineRule="auto"/>
              <w:ind w:firstLine="0" w:firstLineChars="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6</w:t>
            </w:r>
          </w:p>
        </w:tc>
        <w:tc>
          <w:tcPr>
            <w:tcW w:w="681" w:type="pct"/>
            <w:shd w:val="clear" w:color="auto" w:fill="auto"/>
            <w:vAlign w:val="center"/>
          </w:tcPr>
          <w:p>
            <w:pPr>
              <w:adjustRightInd w:val="0"/>
              <w:snapToGrid w:val="0"/>
              <w:spacing w:line="240" w:lineRule="auto"/>
              <w:ind w:firstLine="0" w:firstLineChars="0"/>
              <w:rPr>
                <w:rFonts w:hint="eastAsia" w:ascii="仿宋" w:hAnsi="仿宋" w:eastAsia="仿宋" w:cs="仿宋"/>
                <w:sz w:val="22"/>
                <w:szCs w:val="22"/>
              </w:rPr>
            </w:pPr>
            <w:r>
              <w:rPr>
                <w:rFonts w:hint="eastAsia" w:ascii="仿宋" w:hAnsi="仿宋" w:eastAsia="仿宋" w:cs="仿宋"/>
                <w:sz w:val="22"/>
                <w:szCs w:val="22"/>
              </w:rPr>
              <w:t>售后服务方案</w:t>
            </w:r>
          </w:p>
        </w:tc>
        <w:tc>
          <w:tcPr>
            <w:tcW w:w="3601" w:type="pct"/>
            <w:shd w:val="clear" w:color="auto" w:fill="auto"/>
            <w:vAlign w:val="center"/>
          </w:tcPr>
          <w:p>
            <w:pPr>
              <w:adjustRightInd w:val="0"/>
              <w:snapToGrid w:val="0"/>
              <w:spacing w:line="24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投标人能够充分理解招标文件中服务要求，针对本项目服务所涉 及的技术支持、安全咨询、安全巡检、安全培训等多个方面， 制定规划清晰、合理的服务方案。</w:t>
            </w:r>
          </w:p>
          <w:p>
            <w:pPr>
              <w:adjustRightInd w:val="0"/>
              <w:snapToGrid w:val="0"/>
              <w:spacing w:line="24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方案思路清晰完整，设计合理、切实可行的得12分；</w:t>
            </w:r>
          </w:p>
          <w:p>
            <w:pPr>
              <w:adjustRightInd w:val="0"/>
              <w:snapToGrid w:val="0"/>
              <w:spacing w:line="24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方案比较清晰完整，设计比较合理、可行的得8分；</w:t>
            </w:r>
          </w:p>
          <w:p>
            <w:pPr>
              <w:adjustRightInd w:val="0"/>
              <w:snapToGrid w:val="0"/>
              <w:spacing w:line="24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方案基本合理、能满足设计基本需求的得4分；</w:t>
            </w:r>
          </w:p>
          <w:p>
            <w:pPr>
              <w:adjustRightInd w:val="0"/>
              <w:snapToGrid w:val="0"/>
              <w:spacing w:line="24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未提供方案不得分。</w:t>
            </w:r>
          </w:p>
        </w:tc>
        <w:tc>
          <w:tcPr>
            <w:tcW w:w="380" w:type="pct"/>
            <w:shd w:val="clear" w:color="auto" w:fill="auto"/>
            <w:vAlign w:val="center"/>
          </w:tcPr>
          <w:p>
            <w:pPr>
              <w:adjustRightInd w:val="0"/>
              <w:snapToGrid w:val="0"/>
              <w:spacing w:line="240" w:lineRule="auto"/>
              <w:ind w:firstLine="0" w:firstLineChars="0"/>
              <w:jc w:val="center"/>
              <w:rPr>
                <w:rFonts w:hint="eastAsia" w:ascii="仿宋" w:hAnsi="仿宋" w:eastAsia="仿宋" w:cs="仿宋"/>
                <w:kern w:val="0"/>
                <w:sz w:val="22"/>
                <w:szCs w:val="22"/>
                <w:lang w:val="en-US" w:eastAsia="zh-CN"/>
              </w:rPr>
            </w:pPr>
            <w:r>
              <w:rPr>
                <w:rFonts w:hint="eastAsia" w:ascii="仿宋" w:hAnsi="仿宋" w:eastAsia="仿宋" w:cs="仿宋"/>
                <w:kern w:val="0"/>
                <w:sz w:val="22"/>
                <w:szCs w:val="22"/>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3" w:hRule="atLeast"/>
        </w:trPr>
        <w:tc>
          <w:tcPr>
            <w:tcW w:w="336" w:type="pct"/>
            <w:shd w:val="clear" w:color="auto" w:fill="auto"/>
            <w:vAlign w:val="center"/>
          </w:tcPr>
          <w:p>
            <w:pPr>
              <w:adjustRightInd w:val="0"/>
              <w:snapToGrid w:val="0"/>
              <w:spacing w:line="240" w:lineRule="auto"/>
              <w:ind w:firstLine="0" w:firstLineChars="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7</w:t>
            </w:r>
          </w:p>
        </w:tc>
        <w:tc>
          <w:tcPr>
            <w:tcW w:w="681" w:type="pct"/>
            <w:shd w:val="clear" w:color="auto" w:fill="auto"/>
            <w:vAlign w:val="center"/>
          </w:tcPr>
          <w:p>
            <w:pPr>
              <w:adjustRightInd w:val="0"/>
              <w:snapToGrid w:val="0"/>
              <w:spacing w:line="240" w:lineRule="auto"/>
              <w:ind w:firstLine="0" w:firstLineChars="0"/>
              <w:rPr>
                <w:rFonts w:hint="eastAsia" w:ascii="仿宋" w:hAnsi="仿宋" w:eastAsia="仿宋" w:cs="仿宋"/>
                <w:sz w:val="22"/>
                <w:szCs w:val="22"/>
              </w:rPr>
            </w:pPr>
            <w:r>
              <w:rPr>
                <w:rFonts w:hint="eastAsia" w:ascii="仿宋" w:hAnsi="仿宋" w:eastAsia="仿宋" w:cs="仿宋"/>
                <w:sz w:val="22"/>
                <w:szCs w:val="22"/>
              </w:rPr>
              <w:t>售后服务保障和安全培训能力</w:t>
            </w:r>
          </w:p>
        </w:tc>
        <w:tc>
          <w:tcPr>
            <w:tcW w:w="3601" w:type="pct"/>
            <w:shd w:val="clear" w:color="auto" w:fill="auto"/>
            <w:vAlign w:val="center"/>
          </w:tcPr>
          <w:p>
            <w:pPr>
              <w:adjustRightInd w:val="0"/>
              <w:snapToGrid w:val="0"/>
              <w:spacing w:line="24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1、为了保障售后服务支撑响应及时性，投标产品在安徽或江苏设置有分支机构，并在工商局注册，提供</w:t>
            </w:r>
            <w:r>
              <w:rPr>
                <w:rFonts w:hint="eastAsia" w:ascii="仿宋" w:hAnsi="仿宋" w:eastAsia="仿宋" w:cs="仿宋"/>
                <w:sz w:val="22"/>
                <w:szCs w:val="22"/>
                <w:lang w:val="en-US" w:eastAsia="zh-CN"/>
              </w:rPr>
              <w:t>相关</w:t>
            </w:r>
            <w:r>
              <w:rPr>
                <w:rFonts w:hint="eastAsia" w:ascii="仿宋" w:hAnsi="仿宋" w:eastAsia="仿宋" w:cs="仿宋"/>
                <w:sz w:val="22"/>
                <w:szCs w:val="22"/>
              </w:rPr>
              <w:t>公司/办事机构/分支机构证明的，得</w:t>
            </w:r>
            <w:r>
              <w:rPr>
                <w:rFonts w:hint="eastAsia" w:ascii="仿宋" w:hAnsi="仿宋" w:eastAsia="仿宋" w:cs="仿宋"/>
                <w:sz w:val="22"/>
                <w:szCs w:val="22"/>
                <w:lang w:val="en-US" w:eastAsia="zh-CN"/>
              </w:rPr>
              <w:t>3</w:t>
            </w:r>
            <w:r>
              <w:rPr>
                <w:rFonts w:hint="eastAsia" w:ascii="仿宋" w:hAnsi="仿宋" w:eastAsia="仿宋" w:cs="仿宋"/>
                <w:sz w:val="22"/>
                <w:szCs w:val="22"/>
              </w:rPr>
              <w:t>分，不提供不得分。</w:t>
            </w:r>
          </w:p>
          <w:p>
            <w:pPr>
              <w:adjustRightInd w:val="0"/>
              <w:snapToGrid w:val="0"/>
              <w:spacing w:line="24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2、投标产品厂商具备安全培训服务能力，具备信息系统安全认证联盟(ISC)²培训服务提供商（OTP）认证、国家信息安全测评中心CISP培训机构认证，</w:t>
            </w:r>
            <w:r>
              <w:rPr>
                <w:rFonts w:hint="eastAsia" w:ascii="仿宋" w:hAnsi="仿宋" w:eastAsia="仿宋" w:cs="仿宋"/>
                <w:sz w:val="22"/>
                <w:szCs w:val="22"/>
                <w:lang w:val="en-US" w:eastAsia="zh-CN"/>
              </w:rPr>
              <w:t>每</w:t>
            </w:r>
            <w:r>
              <w:rPr>
                <w:rFonts w:hint="eastAsia" w:ascii="仿宋" w:hAnsi="仿宋" w:eastAsia="仿宋" w:cs="仿宋"/>
                <w:sz w:val="22"/>
                <w:szCs w:val="22"/>
              </w:rPr>
              <w:t>提供一个得</w:t>
            </w:r>
            <w:r>
              <w:rPr>
                <w:rFonts w:hint="eastAsia" w:ascii="仿宋" w:hAnsi="仿宋" w:eastAsia="仿宋" w:cs="仿宋"/>
                <w:sz w:val="22"/>
                <w:szCs w:val="22"/>
                <w:lang w:val="en-US" w:eastAsia="zh-CN"/>
              </w:rPr>
              <w:t>3</w:t>
            </w:r>
            <w:r>
              <w:rPr>
                <w:rFonts w:hint="eastAsia" w:ascii="仿宋" w:hAnsi="仿宋" w:eastAsia="仿宋" w:cs="仿宋"/>
                <w:sz w:val="22"/>
                <w:szCs w:val="22"/>
              </w:rPr>
              <w:t>分，全部提供得</w:t>
            </w:r>
            <w:r>
              <w:rPr>
                <w:rFonts w:hint="eastAsia" w:ascii="仿宋" w:hAnsi="仿宋" w:eastAsia="仿宋" w:cs="仿宋"/>
                <w:sz w:val="22"/>
                <w:szCs w:val="22"/>
                <w:lang w:val="en-US" w:eastAsia="zh-CN"/>
              </w:rPr>
              <w:t>6</w:t>
            </w:r>
            <w:r>
              <w:rPr>
                <w:rFonts w:hint="eastAsia" w:ascii="仿宋" w:hAnsi="仿宋" w:eastAsia="仿宋" w:cs="仿宋"/>
                <w:sz w:val="22"/>
                <w:szCs w:val="22"/>
              </w:rPr>
              <w:t>分，不提供不得分。</w:t>
            </w:r>
          </w:p>
        </w:tc>
        <w:tc>
          <w:tcPr>
            <w:tcW w:w="380" w:type="pct"/>
            <w:shd w:val="clear" w:color="auto" w:fill="auto"/>
            <w:vAlign w:val="center"/>
          </w:tcPr>
          <w:p>
            <w:pPr>
              <w:adjustRightInd w:val="0"/>
              <w:snapToGrid w:val="0"/>
              <w:spacing w:line="240" w:lineRule="auto"/>
              <w:ind w:firstLine="0" w:firstLineChars="0"/>
              <w:jc w:val="center"/>
              <w:rPr>
                <w:rFonts w:hint="eastAsia" w:ascii="仿宋" w:hAnsi="仿宋" w:eastAsia="仿宋" w:cs="仿宋"/>
                <w:kern w:val="0"/>
                <w:sz w:val="22"/>
                <w:szCs w:val="22"/>
                <w:lang w:val="en-US" w:eastAsia="zh-CN"/>
              </w:rPr>
            </w:pPr>
            <w:r>
              <w:rPr>
                <w:rFonts w:hint="eastAsia" w:ascii="仿宋" w:hAnsi="仿宋" w:eastAsia="仿宋" w:cs="仿宋"/>
                <w:kern w:val="0"/>
                <w:sz w:val="22"/>
                <w:szCs w:val="22"/>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trPr>
        <w:tc>
          <w:tcPr>
            <w:tcW w:w="4619" w:type="pct"/>
            <w:gridSpan w:val="3"/>
            <w:shd w:val="clear" w:color="auto" w:fill="auto"/>
            <w:vAlign w:val="center"/>
          </w:tcPr>
          <w:p>
            <w:pPr>
              <w:widowControl/>
              <w:adjustRightInd w:val="0"/>
              <w:snapToGrid w:val="0"/>
              <w:spacing w:line="240" w:lineRule="auto"/>
              <w:ind w:firstLine="0" w:firstLineChars="0"/>
              <w:jc w:val="center"/>
              <w:rPr>
                <w:rFonts w:hint="eastAsia" w:ascii="仿宋" w:hAnsi="仿宋" w:eastAsia="仿宋" w:cs="仿宋"/>
                <w:b/>
                <w:sz w:val="22"/>
                <w:szCs w:val="22"/>
              </w:rPr>
            </w:pPr>
            <w:r>
              <w:rPr>
                <w:rFonts w:hint="eastAsia" w:ascii="仿宋" w:hAnsi="仿宋" w:eastAsia="仿宋" w:cs="仿宋"/>
                <w:b/>
                <w:sz w:val="22"/>
                <w:szCs w:val="22"/>
                <w:lang w:val="zh-CN"/>
              </w:rPr>
              <w:t>合计</w:t>
            </w:r>
          </w:p>
        </w:tc>
        <w:tc>
          <w:tcPr>
            <w:tcW w:w="380" w:type="pct"/>
            <w:shd w:val="clear" w:color="auto" w:fill="auto"/>
            <w:vAlign w:val="center"/>
          </w:tcPr>
          <w:p>
            <w:pPr>
              <w:adjustRightInd w:val="0"/>
              <w:snapToGrid w:val="0"/>
              <w:spacing w:line="240" w:lineRule="auto"/>
              <w:ind w:firstLine="0" w:firstLineChars="0"/>
              <w:jc w:val="center"/>
              <w:rPr>
                <w:rFonts w:hint="eastAsia" w:ascii="仿宋" w:hAnsi="仿宋" w:eastAsia="仿宋" w:cs="仿宋"/>
                <w:b/>
                <w:sz w:val="22"/>
                <w:szCs w:val="22"/>
              </w:rPr>
            </w:pPr>
            <w:r>
              <w:rPr>
                <w:rFonts w:hint="eastAsia" w:ascii="仿宋" w:hAnsi="仿宋" w:eastAsia="仿宋" w:cs="仿宋"/>
                <w:b/>
                <w:sz w:val="22"/>
                <w:szCs w:val="22"/>
              </w:rPr>
              <w:t>100</w:t>
            </w:r>
          </w:p>
        </w:tc>
      </w:tr>
    </w:tbl>
    <w:p>
      <w:pPr>
        <w:ind w:left="0" w:leftChars="0" w:firstLine="0" w:firstLineChars="0"/>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544B630"/>
    <w:multiLevelType w:val="singleLevel"/>
    <w:tmpl w:val="1544B630"/>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M4NjllMjMwYTI3YTcyYTI2MjNlMjI3YzQ4MGZmY2UifQ=="/>
  </w:docVars>
  <w:rsids>
    <w:rsidRoot w:val="37417F4D"/>
    <w:rsid w:val="00215AA4"/>
    <w:rsid w:val="010A65EE"/>
    <w:rsid w:val="016C037D"/>
    <w:rsid w:val="03763503"/>
    <w:rsid w:val="03B46C2F"/>
    <w:rsid w:val="03C74A1A"/>
    <w:rsid w:val="04441D61"/>
    <w:rsid w:val="05393118"/>
    <w:rsid w:val="06D7510F"/>
    <w:rsid w:val="070C28DE"/>
    <w:rsid w:val="096E7880"/>
    <w:rsid w:val="0A951C25"/>
    <w:rsid w:val="0B896DE2"/>
    <w:rsid w:val="0CBE28CD"/>
    <w:rsid w:val="0DB35682"/>
    <w:rsid w:val="0EC31D85"/>
    <w:rsid w:val="0F124079"/>
    <w:rsid w:val="10C16A76"/>
    <w:rsid w:val="112E0021"/>
    <w:rsid w:val="119836EC"/>
    <w:rsid w:val="1203536E"/>
    <w:rsid w:val="123A29F6"/>
    <w:rsid w:val="12993BC0"/>
    <w:rsid w:val="14ED1FA1"/>
    <w:rsid w:val="14F55ABF"/>
    <w:rsid w:val="159030E8"/>
    <w:rsid w:val="15C941A9"/>
    <w:rsid w:val="15E74C42"/>
    <w:rsid w:val="17297CE9"/>
    <w:rsid w:val="17EE22B8"/>
    <w:rsid w:val="18AD3F21"/>
    <w:rsid w:val="18BD6589"/>
    <w:rsid w:val="19C71013"/>
    <w:rsid w:val="1A3911B5"/>
    <w:rsid w:val="1A7647E7"/>
    <w:rsid w:val="1C486913"/>
    <w:rsid w:val="1D9C4207"/>
    <w:rsid w:val="1DF36A2E"/>
    <w:rsid w:val="1E480248"/>
    <w:rsid w:val="1F0B3750"/>
    <w:rsid w:val="1F215001"/>
    <w:rsid w:val="1F843502"/>
    <w:rsid w:val="221D369C"/>
    <w:rsid w:val="23EB1DA2"/>
    <w:rsid w:val="24971EEC"/>
    <w:rsid w:val="25715E4D"/>
    <w:rsid w:val="25C2684C"/>
    <w:rsid w:val="25DB0430"/>
    <w:rsid w:val="26964247"/>
    <w:rsid w:val="271635D9"/>
    <w:rsid w:val="27704DCC"/>
    <w:rsid w:val="277504A6"/>
    <w:rsid w:val="281D1F5C"/>
    <w:rsid w:val="28703145"/>
    <w:rsid w:val="2AFE098F"/>
    <w:rsid w:val="2BD0298D"/>
    <w:rsid w:val="2C6B3A80"/>
    <w:rsid w:val="2CBC252D"/>
    <w:rsid w:val="2E093550"/>
    <w:rsid w:val="2E255EB0"/>
    <w:rsid w:val="2EBD258D"/>
    <w:rsid w:val="2F133D3D"/>
    <w:rsid w:val="2F430CE4"/>
    <w:rsid w:val="2FF10740"/>
    <w:rsid w:val="31CC252B"/>
    <w:rsid w:val="32073B23"/>
    <w:rsid w:val="329A3C98"/>
    <w:rsid w:val="32B32035"/>
    <w:rsid w:val="33022C64"/>
    <w:rsid w:val="3422222F"/>
    <w:rsid w:val="346A6596"/>
    <w:rsid w:val="34AC10D9"/>
    <w:rsid w:val="354237EC"/>
    <w:rsid w:val="357D65D2"/>
    <w:rsid w:val="362178A5"/>
    <w:rsid w:val="367A0579"/>
    <w:rsid w:val="37417F4D"/>
    <w:rsid w:val="394538AA"/>
    <w:rsid w:val="3A0E3697"/>
    <w:rsid w:val="3A306505"/>
    <w:rsid w:val="3B2309F2"/>
    <w:rsid w:val="3BE17ACF"/>
    <w:rsid w:val="3E1069DC"/>
    <w:rsid w:val="3E79027E"/>
    <w:rsid w:val="4037219F"/>
    <w:rsid w:val="431A7B56"/>
    <w:rsid w:val="439D4A0F"/>
    <w:rsid w:val="44DD0E3B"/>
    <w:rsid w:val="456765ED"/>
    <w:rsid w:val="45AC24DF"/>
    <w:rsid w:val="482A213A"/>
    <w:rsid w:val="4A4B0101"/>
    <w:rsid w:val="4BA15EBA"/>
    <w:rsid w:val="4C297697"/>
    <w:rsid w:val="4D043409"/>
    <w:rsid w:val="4D5819A6"/>
    <w:rsid w:val="4D795C2E"/>
    <w:rsid w:val="4D7B5C7A"/>
    <w:rsid w:val="4DB1031F"/>
    <w:rsid w:val="4DB50BA7"/>
    <w:rsid w:val="4DD0778F"/>
    <w:rsid w:val="4EE259CC"/>
    <w:rsid w:val="50B129D4"/>
    <w:rsid w:val="53C12719"/>
    <w:rsid w:val="542B3971"/>
    <w:rsid w:val="549D486C"/>
    <w:rsid w:val="54D758A7"/>
    <w:rsid w:val="56D82D87"/>
    <w:rsid w:val="57501A4D"/>
    <w:rsid w:val="58847AF3"/>
    <w:rsid w:val="5891283B"/>
    <w:rsid w:val="58977827"/>
    <w:rsid w:val="593132EC"/>
    <w:rsid w:val="5C1D2D36"/>
    <w:rsid w:val="5C6C7AE4"/>
    <w:rsid w:val="5C74325C"/>
    <w:rsid w:val="5E113BD7"/>
    <w:rsid w:val="5E4C2E61"/>
    <w:rsid w:val="5FB707AE"/>
    <w:rsid w:val="5FFD7DE8"/>
    <w:rsid w:val="60B56E9E"/>
    <w:rsid w:val="620B4DE2"/>
    <w:rsid w:val="62A0335F"/>
    <w:rsid w:val="630B6593"/>
    <w:rsid w:val="64402D87"/>
    <w:rsid w:val="662048D8"/>
    <w:rsid w:val="668D4017"/>
    <w:rsid w:val="671E1113"/>
    <w:rsid w:val="678A6A48"/>
    <w:rsid w:val="6794698A"/>
    <w:rsid w:val="681D761D"/>
    <w:rsid w:val="69131AB9"/>
    <w:rsid w:val="6A13272C"/>
    <w:rsid w:val="6ABA55F7"/>
    <w:rsid w:val="6B590A8E"/>
    <w:rsid w:val="6B8579B3"/>
    <w:rsid w:val="6CA6001D"/>
    <w:rsid w:val="6D0A52C2"/>
    <w:rsid w:val="6E1F40EF"/>
    <w:rsid w:val="6E69536A"/>
    <w:rsid w:val="6E76024F"/>
    <w:rsid w:val="6F1113E0"/>
    <w:rsid w:val="70F96E79"/>
    <w:rsid w:val="712832BA"/>
    <w:rsid w:val="728D72D4"/>
    <w:rsid w:val="730C2768"/>
    <w:rsid w:val="7318735E"/>
    <w:rsid w:val="73650000"/>
    <w:rsid w:val="73DC4119"/>
    <w:rsid w:val="741D2628"/>
    <w:rsid w:val="744114FF"/>
    <w:rsid w:val="747304B8"/>
    <w:rsid w:val="749C30D5"/>
    <w:rsid w:val="78216CB5"/>
    <w:rsid w:val="78B10039"/>
    <w:rsid w:val="7A8F657C"/>
    <w:rsid w:val="7ADB4D39"/>
    <w:rsid w:val="7BDD1145"/>
    <w:rsid w:val="7C613B24"/>
    <w:rsid w:val="7C763BF7"/>
    <w:rsid w:val="7E6C07BF"/>
    <w:rsid w:val="7F480FCB"/>
    <w:rsid w:val="7F6A78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eastAsia="华文仿宋" w:asciiTheme="minorHAnsi" w:hAnsiTheme="minorHAnsi" w:cstheme="minorBidi"/>
      <w:kern w:val="2"/>
      <w:sz w:val="28"/>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1"/>
    <w:pPr>
      <w:adjustRightInd w:val="0"/>
      <w:jc w:val="left"/>
    </w:pPr>
    <w:rPr>
      <w:rFonts w:hAnsi="宋体"/>
      <w:lang w:eastAsia="en-US"/>
    </w:rPr>
  </w:style>
  <w:style w:type="paragraph" w:customStyle="1" w:styleId="5">
    <w:name w:val="__正文"/>
    <w:qFormat/>
    <w:uiPriority w:val="0"/>
    <w:pPr>
      <w:widowControl w:val="0"/>
      <w:spacing w:line="360" w:lineRule="auto"/>
      <w:ind w:firstLine="200" w:firstLineChars="200"/>
    </w:pPr>
    <w:rPr>
      <w:rFonts w:ascii="等线" w:hAnsi="等线" w:eastAsia="仿宋" w:cs="Times New Roman"/>
      <w:kern w:val="2"/>
      <w:sz w:val="28"/>
      <w:szCs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2023-10-17T02:31:00Z</dcterms:created>
  <dc:creator>无聊的老H</dc:creator>
  <cp:lastModifiedBy>无聊的老H</cp:lastModifiedBy>
  <dcterms:modified xsi:type="dcterms:W3CDTF">2023-11-14T23:56:11Z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943F18FF89BF4D12BAB98C6859EE10C5_11</vt:lpwstr>
  </property>
</Properties>
</file>