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299"/>
        <w:gridCol w:w="6003"/>
        <w:gridCol w:w="649"/>
      </w:tblGrid>
      <w:tr w14:paraId="1153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1" w:type="dxa"/>
            <w:shd w:val="clear" w:color="auto" w:fill="auto"/>
            <w:vAlign w:val="center"/>
          </w:tcPr>
          <w:p w14:paraId="1EFB16B8">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序号</w:t>
            </w:r>
          </w:p>
        </w:tc>
        <w:tc>
          <w:tcPr>
            <w:tcW w:w="1299" w:type="dxa"/>
            <w:shd w:val="clear" w:color="auto" w:fill="auto"/>
            <w:vAlign w:val="center"/>
          </w:tcPr>
          <w:p w14:paraId="062D778E">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评分</w:t>
            </w:r>
          </w:p>
          <w:p w14:paraId="58E76360">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因素</w:t>
            </w:r>
          </w:p>
        </w:tc>
        <w:tc>
          <w:tcPr>
            <w:tcW w:w="6003" w:type="dxa"/>
            <w:shd w:val="clear" w:color="auto" w:fill="auto"/>
            <w:vAlign w:val="center"/>
          </w:tcPr>
          <w:p w14:paraId="3B2EAC54">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评分标准</w:t>
            </w:r>
          </w:p>
        </w:tc>
        <w:tc>
          <w:tcPr>
            <w:tcW w:w="649" w:type="dxa"/>
            <w:shd w:val="clear" w:color="auto" w:fill="auto"/>
            <w:vAlign w:val="center"/>
          </w:tcPr>
          <w:p w14:paraId="1A7391FE">
            <w:pPr>
              <w:autoSpaceDN w:val="0"/>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rPr>
              <w:t>分值</w:t>
            </w:r>
          </w:p>
        </w:tc>
      </w:tr>
      <w:tr w14:paraId="34A6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571" w:type="dxa"/>
            <w:shd w:val="clear" w:color="auto" w:fill="auto"/>
            <w:vAlign w:val="center"/>
          </w:tcPr>
          <w:p w14:paraId="134F1D52">
            <w:pPr>
              <w:adjustRightInd w:val="0"/>
              <w:snapToGrid w:val="0"/>
              <w:spacing w:line="240" w:lineRule="auto"/>
              <w:ind w:firstLine="0" w:firstLineChars="0"/>
              <w:jc w:val="center"/>
              <w:rPr>
                <w:rFonts w:hint="eastAsia" w:ascii="仿宋" w:hAnsi="仿宋" w:eastAsia="仿宋" w:cs="仿宋"/>
                <w:sz w:val="22"/>
                <w:szCs w:val="22"/>
              </w:rPr>
            </w:pPr>
            <w:r>
              <w:rPr>
                <w:rFonts w:hint="eastAsia" w:ascii="仿宋" w:hAnsi="仿宋" w:eastAsia="仿宋" w:cs="仿宋"/>
                <w:sz w:val="22"/>
                <w:szCs w:val="22"/>
              </w:rPr>
              <w:t>1</w:t>
            </w:r>
          </w:p>
        </w:tc>
        <w:tc>
          <w:tcPr>
            <w:tcW w:w="1299" w:type="dxa"/>
            <w:shd w:val="clear" w:color="auto" w:fill="auto"/>
            <w:vAlign w:val="center"/>
          </w:tcPr>
          <w:p w14:paraId="36903CB6">
            <w:pPr>
              <w:adjustRightInd w:val="0"/>
              <w:snapToGrid w:val="0"/>
              <w:spacing w:line="240" w:lineRule="auto"/>
              <w:ind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商务</w:t>
            </w:r>
          </w:p>
        </w:tc>
        <w:tc>
          <w:tcPr>
            <w:tcW w:w="6003" w:type="dxa"/>
            <w:shd w:val="clear" w:color="auto" w:fill="auto"/>
            <w:vAlign w:val="center"/>
          </w:tcPr>
          <w:p w14:paraId="4C5DB50C">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采用低价优先法计算：即经评审满足招标文件要求且投标价格最低的投标报价为评标基准价，其价格分为满分</w:t>
            </w:r>
            <w:r>
              <w:rPr>
                <w:rFonts w:hint="eastAsia" w:ascii="仿宋" w:hAnsi="仿宋" w:eastAsia="仿宋" w:cs="仿宋"/>
                <w:color w:val="000000" w:themeColor="text1"/>
                <w:sz w:val="22"/>
                <w:szCs w:val="22"/>
                <w14:textFill>
                  <w14:solidFill>
                    <w14:schemeClr w14:val="tx1"/>
                  </w14:solidFill>
                </w14:textFill>
              </w:rPr>
              <w:t>30</w:t>
            </w:r>
            <w:r>
              <w:rPr>
                <w:rFonts w:hint="eastAsia" w:ascii="仿宋" w:hAnsi="仿宋" w:eastAsia="仿宋" w:cs="仿宋"/>
                <w:color w:val="000000" w:themeColor="text1"/>
                <w:sz w:val="22"/>
                <w:szCs w:val="22"/>
                <w:lang w:val="zh-CN"/>
                <w14:textFill>
                  <w14:solidFill>
                    <w14:schemeClr w14:val="tx1"/>
                  </w14:solidFill>
                </w14:textFill>
              </w:rPr>
              <w:t>分。投标人的价格分统一按照下列公式计算：投标报价得分＝（评标基准价/投标报价）×30％×100</w:t>
            </w:r>
          </w:p>
        </w:tc>
        <w:tc>
          <w:tcPr>
            <w:tcW w:w="649" w:type="dxa"/>
            <w:shd w:val="clear" w:color="auto" w:fill="auto"/>
            <w:vAlign w:val="center"/>
          </w:tcPr>
          <w:p w14:paraId="2F4F53F9">
            <w:pPr>
              <w:adjustRightInd w:val="0"/>
              <w:snapToGrid w:val="0"/>
              <w:spacing w:line="240" w:lineRule="auto"/>
              <w:ind w:firstLine="0" w:firstLineChars="0"/>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30</w:t>
            </w:r>
          </w:p>
        </w:tc>
      </w:tr>
      <w:tr w14:paraId="1C9D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71" w:type="dxa"/>
            <w:shd w:val="clear" w:color="auto" w:fill="auto"/>
            <w:vAlign w:val="center"/>
          </w:tcPr>
          <w:p w14:paraId="1ED89CF8">
            <w:pPr>
              <w:adjustRightInd w:val="0"/>
              <w:snapToGrid w:val="0"/>
              <w:spacing w:line="240" w:lineRule="auto"/>
              <w:ind w:firstLine="0" w:firstLineChars="0"/>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1299" w:type="dxa"/>
            <w:shd w:val="clear" w:color="auto" w:fill="auto"/>
            <w:vAlign w:val="center"/>
          </w:tcPr>
          <w:p w14:paraId="3C4E94E6">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技术参数和配置</w:t>
            </w:r>
          </w:p>
          <w:p w14:paraId="5EF076B1">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p>
        </w:tc>
        <w:tc>
          <w:tcPr>
            <w:tcW w:w="6003" w:type="dxa"/>
            <w:shd w:val="clear" w:color="auto" w:fill="auto"/>
            <w:vAlign w:val="center"/>
          </w:tcPr>
          <w:p w14:paraId="0C06A31A">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1、对招标文件中所有技术参数全部满足的得满分。</w:t>
            </w:r>
          </w:p>
          <w:p w14:paraId="75ABD1A4">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2、标“★”项的为本项目的关键性技术指标，共计2个，必须满足，有一项不满足的按无效标处理；</w:t>
            </w:r>
          </w:p>
          <w:p w14:paraId="5B967F6E">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3、标“▲”项，为重要参数，共计3个，每响应一项，得5分，共计15分。</w:t>
            </w:r>
          </w:p>
          <w:p w14:paraId="37A38CBB">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4、其余参数为普通参数，共计12项，每响应一项，得4分。共计48分</w:t>
            </w:r>
          </w:p>
          <w:p w14:paraId="185ABFBF">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投标人制作技术标文件需自行编制页码，本项提供的“证明材料”需在技术标文件中使用标记对评审相关指标进行标注，且在技术响应表中应明确注明“证明材料”所在技术标文件中的页码，否则视为不响应，按负偏离处理；</w:t>
            </w:r>
          </w:p>
          <w:p w14:paraId="4C411C5E">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注：以参数清单要求提供的证明材料作为评审依据。</w:t>
            </w:r>
          </w:p>
        </w:tc>
        <w:tc>
          <w:tcPr>
            <w:tcW w:w="649" w:type="dxa"/>
            <w:shd w:val="clear" w:color="auto" w:fill="auto"/>
            <w:vAlign w:val="center"/>
          </w:tcPr>
          <w:p w14:paraId="63B738EA">
            <w:pPr>
              <w:tabs>
                <w:tab w:val="left" w:pos="720"/>
              </w:tabs>
              <w:adjustRightInd w:val="0"/>
              <w:snapToGrid w:val="0"/>
              <w:spacing w:line="240" w:lineRule="auto"/>
              <w:ind w:firstLine="0" w:firstLineChars="0"/>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63</w:t>
            </w:r>
          </w:p>
        </w:tc>
      </w:tr>
      <w:tr w14:paraId="17B4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571" w:type="dxa"/>
            <w:shd w:val="clear" w:color="auto" w:fill="auto"/>
            <w:vAlign w:val="center"/>
          </w:tcPr>
          <w:p w14:paraId="3626CF19">
            <w:pPr>
              <w:adjustRightInd w:val="0"/>
              <w:snapToGrid w:val="0"/>
              <w:spacing w:line="240" w:lineRule="auto"/>
              <w:ind w:firstLine="0" w:firstLineChars="0"/>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2</w:t>
            </w:r>
          </w:p>
        </w:tc>
        <w:tc>
          <w:tcPr>
            <w:tcW w:w="1299" w:type="dxa"/>
            <w:shd w:val="clear" w:color="auto" w:fill="auto"/>
            <w:vAlign w:val="center"/>
          </w:tcPr>
          <w:p w14:paraId="274AB693">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免费质保期</w:t>
            </w:r>
          </w:p>
        </w:tc>
        <w:tc>
          <w:tcPr>
            <w:tcW w:w="6003" w:type="dxa"/>
            <w:shd w:val="clear" w:color="auto" w:fill="auto"/>
            <w:vAlign w:val="center"/>
          </w:tcPr>
          <w:p w14:paraId="0C6610F4">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免费质保三年，每延长一年得2分，最多得4分。</w:t>
            </w:r>
          </w:p>
          <w:p w14:paraId="19D72F0D">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（需提供相关质保期限承诺书，否则本项不得分。）</w:t>
            </w:r>
          </w:p>
        </w:tc>
        <w:tc>
          <w:tcPr>
            <w:tcW w:w="649" w:type="dxa"/>
            <w:shd w:val="clear" w:color="auto" w:fill="auto"/>
            <w:vAlign w:val="center"/>
          </w:tcPr>
          <w:p w14:paraId="1E01E5A6">
            <w:pPr>
              <w:tabs>
                <w:tab w:val="left" w:pos="720"/>
              </w:tabs>
              <w:adjustRightInd w:val="0"/>
              <w:snapToGrid w:val="0"/>
              <w:spacing w:line="240" w:lineRule="auto"/>
              <w:ind w:firstLine="0" w:firstLineChars="0"/>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4</w:t>
            </w:r>
          </w:p>
        </w:tc>
      </w:tr>
      <w:tr w14:paraId="5D1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71" w:type="dxa"/>
            <w:shd w:val="clear" w:color="auto" w:fill="auto"/>
            <w:vAlign w:val="center"/>
          </w:tcPr>
          <w:p w14:paraId="03C402D3">
            <w:pPr>
              <w:adjustRightInd w:val="0"/>
              <w:snapToGrid w:val="0"/>
              <w:spacing w:line="240" w:lineRule="auto"/>
              <w:ind w:firstLine="0" w:firstLineChars="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c>
          <w:tcPr>
            <w:tcW w:w="1299" w:type="dxa"/>
            <w:shd w:val="clear" w:color="auto" w:fill="auto"/>
            <w:vAlign w:val="center"/>
          </w:tcPr>
          <w:p w14:paraId="02F5E9B2">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售后服务能力、措施</w:t>
            </w:r>
          </w:p>
        </w:tc>
        <w:tc>
          <w:tcPr>
            <w:tcW w:w="6003" w:type="dxa"/>
            <w:shd w:val="clear" w:color="auto" w:fill="auto"/>
            <w:vAlign w:val="top"/>
          </w:tcPr>
          <w:p w14:paraId="51E53040">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1、售后响应时间：2小时以内。</w:t>
            </w:r>
          </w:p>
          <w:p w14:paraId="6078D6D2">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2、报修后故障修复时间：3个工作日，超过此时间需提供备用机。</w:t>
            </w:r>
          </w:p>
          <w:p w14:paraId="16D632BF">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3、维保期内每年至少巡检2次。</w:t>
            </w:r>
          </w:p>
          <w:p w14:paraId="326597EA">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售后服务措施须包含或优于以上内容，评审根据投标文件中提供的售后服务方案与措施进行评比：</w:t>
            </w:r>
          </w:p>
          <w:p w14:paraId="7E81AD44">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1.包括保修内容与范围、维修响应时间、售后服务等，方案完善可行性强，科学合理，完全满足项目采购需求的得3分；</w:t>
            </w:r>
          </w:p>
          <w:p w14:paraId="4FE111EC">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2.包括保修内容与范围、维修响应时间、售后服务等，方案完善可行性较强，无明显逻辑错误，无关键点缺失的得2分；</w:t>
            </w:r>
          </w:p>
          <w:p w14:paraId="08796D45">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3.包括保修内容与范围、维修响应时间、售后服务等，方案内容缺失，且出现非专门针对本项目特性内容的得1分；</w:t>
            </w:r>
          </w:p>
          <w:p w14:paraId="05E5B1D1">
            <w:pPr>
              <w:tabs>
                <w:tab w:val="left" w:pos="720"/>
              </w:tabs>
              <w:adjustRightInd w:val="0"/>
              <w:snapToGrid w:val="0"/>
              <w:spacing w:line="240" w:lineRule="auto"/>
              <w:ind w:firstLine="0" w:firstLineChars="0"/>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4.方案不能满足项目实施要求或未提供相关内容的不得分。</w:t>
            </w:r>
            <w:bookmarkStart w:id="0" w:name="_GoBack"/>
            <w:bookmarkEnd w:id="0"/>
          </w:p>
        </w:tc>
        <w:tc>
          <w:tcPr>
            <w:tcW w:w="649" w:type="dxa"/>
            <w:shd w:val="clear" w:color="auto" w:fill="auto"/>
            <w:vAlign w:val="center"/>
          </w:tcPr>
          <w:p w14:paraId="45361696">
            <w:pPr>
              <w:tabs>
                <w:tab w:val="left" w:pos="720"/>
              </w:tabs>
              <w:adjustRightInd w:val="0"/>
              <w:snapToGrid w:val="0"/>
              <w:spacing w:line="240" w:lineRule="auto"/>
              <w:ind w:firstLine="0" w:firstLineChars="0"/>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w:t>
            </w:r>
          </w:p>
        </w:tc>
      </w:tr>
      <w:tr w14:paraId="6699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873" w:type="dxa"/>
            <w:gridSpan w:val="3"/>
            <w:shd w:val="clear" w:color="auto" w:fill="auto"/>
            <w:vAlign w:val="center"/>
          </w:tcPr>
          <w:p w14:paraId="3536AB2F">
            <w:pPr>
              <w:widowControl/>
              <w:adjustRightInd w:val="0"/>
              <w:snapToGrid w:val="0"/>
              <w:spacing w:line="240" w:lineRule="auto"/>
              <w:ind w:firstLine="0" w:firstLineChars="0"/>
              <w:jc w:val="center"/>
              <w:rPr>
                <w:rFonts w:hint="eastAsia" w:ascii="仿宋" w:hAnsi="仿宋" w:eastAsia="仿宋" w:cs="仿宋"/>
                <w:b/>
                <w:sz w:val="22"/>
                <w:szCs w:val="22"/>
              </w:rPr>
            </w:pPr>
            <w:r>
              <w:rPr>
                <w:rFonts w:hint="eastAsia" w:ascii="仿宋" w:hAnsi="仿宋" w:eastAsia="仿宋" w:cs="仿宋"/>
                <w:b/>
                <w:sz w:val="22"/>
                <w:szCs w:val="22"/>
                <w:lang w:val="zh-CN"/>
              </w:rPr>
              <w:t>合计</w:t>
            </w:r>
          </w:p>
        </w:tc>
        <w:tc>
          <w:tcPr>
            <w:tcW w:w="649" w:type="dxa"/>
            <w:shd w:val="clear" w:color="auto" w:fill="auto"/>
            <w:vAlign w:val="center"/>
          </w:tcPr>
          <w:p w14:paraId="313E789A">
            <w:pPr>
              <w:adjustRightInd w:val="0"/>
              <w:snapToGrid w:val="0"/>
              <w:spacing w:line="240" w:lineRule="auto"/>
              <w:ind w:firstLine="0" w:firstLineChars="0"/>
              <w:jc w:val="center"/>
              <w:rPr>
                <w:rFonts w:hint="default" w:ascii="仿宋" w:hAnsi="仿宋" w:eastAsia="仿宋" w:cs="仿宋"/>
                <w:b/>
                <w:sz w:val="22"/>
                <w:szCs w:val="22"/>
                <w:lang w:val="en-US" w:eastAsia="zh-CN"/>
              </w:rPr>
            </w:pPr>
            <w:r>
              <w:rPr>
                <w:rFonts w:hint="eastAsia" w:ascii="仿宋" w:hAnsi="仿宋" w:eastAsia="仿宋" w:cs="仿宋"/>
                <w:b/>
                <w:sz w:val="22"/>
                <w:szCs w:val="22"/>
                <w:lang w:val="en-US" w:eastAsia="zh-CN"/>
              </w:rPr>
              <w:t>100</w:t>
            </w:r>
          </w:p>
        </w:tc>
      </w:tr>
    </w:tbl>
    <w:p w14:paraId="57C8EA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8C43471"/>
    <w:rsid w:val="0B536D2E"/>
    <w:rsid w:val="0EE5679E"/>
    <w:rsid w:val="12782DAE"/>
    <w:rsid w:val="2C851B22"/>
    <w:rsid w:val="42227AF1"/>
    <w:rsid w:val="4E775E5C"/>
    <w:rsid w:val="4EA6122D"/>
    <w:rsid w:val="53682217"/>
    <w:rsid w:val="58133B49"/>
    <w:rsid w:val="596136CD"/>
    <w:rsid w:val="5DA152B8"/>
    <w:rsid w:val="60B77A39"/>
    <w:rsid w:val="73376C17"/>
    <w:rsid w:val="74B9247B"/>
    <w:rsid w:val="77345218"/>
    <w:rsid w:val="781F6A99"/>
    <w:rsid w:val="7917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华文仿宋" w:asciiTheme="minorHAnsi" w:hAnsiTheme="minorHAnsi" w:cstheme="minorBidi"/>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656</Words>
  <Characters>679</Characters>
  <Lines>0</Lines>
  <Paragraphs>0</Paragraphs>
  <TotalTime>0</TotalTime>
  <ScaleCrop>false</ScaleCrop>
  <LinksUpToDate>false</LinksUpToDate>
  <CharactersWithSpaces>679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2024-06-27T08:49:00Z</dcterms:created>
  <dc:creator>11798</dc:creator>
  <cp:lastModifiedBy>无聊的老H</cp:lastModifiedBy>
  <dcterms:modified xsi:type="dcterms:W3CDTF">2024-07-19T03:01:11Z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EC4C9B7B4B0C41A2A820C51E95F991FB_12</vt:lpwstr>
  </property>
</Properties>
</file>