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299"/>
        <w:gridCol w:w="6003"/>
        <w:gridCol w:w="649"/>
      </w:tblGrid>
      <w:tr w14:paraId="1153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571" w:type="dxa"/>
            <w:shd w:val="clear" w:color="auto" w:fill="auto"/>
            <w:vAlign w:val="center"/>
          </w:tcPr>
          <w:p w14:paraId="1EFB16B8">
            <w:pPr>
              <w:autoSpaceDN w:val="0"/>
              <w:adjustRightInd w:val="0"/>
              <w:snapToGrid w:val="0"/>
              <w:spacing w:line="240" w:lineRule="auto"/>
              <w:ind w:firstLine="0" w:firstLineChars="0"/>
              <w:jc w:val="center"/>
              <w:rPr>
                <w:rFonts w:hint="eastAsia" w:ascii="仿宋" w:hAnsi="仿宋" w:eastAsia="仿宋" w:cs="仿宋"/>
                <w:b/>
                <w:sz w:val="22"/>
                <w:szCs w:val="22"/>
              </w:rPr>
            </w:pPr>
            <w:r>
              <w:rPr>
                <w:rFonts w:hint="eastAsia" w:ascii="仿宋" w:hAnsi="仿宋" w:eastAsia="仿宋" w:cs="仿宋"/>
                <w:b/>
                <w:sz w:val="22"/>
                <w:szCs w:val="22"/>
              </w:rPr>
              <w:t>序号</w:t>
            </w:r>
          </w:p>
        </w:tc>
        <w:tc>
          <w:tcPr>
            <w:tcW w:w="1299" w:type="dxa"/>
            <w:shd w:val="clear" w:color="auto" w:fill="auto"/>
            <w:vAlign w:val="center"/>
          </w:tcPr>
          <w:p w14:paraId="062D778E">
            <w:pPr>
              <w:autoSpaceDN w:val="0"/>
              <w:adjustRightInd w:val="0"/>
              <w:snapToGrid w:val="0"/>
              <w:spacing w:line="240" w:lineRule="auto"/>
              <w:ind w:firstLine="0" w:firstLineChars="0"/>
              <w:jc w:val="center"/>
              <w:rPr>
                <w:rFonts w:hint="eastAsia" w:ascii="仿宋" w:hAnsi="仿宋" w:eastAsia="仿宋" w:cs="仿宋"/>
                <w:b/>
                <w:sz w:val="22"/>
                <w:szCs w:val="22"/>
              </w:rPr>
            </w:pPr>
            <w:r>
              <w:rPr>
                <w:rFonts w:hint="eastAsia" w:ascii="仿宋" w:hAnsi="仿宋" w:eastAsia="仿宋" w:cs="仿宋"/>
                <w:b/>
                <w:sz w:val="22"/>
                <w:szCs w:val="22"/>
              </w:rPr>
              <w:t>评分</w:t>
            </w:r>
          </w:p>
          <w:p w14:paraId="58E76360">
            <w:pPr>
              <w:autoSpaceDN w:val="0"/>
              <w:adjustRightInd w:val="0"/>
              <w:snapToGrid w:val="0"/>
              <w:spacing w:line="240" w:lineRule="auto"/>
              <w:ind w:firstLine="0" w:firstLineChars="0"/>
              <w:jc w:val="center"/>
              <w:rPr>
                <w:rFonts w:hint="eastAsia" w:ascii="仿宋" w:hAnsi="仿宋" w:eastAsia="仿宋" w:cs="仿宋"/>
                <w:b/>
                <w:sz w:val="22"/>
                <w:szCs w:val="22"/>
              </w:rPr>
            </w:pPr>
            <w:r>
              <w:rPr>
                <w:rFonts w:hint="eastAsia" w:ascii="仿宋" w:hAnsi="仿宋" w:eastAsia="仿宋" w:cs="仿宋"/>
                <w:b/>
                <w:sz w:val="22"/>
                <w:szCs w:val="22"/>
              </w:rPr>
              <w:t>因素</w:t>
            </w:r>
          </w:p>
        </w:tc>
        <w:tc>
          <w:tcPr>
            <w:tcW w:w="6003" w:type="dxa"/>
            <w:shd w:val="clear" w:color="auto" w:fill="auto"/>
            <w:vAlign w:val="center"/>
          </w:tcPr>
          <w:p w14:paraId="3B2EAC54">
            <w:pPr>
              <w:autoSpaceDN w:val="0"/>
              <w:adjustRightInd w:val="0"/>
              <w:snapToGrid w:val="0"/>
              <w:spacing w:line="240" w:lineRule="auto"/>
              <w:ind w:firstLine="0" w:firstLineChars="0"/>
              <w:jc w:val="center"/>
              <w:rPr>
                <w:rFonts w:hint="eastAsia" w:ascii="仿宋" w:hAnsi="仿宋" w:eastAsia="仿宋" w:cs="仿宋"/>
                <w:b/>
                <w:sz w:val="22"/>
                <w:szCs w:val="22"/>
              </w:rPr>
            </w:pPr>
            <w:r>
              <w:rPr>
                <w:rFonts w:hint="eastAsia" w:ascii="仿宋" w:hAnsi="仿宋" w:eastAsia="仿宋" w:cs="仿宋"/>
                <w:b/>
                <w:sz w:val="22"/>
                <w:szCs w:val="22"/>
              </w:rPr>
              <w:t>评分标准</w:t>
            </w:r>
          </w:p>
        </w:tc>
        <w:tc>
          <w:tcPr>
            <w:tcW w:w="649" w:type="dxa"/>
            <w:shd w:val="clear" w:color="auto" w:fill="auto"/>
            <w:vAlign w:val="center"/>
          </w:tcPr>
          <w:p w14:paraId="1A7391FE">
            <w:pPr>
              <w:autoSpaceDN w:val="0"/>
              <w:adjustRightInd w:val="0"/>
              <w:snapToGrid w:val="0"/>
              <w:spacing w:line="240" w:lineRule="auto"/>
              <w:ind w:firstLine="0" w:firstLineChars="0"/>
              <w:jc w:val="center"/>
              <w:rPr>
                <w:rFonts w:hint="eastAsia" w:ascii="仿宋" w:hAnsi="仿宋" w:eastAsia="仿宋" w:cs="仿宋"/>
                <w:b/>
                <w:sz w:val="22"/>
                <w:szCs w:val="22"/>
              </w:rPr>
            </w:pPr>
            <w:r>
              <w:rPr>
                <w:rFonts w:hint="eastAsia" w:ascii="仿宋" w:hAnsi="仿宋" w:eastAsia="仿宋" w:cs="仿宋"/>
                <w:b/>
                <w:sz w:val="22"/>
                <w:szCs w:val="22"/>
              </w:rPr>
              <w:t>分值</w:t>
            </w:r>
          </w:p>
        </w:tc>
      </w:tr>
      <w:tr w14:paraId="34A6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571" w:type="dxa"/>
            <w:shd w:val="clear" w:color="auto" w:fill="auto"/>
            <w:vAlign w:val="center"/>
          </w:tcPr>
          <w:p w14:paraId="134F1D52">
            <w:pPr>
              <w:adjustRightInd w:val="0"/>
              <w:snapToGrid w:val="0"/>
              <w:spacing w:line="240" w:lineRule="auto"/>
              <w:ind w:firstLine="0" w:firstLineChars="0"/>
              <w:jc w:val="center"/>
              <w:rPr>
                <w:rFonts w:hint="eastAsia" w:ascii="仿宋" w:hAnsi="仿宋" w:eastAsia="仿宋" w:cs="仿宋"/>
                <w:sz w:val="22"/>
                <w:szCs w:val="22"/>
              </w:rPr>
            </w:pPr>
            <w:r>
              <w:rPr>
                <w:rFonts w:hint="eastAsia" w:ascii="仿宋" w:hAnsi="仿宋" w:eastAsia="仿宋" w:cs="仿宋"/>
                <w:sz w:val="22"/>
                <w:szCs w:val="22"/>
              </w:rPr>
              <w:t>1</w:t>
            </w:r>
          </w:p>
        </w:tc>
        <w:tc>
          <w:tcPr>
            <w:tcW w:w="1299" w:type="dxa"/>
            <w:shd w:val="clear" w:color="auto" w:fill="auto"/>
            <w:vAlign w:val="center"/>
          </w:tcPr>
          <w:p w14:paraId="36903CB6">
            <w:pPr>
              <w:adjustRightInd w:val="0"/>
              <w:snapToGrid w:val="0"/>
              <w:spacing w:line="240" w:lineRule="auto"/>
              <w:ind w:firstLine="0" w:firstLineChars="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商务</w:t>
            </w:r>
          </w:p>
        </w:tc>
        <w:tc>
          <w:tcPr>
            <w:tcW w:w="6003" w:type="dxa"/>
            <w:shd w:val="clear" w:color="auto" w:fill="auto"/>
            <w:vAlign w:val="center"/>
          </w:tcPr>
          <w:p w14:paraId="4C5DB50C">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zh-CN"/>
                <w14:textFill>
                  <w14:solidFill>
                    <w14:schemeClr w14:val="tx1"/>
                  </w14:solidFill>
                </w14:textFill>
              </w:rPr>
              <w:t>采用低价优先法计算：即经评审满足招标文件要求且投标价格最低的投标报价为评标基准价，其价格分为满分</w:t>
            </w:r>
            <w:r>
              <w:rPr>
                <w:rFonts w:hint="eastAsia" w:ascii="仿宋" w:hAnsi="仿宋" w:eastAsia="仿宋" w:cs="仿宋"/>
                <w:color w:val="000000" w:themeColor="text1"/>
                <w:sz w:val="22"/>
                <w:szCs w:val="22"/>
                <w14:textFill>
                  <w14:solidFill>
                    <w14:schemeClr w14:val="tx1"/>
                  </w14:solidFill>
                </w14:textFill>
              </w:rPr>
              <w:t>30</w:t>
            </w:r>
            <w:r>
              <w:rPr>
                <w:rFonts w:hint="eastAsia" w:ascii="仿宋" w:hAnsi="仿宋" w:eastAsia="仿宋" w:cs="仿宋"/>
                <w:color w:val="000000" w:themeColor="text1"/>
                <w:sz w:val="22"/>
                <w:szCs w:val="22"/>
                <w:lang w:val="zh-CN"/>
                <w14:textFill>
                  <w14:solidFill>
                    <w14:schemeClr w14:val="tx1"/>
                  </w14:solidFill>
                </w14:textFill>
              </w:rPr>
              <w:t>分。投标人的价格分统一按照下列公式计算：投标报价得分＝（评标基准价/投标报价）×30％×100</w:t>
            </w:r>
          </w:p>
        </w:tc>
        <w:tc>
          <w:tcPr>
            <w:tcW w:w="649" w:type="dxa"/>
            <w:shd w:val="clear" w:color="auto" w:fill="auto"/>
            <w:vAlign w:val="center"/>
          </w:tcPr>
          <w:p w14:paraId="2F4F53F9">
            <w:pPr>
              <w:adjustRightInd w:val="0"/>
              <w:snapToGrid w:val="0"/>
              <w:spacing w:line="240" w:lineRule="auto"/>
              <w:ind w:firstLine="0" w:firstLineChars="0"/>
              <w:jc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30</w:t>
            </w:r>
          </w:p>
        </w:tc>
      </w:tr>
      <w:tr w14:paraId="1C9D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71" w:type="dxa"/>
            <w:shd w:val="clear" w:color="auto" w:fill="auto"/>
            <w:vAlign w:val="center"/>
          </w:tcPr>
          <w:p w14:paraId="1ED89CF8">
            <w:pPr>
              <w:adjustRightInd w:val="0"/>
              <w:snapToGrid w:val="0"/>
              <w:spacing w:line="240" w:lineRule="auto"/>
              <w:ind w:firstLine="0" w:firstLineChars="0"/>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w:t>
            </w:r>
          </w:p>
        </w:tc>
        <w:tc>
          <w:tcPr>
            <w:tcW w:w="1299" w:type="dxa"/>
            <w:shd w:val="clear" w:color="auto" w:fill="auto"/>
            <w:vAlign w:val="center"/>
          </w:tcPr>
          <w:p w14:paraId="3C4E94E6">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技术参数和配置</w:t>
            </w:r>
          </w:p>
          <w:p w14:paraId="5EF076B1">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p>
        </w:tc>
        <w:tc>
          <w:tcPr>
            <w:tcW w:w="6003" w:type="dxa"/>
            <w:shd w:val="clear" w:color="auto" w:fill="auto"/>
            <w:vAlign w:val="center"/>
          </w:tcPr>
          <w:p w14:paraId="1D8B7830">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1、对招标文件中所有技术参数全部满足的得满分。</w:t>
            </w:r>
          </w:p>
          <w:p w14:paraId="605DC6B7">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2、标“▲”项，为重要参数，共计1个，每响应一项，得7.8分，共计7.8分。</w:t>
            </w:r>
          </w:p>
          <w:p w14:paraId="5ED09DF4">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3、其余参数为普通参数，共计9项，每响应一项，得5.8分。共计52.2分</w:t>
            </w:r>
          </w:p>
          <w:p w14:paraId="7A4A3B5B">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注：以参数清单要求提供的证明材料作为评审依据。投标人制作技术标文件需自行编制页码，本项提供的“证明材料”建议在响应表内标注佐证材料所在页码以方便评审；</w:t>
            </w:r>
          </w:p>
          <w:p w14:paraId="19521F0B">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注：以参数清单要求提供的证明材料作为评审依据。</w:t>
            </w:r>
          </w:p>
        </w:tc>
        <w:tc>
          <w:tcPr>
            <w:tcW w:w="649" w:type="dxa"/>
            <w:shd w:val="clear" w:color="auto" w:fill="auto"/>
            <w:vAlign w:val="center"/>
          </w:tcPr>
          <w:p w14:paraId="63B738EA">
            <w:pPr>
              <w:tabs>
                <w:tab w:val="left" w:pos="720"/>
              </w:tabs>
              <w:adjustRightInd w:val="0"/>
              <w:snapToGrid w:val="0"/>
              <w:spacing w:line="240" w:lineRule="auto"/>
              <w:ind w:firstLine="0" w:firstLineChars="0"/>
              <w:jc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60</w:t>
            </w:r>
          </w:p>
        </w:tc>
      </w:tr>
      <w:tr w14:paraId="17B4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571" w:type="dxa"/>
            <w:shd w:val="clear" w:color="auto" w:fill="auto"/>
            <w:vAlign w:val="center"/>
          </w:tcPr>
          <w:p w14:paraId="3626CF19">
            <w:pPr>
              <w:adjustRightInd w:val="0"/>
              <w:snapToGrid w:val="0"/>
              <w:spacing w:line="240" w:lineRule="auto"/>
              <w:ind w:firstLine="0" w:firstLineChars="0"/>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2</w:t>
            </w:r>
          </w:p>
        </w:tc>
        <w:tc>
          <w:tcPr>
            <w:tcW w:w="1299" w:type="dxa"/>
            <w:shd w:val="clear" w:color="auto" w:fill="auto"/>
            <w:vAlign w:val="center"/>
          </w:tcPr>
          <w:p w14:paraId="274AB693">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免费质保期</w:t>
            </w:r>
          </w:p>
        </w:tc>
        <w:tc>
          <w:tcPr>
            <w:tcW w:w="6003" w:type="dxa"/>
            <w:shd w:val="clear" w:color="auto" w:fill="auto"/>
            <w:vAlign w:val="center"/>
          </w:tcPr>
          <w:p w14:paraId="0C6610F4">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免费质保三年，每延长一年得2.5分，最多得5分。</w:t>
            </w:r>
          </w:p>
          <w:p w14:paraId="19D72F0D">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（需提供相关质保期限承诺书，否则本项不得分。）</w:t>
            </w:r>
          </w:p>
        </w:tc>
        <w:tc>
          <w:tcPr>
            <w:tcW w:w="649" w:type="dxa"/>
            <w:shd w:val="clear" w:color="auto" w:fill="auto"/>
            <w:vAlign w:val="center"/>
          </w:tcPr>
          <w:p w14:paraId="1E01E5A6">
            <w:pPr>
              <w:tabs>
                <w:tab w:val="left" w:pos="720"/>
              </w:tabs>
              <w:adjustRightInd w:val="0"/>
              <w:snapToGrid w:val="0"/>
              <w:spacing w:line="240" w:lineRule="auto"/>
              <w:ind w:firstLine="0" w:firstLineChars="0"/>
              <w:jc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5</w:t>
            </w:r>
            <w:bookmarkStart w:id="0" w:name="_GoBack"/>
            <w:bookmarkEnd w:id="0"/>
          </w:p>
        </w:tc>
      </w:tr>
      <w:tr w14:paraId="5D1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571" w:type="dxa"/>
            <w:shd w:val="clear" w:color="auto" w:fill="auto"/>
            <w:vAlign w:val="center"/>
          </w:tcPr>
          <w:p w14:paraId="03C402D3">
            <w:pPr>
              <w:adjustRightInd w:val="0"/>
              <w:snapToGrid w:val="0"/>
              <w:spacing w:line="240" w:lineRule="auto"/>
              <w:ind w:firstLine="0" w:firstLineChars="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w:t>
            </w:r>
          </w:p>
        </w:tc>
        <w:tc>
          <w:tcPr>
            <w:tcW w:w="1299" w:type="dxa"/>
            <w:shd w:val="clear" w:color="auto" w:fill="auto"/>
            <w:vAlign w:val="center"/>
          </w:tcPr>
          <w:p w14:paraId="02F5E9B2">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售后服务能力、措施</w:t>
            </w:r>
          </w:p>
        </w:tc>
        <w:tc>
          <w:tcPr>
            <w:tcW w:w="6003" w:type="dxa"/>
            <w:shd w:val="clear" w:color="auto" w:fill="auto"/>
            <w:vAlign w:val="top"/>
          </w:tcPr>
          <w:p w14:paraId="627A9ABA">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1、售后响应时间：2小时以内。</w:t>
            </w:r>
          </w:p>
          <w:p w14:paraId="6241B04F">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2、报修后故障修复时间：3个工作日，超过此时间需提供备用机。</w:t>
            </w:r>
          </w:p>
          <w:p w14:paraId="0965965A">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3、维保期内每年至少巡检2次。</w:t>
            </w:r>
          </w:p>
          <w:p w14:paraId="43FBB906">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售后服务措施须包含或优于以上内容，评审根据投标文件中提供的售后服务方案与措施进行评比：</w:t>
            </w:r>
          </w:p>
          <w:p w14:paraId="73534026">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1.包括保修内容与范围、维修响应时间、售后服务等，方案完善可行性强，科学合理，完全满足项目采购需求的得5分；</w:t>
            </w:r>
          </w:p>
          <w:p w14:paraId="5D1D4D81">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2.包括保修内容与范围、维修响应时间、售后服务等，方案完善可行性较强，无明显逻辑错误，无关键点缺失的得4分；</w:t>
            </w:r>
          </w:p>
          <w:p w14:paraId="18EE6B9E">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3.包括保修内容与范围、维修响应时间、售后服务等，方案内容缺失，且出现非专门针对本项目特性内容的得3分；</w:t>
            </w:r>
          </w:p>
          <w:p w14:paraId="7B586D06">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4.方案不能满足项目实施要求或未提供相关内容的不得分。</w:t>
            </w:r>
          </w:p>
        </w:tc>
        <w:tc>
          <w:tcPr>
            <w:tcW w:w="649" w:type="dxa"/>
            <w:shd w:val="clear" w:color="auto" w:fill="auto"/>
            <w:vAlign w:val="center"/>
          </w:tcPr>
          <w:p w14:paraId="45361696">
            <w:pPr>
              <w:tabs>
                <w:tab w:val="left" w:pos="720"/>
              </w:tabs>
              <w:adjustRightInd w:val="0"/>
              <w:snapToGrid w:val="0"/>
              <w:spacing w:line="240" w:lineRule="auto"/>
              <w:ind w:firstLine="0" w:firstLineChars="0"/>
              <w:jc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5</w:t>
            </w:r>
          </w:p>
        </w:tc>
      </w:tr>
      <w:tr w14:paraId="6699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873" w:type="dxa"/>
            <w:gridSpan w:val="3"/>
            <w:shd w:val="clear" w:color="auto" w:fill="auto"/>
            <w:vAlign w:val="center"/>
          </w:tcPr>
          <w:p w14:paraId="3536AB2F">
            <w:pPr>
              <w:widowControl/>
              <w:adjustRightInd w:val="0"/>
              <w:snapToGrid w:val="0"/>
              <w:spacing w:line="240" w:lineRule="auto"/>
              <w:ind w:firstLine="0" w:firstLineChars="0"/>
              <w:jc w:val="center"/>
              <w:rPr>
                <w:rFonts w:hint="eastAsia" w:ascii="仿宋" w:hAnsi="仿宋" w:eastAsia="仿宋" w:cs="仿宋"/>
                <w:b/>
                <w:sz w:val="22"/>
                <w:szCs w:val="22"/>
              </w:rPr>
            </w:pPr>
            <w:r>
              <w:rPr>
                <w:rFonts w:hint="eastAsia" w:ascii="仿宋" w:hAnsi="仿宋" w:eastAsia="仿宋" w:cs="仿宋"/>
                <w:b/>
                <w:sz w:val="22"/>
                <w:szCs w:val="22"/>
                <w:lang w:val="zh-CN"/>
              </w:rPr>
              <w:t>合计</w:t>
            </w:r>
          </w:p>
        </w:tc>
        <w:tc>
          <w:tcPr>
            <w:tcW w:w="649" w:type="dxa"/>
            <w:shd w:val="clear" w:color="auto" w:fill="auto"/>
            <w:vAlign w:val="center"/>
          </w:tcPr>
          <w:p w14:paraId="313E789A">
            <w:pPr>
              <w:adjustRightInd w:val="0"/>
              <w:snapToGrid w:val="0"/>
              <w:spacing w:line="240" w:lineRule="auto"/>
              <w:ind w:firstLine="0" w:firstLineChars="0"/>
              <w:jc w:val="center"/>
              <w:rPr>
                <w:rFonts w:hint="default" w:ascii="仿宋" w:hAnsi="仿宋" w:eastAsia="仿宋" w:cs="仿宋"/>
                <w:b/>
                <w:sz w:val="22"/>
                <w:szCs w:val="22"/>
                <w:lang w:val="en-US" w:eastAsia="zh-CN"/>
              </w:rPr>
            </w:pPr>
            <w:r>
              <w:rPr>
                <w:rFonts w:hint="eastAsia" w:ascii="仿宋" w:hAnsi="仿宋" w:eastAsia="仿宋" w:cs="仿宋"/>
                <w:b/>
                <w:sz w:val="22"/>
                <w:szCs w:val="22"/>
                <w:lang w:val="en-US" w:eastAsia="zh-CN"/>
              </w:rPr>
              <w:t>100</w:t>
            </w:r>
          </w:p>
        </w:tc>
      </w:tr>
    </w:tbl>
    <w:p w14:paraId="57C8EAD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000000"/>
    <w:rsid w:val="08C43471"/>
    <w:rsid w:val="0B536D2E"/>
    <w:rsid w:val="12782DAE"/>
    <w:rsid w:val="42227AF1"/>
    <w:rsid w:val="4EA6122D"/>
    <w:rsid w:val="53682217"/>
    <w:rsid w:val="58133B49"/>
    <w:rsid w:val="596136CD"/>
    <w:rsid w:val="5DA152B8"/>
    <w:rsid w:val="73376C17"/>
    <w:rsid w:val="74B9247B"/>
    <w:rsid w:val="77345218"/>
    <w:rsid w:val="781F6A99"/>
    <w:rsid w:val="7917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华文仿宋" w:asciiTheme="minorHAnsi" w:hAnsiTheme="minorHAnsi" w:cstheme="minorBidi"/>
      <w:kern w:val="2"/>
      <w:sz w:val="2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679</Words>
  <Characters>699</Characters>
  <Lines>0</Lines>
  <Paragraphs>0</Paragraphs>
  <TotalTime>0</TotalTime>
  <ScaleCrop>false</ScaleCrop>
  <LinksUpToDate>false</LinksUpToDate>
  <CharactersWithSpaces>699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2024-06-27T08:49:00Z</dcterms:created>
  <dc:creator>11798</dc:creator>
  <cp:lastModifiedBy>无聊的老H</cp:lastModifiedBy>
  <dcterms:modified xsi:type="dcterms:W3CDTF">2024-07-19T00:49:45Z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EC4C9B7B4B0C41A2A820C51E95F991FB_12</vt:lpwstr>
  </property>
</Properties>
</file>