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滁州市第一人民医院儿童医院移动dr无线平板探测器采购项目       </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CZYY-2024-11</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2024年10月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19"/>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7A093FD8">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9</w:t>
      </w:r>
      <w:r>
        <w:fldChar w:fldCharType="end"/>
      </w:r>
      <w:r>
        <w:rPr>
          <w:rFonts w:ascii="宋体" w:hAnsi="宋体" w:eastAsia="宋体"/>
          <w:color w:val="auto"/>
          <w:szCs w:val="24"/>
          <w:highlight w:val="none"/>
        </w:rPr>
        <w:fldChar w:fldCharType="end"/>
      </w:r>
    </w:p>
    <w:p w14:paraId="34F3831E">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fldChar w:fldCharType="begin"/>
      </w:r>
      <w:r>
        <w:instrText xml:space="preserve"> PAGEREF _Toc16417 \h </w:instrText>
      </w:r>
      <w:r>
        <w:fldChar w:fldCharType="separate"/>
      </w:r>
      <w:r>
        <w:t>2</w:t>
      </w:r>
      <w:r>
        <w:rPr>
          <w:rFonts w:hint="eastAsia"/>
          <w:lang w:val="en-US" w:eastAsia="zh-CN"/>
        </w:rPr>
        <w:t>2</w:t>
      </w:r>
      <w:r>
        <w:fldChar w:fldCharType="end"/>
      </w:r>
      <w:r>
        <w:rPr>
          <w:rFonts w:ascii="宋体" w:hAnsi="宋体" w:eastAsia="宋体"/>
          <w:color w:val="auto"/>
          <w:szCs w:val="24"/>
          <w:highlight w:val="none"/>
        </w:rPr>
        <w:fldChar w:fldCharType="end"/>
      </w:r>
    </w:p>
    <w:p w14:paraId="2ED683A2">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4</w:t>
      </w:r>
      <w:r>
        <w:fldChar w:fldCharType="end"/>
      </w:r>
      <w:r>
        <w:rPr>
          <w:rFonts w:ascii="宋体" w:hAnsi="宋体" w:eastAsia="宋体"/>
          <w:color w:val="auto"/>
          <w:szCs w:val="24"/>
          <w:highlight w:val="none"/>
        </w:rPr>
        <w:fldChar w:fldCharType="end"/>
      </w:r>
    </w:p>
    <w:p w14:paraId="2ED12BE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75D72AD5">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3342C826">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滁州市第一人民医院儿童医院移动dr无线平板探测器采购项目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2024年</w:t>
      </w:r>
      <w:r>
        <w:rPr>
          <w:rFonts w:hint="eastAsia" w:ascii="宋体" w:hAnsi="宋体" w:eastAsia="宋体"/>
          <w:color w:val="auto"/>
          <w:sz w:val="24"/>
          <w:highlight w:val="yellow"/>
          <w:u w:val="single"/>
          <w:lang w:val="en-US" w:eastAsia="zh-CN"/>
        </w:rPr>
        <w:t>10</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15</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CZYY-2024-11</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滁州市第一人民医院儿童医院移动dr无线平板探测器采购项目</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14万元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14万元，高于最高限价其投标文件按无效投标处理。</w:t>
      </w:r>
    </w:p>
    <w:p w14:paraId="299620DF">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儿童医院移动dr无线平板探测器故障，现品牌为GE，型号为Optima XR240amx，需更换无线平板探测器</w:t>
      </w:r>
    </w:p>
    <w:p w14:paraId="7A37A236">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不得高于30个日历天</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136565AF">
      <w:pPr>
        <w:spacing w:line="360" w:lineRule="auto"/>
        <w:ind w:firstLine="435"/>
        <w:outlineLvl w:val="9"/>
        <w:rPr>
          <w:rFonts w:hint="eastAsia" w:ascii="宋体" w:hAnsi="宋体" w:eastAsia="宋体"/>
          <w:color w:val="auto"/>
          <w:sz w:val="24"/>
          <w:highlight w:val="yellow"/>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10</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10</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10</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15</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2024</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10</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15</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10</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14</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2B3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C8A840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55B1CE0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2AB82A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428EF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3B557A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14C47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456E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781EC69">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4BD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94C69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4844DF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29524BA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5E240D8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39FFE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159AC328">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5B884AD1">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2A62AEF">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431B574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w:t>
            </w:r>
            <w:bookmarkStart w:id="92" w:name="_GoBack"/>
            <w:bookmarkEnd w:id="92"/>
            <w:r>
              <w:rPr>
                <w:rFonts w:hint="eastAsia" w:ascii="宋体" w:hAnsi="宋体" w:eastAsia="宋体" w:cs="宋体"/>
                <w:b w:val="0"/>
                <w:bCs w:val="0"/>
                <w:color w:val="auto"/>
                <w:sz w:val="24"/>
                <w:szCs w:val="24"/>
                <w:highlight w:val="none"/>
                <w:lang w:val="en-US" w:eastAsia="zh-CN"/>
              </w:rPr>
              <w:t>个工作日内签订合同。</w:t>
            </w:r>
          </w:p>
          <w:p w14:paraId="240507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1050元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A5B29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6E0FA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B2F0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700A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18D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28C3A8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10160E7D">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合同签订、货物到场后付至合同价款的40%，安装调试设备正常使用后付至合同价款的90%，货物经采购人验收合格后付至合同价款的100%。</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1EBB83D1">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0919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D26336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1C9D25DB">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BC012F">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不少于三年 </w:t>
            </w:r>
          </w:p>
        </w:tc>
      </w:tr>
    </w:tbl>
    <w:p w14:paraId="2C6A9A81">
      <w:pPr>
        <w:numPr>
          <w:ilvl w:val="0"/>
          <w:numId w:val="0"/>
        </w:numPr>
        <w:spacing w:line="360" w:lineRule="auto"/>
        <w:ind w:firstLine="482" w:firstLineChars="200"/>
        <w:outlineLvl w:val="1"/>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lang w:val="en-US" w:eastAsia="zh-CN"/>
        </w:rPr>
        <w:t>货物需求</w:t>
      </w:r>
    </w:p>
    <w:p w14:paraId="59073F5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无线平板探测器：</w:t>
      </w:r>
    </w:p>
    <w:p w14:paraId="0EF01CB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1、探测器类型：非晶硅平板探测器；</w:t>
      </w:r>
    </w:p>
    <w:p w14:paraId="132F4DA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2、荧光材料：碘化铯；</w:t>
      </w:r>
    </w:p>
    <w:p w14:paraId="67ED6C8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3、有效成像区域：14inch×17inch；</w:t>
      </w:r>
    </w:p>
    <w:p w14:paraId="4622C72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4、像素阵列：≥2034×2800；</w:t>
      </w:r>
    </w:p>
    <w:p w14:paraId="2D57B79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5、像素尺寸：≥140μm；</w:t>
      </w:r>
    </w:p>
    <w:p w14:paraId="19D8161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6、图像传输方式：无线传输；</w:t>
      </w:r>
    </w:p>
    <w:p w14:paraId="4751A08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7、平板探测器供电模式：标配电池供电、电缆供电两种模式；</w:t>
      </w:r>
    </w:p>
    <w:p w14:paraId="1D44831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8、电池：可拆卸电池，电池续航≥7小时；</w:t>
      </w:r>
    </w:p>
    <w:p w14:paraId="106FBEE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9、DQE：DQE≥60% @ 0 lp/mm （提供技术白皮书复印件说明）；</w:t>
      </w:r>
    </w:p>
    <w:p w14:paraId="5E2C7E2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10、MTF：MTF≥60% @ 1 lp/mm（提供技术白皮书复印件说明）；</w:t>
      </w:r>
    </w:p>
    <w:p w14:paraId="3530823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11、最大线性曝光剂量：≥70μGy；</w:t>
      </w:r>
    </w:p>
    <w:p w14:paraId="244AFD0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12、模拟数字转换：≥16bit；</w:t>
      </w:r>
    </w:p>
    <w:p w14:paraId="0B516B9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13、图像读出时间：≤2秒；</w:t>
      </w:r>
    </w:p>
    <w:p w14:paraId="0E8DDBD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14、灵敏度：≤0.62ct/nGy；</w:t>
      </w:r>
    </w:p>
    <w:p w14:paraId="07E3384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15、线性动态范围：≥80dB；</w:t>
      </w:r>
    </w:p>
    <w:p w14:paraId="5D757D0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16、图像和数据通讯：千兆以太网（GbitE）, 双频无线(2.4/5GHz，300Mbps)；</w:t>
      </w:r>
    </w:p>
    <w:p w14:paraId="25696C4C">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17、同步方式：全视野AED同步、手动同步；</w:t>
      </w:r>
    </w:p>
    <w:p w14:paraId="49DBE5E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18、标配一键校准功能，可以在1分钟内完成整个平板探测器校准流程；</w:t>
      </w:r>
    </w:p>
    <w:p w14:paraId="77CD1131">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19、外罩材料：碳纤维板高强度铝合金；</w:t>
      </w:r>
    </w:p>
    <w:p w14:paraId="28FBC70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20、探测器外形机械尺寸：≤460mm ×460mm ×15mm；</w:t>
      </w:r>
    </w:p>
    <w:p w14:paraId="5605923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21、探测器重量: ≤4.6kg；</w:t>
      </w:r>
    </w:p>
    <w:p w14:paraId="1D469D5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22、探测器把手：高强度合金内嵌式磁吸把手。</w:t>
      </w:r>
    </w:p>
    <w:p w14:paraId="1BF5D450">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采集工作站：</w:t>
      </w:r>
    </w:p>
    <w:p w14:paraId="0F2A1B4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1、DICOM3.0 标准的Worklist 查询服务，可通过HIS/PACS 查询病例资料；</w:t>
      </w:r>
    </w:p>
    <w:p w14:paraId="52D90EA9">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支持与RIS/HIS系统检查部位自动匹配功能</w:t>
      </w:r>
      <w:r>
        <w:rPr>
          <w:rFonts w:hint="eastAsia" w:ascii="宋体" w:hAnsi="宋体" w:eastAsia="宋体"/>
          <w:color w:val="auto"/>
          <w:sz w:val="24"/>
          <w:highlight w:val="none"/>
          <w:lang w:val="en-US" w:eastAsia="zh-CN"/>
        </w:rPr>
        <w:t>；</w:t>
      </w:r>
    </w:p>
    <w:p w14:paraId="6EDC0233">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图像</w:t>
      </w:r>
      <w:r>
        <w:rPr>
          <w:rFonts w:hint="eastAsia" w:ascii="宋体" w:hAnsi="宋体" w:eastAsia="宋体"/>
          <w:color w:val="auto"/>
          <w:sz w:val="24"/>
          <w:highlight w:val="none"/>
          <w:lang w:val="en-US" w:eastAsia="zh-CN"/>
        </w:rPr>
        <w:t>采集：可从软件直接调出各体位拍摄的参考曝光参数，自动设置高压曝光参数数字摄影功能。配置正负片图像采集，实时自动窗宽窗位调节，实时边缘增强。根据不同体位选择镜像和旋转。可显示病人信息/检查信息/设备信息/图像信息，实时提示系统可存储的图像数量；</w:t>
      </w:r>
    </w:p>
    <w:p w14:paraId="72C54520">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r>
        <w:rPr>
          <w:rFonts w:hint="default" w:ascii="宋体" w:hAnsi="宋体" w:eastAsia="宋体"/>
          <w:color w:val="auto"/>
          <w:sz w:val="24"/>
          <w:highlight w:val="none"/>
          <w:lang w:val="en-US" w:eastAsia="zh-CN"/>
        </w:rPr>
        <w:t>图像处理</w:t>
      </w:r>
      <w:r>
        <w:rPr>
          <w:rFonts w:hint="eastAsia" w:ascii="宋体" w:hAnsi="宋体" w:eastAsia="宋体"/>
          <w:color w:val="auto"/>
          <w:sz w:val="24"/>
          <w:highlight w:val="none"/>
          <w:lang w:val="en-US" w:eastAsia="zh-CN"/>
        </w:rPr>
        <w:t>：支持窗宽、窗位调整，正负片转换、图像缩放、平移、镜像、旋转、放大镜显示。可选择感兴趣区域的原始显示、全屏显示、直方图显示、窗宽窗位调整等。图像标注功能，包括方位和文字。实时自动ROI 裁剪。配备手动图像全景拼接功能，去除滤线栅功能；</w:t>
      </w:r>
    </w:p>
    <w:p w14:paraId="009C2CB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5、打印、图像输出：支持本地打印、纸质打印。DICOM3.0 标准的激光相机输出，可方便地选择配置好的方案（胶片尺寸、排版）打印。图像格式支持dcm、bmp、jpg等格式导出；</w:t>
      </w:r>
    </w:p>
    <w:p w14:paraId="292A93F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r>
        <w:rPr>
          <w:rFonts w:hint="default" w:ascii="宋体" w:hAnsi="宋体" w:eastAsia="宋体"/>
          <w:color w:val="auto"/>
          <w:sz w:val="24"/>
          <w:highlight w:val="none"/>
          <w:lang w:val="en-US" w:eastAsia="zh-CN"/>
        </w:rPr>
        <w:t>报告输出</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支持图文报告</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患者检查报告单编辑、保存、打印输出功能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标准报告模板新增、编辑、保存功能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支持报告PDF、bmp、jpg、png</w:t>
      </w:r>
      <w:r>
        <w:rPr>
          <w:rFonts w:hint="eastAsia" w:ascii="宋体" w:hAnsi="宋体" w:eastAsia="宋体"/>
          <w:color w:val="auto"/>
          <w:sz w:val="24"/>
          <w:highlight w:val="none"/>
          <w:lang w:val="en-US" w:eastAsia="zh-CN"/>
        </w:rPr>
        <w:t>等</w:t>
      </w:r>
      <w:r>
        <w:rPr>
          <w:rFonts w:hint="default" w:ascii="宋体" w:hAnsi="宋体" w:eastAsia="宋体"/>
          <w:color w:val="auto"/>
          <w:sz w:val="24"/>
          <w:highlight w:val="none"/>
          <w:lang w:val="en-US" w:eastAsia="zh-CN"/>
        </w:rPr>
        <w:t>格式导出</w:t>
      </w:r>
      <w:r>
        <w:rPr>
          <w:rFonts w:hint="eastAsia" w:ascii="宋体" w:hAnsi="宋体" w:eastAsia="宋体"/>
          <w:color w:val="auto"/>
          <w:sz w:val="24"/>
          <w:highlight w:val="none"/>
          <w:lang w:val="en-US" w:eastAsia="zh-CN"/>
        </w:rPr>
        <w:t>。</w:t>
      </w:r>
    </w:p>
    <w:p w14:paraId="3EE79251">
      <w:pPr>
        <w:spacing w:line="360" w:lineRule="auto"/>
        <w:ind w:firstLine="435"/>
        <w:rPr>
          <w:rFonts w:hint="default" w:ascii="宋体" w:hAnsi="宋体" w:eastAsia="宋体"/>
          <w:b/>
          <w:bCs/>
          <w:color w:val="0000FF"/>
          <w:sz w:val="24"/>
          <w:highlight w:val="yellow"/>
          <w:lang w:val="en-US" w:eastAsia="zh-CN"/>
        </w:rPr>
      </w:pPr>
      <w:r>
        <w:rPr>
          <w:rFonts w:hint="eastAsia" w:ascii="宋体" w:hAnsi="宋体" w:eastAsia="宋体"/>
          <w:b/>
          <w:bCs/>
          <w:color w:val="0000FF"/>
          <w:sz w:val="24"/>
          <w:highlight w:val="yellow"/>
          <w:lang w:val="en-US" w:eastAsia="zh-CN"/>
        </w:rPr>
        <w:t>注：按要求提供相应证明材料，未要求参数明确是否响应即可，满足或优于上述技术参数需求的均视为响应。</w:t>
      </w:r>
    </w:p>
    <w:p w14:paraId="5817C17E">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3" w:name="_Toc20717"/>
      <w:bookmarkStart w:id="34" w:name="_Toc16414"/>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报价要求</w:t>
      </w:r>
      <w:bookmarkEnd w:id="33"/>
      <w:bookmarkEnd w:id="34"/>
    </w:p>
    <w:p w14:paraId="32A3680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7A984C1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7F2BF18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2514F5B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rPr>
      </w:pPr>
      <w:r>
        <w:rPr>
          <w:rFonts w:hint="eastAsia" w:ascii="宋体" w:hAnsi="宋体" w:eastAsia="宋体" w:cs="宋体"/>
          <w:color w:val="000000"/>
          <w:kern w:val="0"/>
          <w:sz w:val="24"/>
          <w:szCs w:val="24"/>
          <w:highlight w:val="none"/>
          <w:lang w:val="en-US" w:eastAsia="zh-CN"/>
        </w:rPr>
        <w:t>4.综合单价包括：设备费、运输费、实施过程中所需产生的第三方检测等费用、管理费、利润、风险费用、调试、培训及后期服务及国家对中标单位征收的各种税费等所有一切费用，综合单价今后将不作任何调整。</w:t>
      </w:r>
    </w:p>
    <w:p w14:paraId="1B9E8588">
      <w:pPr>
        <w:spacing w:line="360" w:lineRule="auto"/>
        <w:ind w:firstLine="437"/>
        <w:outlineLvl w:val="1"/>
        <w:rPr>
          <w:rFonts w:hint="eastAsia" w:ascii="宋体" w:hAnsi="宋体" w:eastAsia="宋体"/>
          <w:b/>
          <w:color w:val="auto"/>
          <w:sz w:val="24"/>
          <w:szCs w:val="18"/>
          <w:highlight w:val="none"/>
        </w:rPr>
      </w:pPr>
      <w:bookmarkStart w:id="35" w:name="_Toc8283"/>
      <w:bookmarkStart w:id="36" w:name="_Toc18794"/>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、其他要求</w:t>
      </w:r>
      <w:bookmarkEnd w:id="35"/>
      <w:bookmarkEnd w:id="36"/>
    </w:p>
    <w:p w14:paraId="07520CC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7" w:name="_Toc4328"/>
      <w:bookmarkStart w:id="38" w:name="_Toc4682"/>
      <w:r>
        <w:rPr>
          <w:rFonts w:hint="eastAsia" w:asciiTheme="minorEastAsia" w:hAnsiTheme="minorEastAsia" w:eastAsiaTheme="minorEastAsia"/>
          <w:b/>
          <w:color w:val="auto"/>
          <w:sz w:val="28"/>
          <w:highlight w:val="none"/>
        </w:rPr>
        <w:t>第四章  评标方法和标准（最低评标价法）</w:t>
      </w:r>
      <w:bookmarkEnd w:id="37"/>
    </w:p>
    <w:p w14:paraId="61A6DC8A">
      <w:pPr>
        <w:spacing w:line="360" w:lineRule="auto"/>
        <w:ind w:firstLine="437"/>
        <w:outlineLvl w:val="1"/>
        <w:rPr>
          <w:rFonts w:asciiTheme="minorEastAsia" w:hAnsiTheme="minorEastAsia" w:eastAsiaTheme="minorEastAsia"/>
          <w:b/>
          <w:color w:val="auto"/>
          <w:sz w:val="24"/>
          <w:highlight w:val="none"/>
        </w:rPr>
      </w:pPr>
      <w:bookmarkStart w:id="39" w:name="_Toc6560"/>
      <w:bookmarkStart w:id="40" w:name="_Toc22115"/>
      <w:r>
        <w:rPr>
          <w:rFonts w:hint="eastAsia" w:asciiTheme="minorEastAsia" w:hAnsiTheme="minorEastAsia" w:eastAsiaTheme="minorEastAsia"/>
          <w:b/>
          <w:color w:val="auto"/>
          <w:sz w:val="24"/>
          <w:highlight w:val="none"/>
        </w:rPr>
        <w:t>一、总则</w:t>
      </w:r>
      <w:bookmarkEnd w:id="39"/>
      <w:bookmarkEnd w:id="40"/>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41" w:name="_Toc27343"/>
      <w:bookmarkStart w:id="42" w:name="_Toc28533"/>
      <w:r>
        <w:rPr>
          <w:rFonts w:hint="eastAsia" w:asciiTheme="minorEastAsia" w:hAnsiTheme="minorEastAsia" w:eastAsiaTheme="minorEastAsia"/>
          <w:b/>
          <w:color w:val="auto"/>
          <w:sz w:val="24"/>
          <w:highlight w:val="none"/>
        </w:rPr>
        <w:t>二、评标方法</w:t>
      </w:r>
      <w:bookmarkEnd w:id="41"/>
      <w:bookmarkEnd w:id="42"/>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43"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20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E791D4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5986E26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76A252A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3D8A62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34B2374">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C72CBE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3"/>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86EABF">
      <w:pPr>
        <w:spacing w:line="360" w:lineRule="auto"/>
        <w:jc w:val="center"/>
        <w:outlineLvl w:val="0"/>
        <w:rPr>
          <w:rFonts w:asciiTheme="minorEastAsia" w:hAnsiTheme="minorEastAsia" w:eastAsiaTheme="minorEastAsia"/>
          <w:color w:val="auto"/>
          <w:sz w:val="24"/>
          <w:highlight w:val="none"/>
        </w:rPr>
      </w:pP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67F8FB89">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4" w:name="_Toc20313"/>
    </w:p>
    <w:p w14:paraId="136E231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9"/>
        <w:rPr>
          <w:rFonts w:hint="eastAsia" w:ascii="宋体" w:hAnsi="宋体" w:eastAsia="宋体" w:cs="宋体"/>
          <w:b/>
          <w:bCs/>
          <w:spacing w:val="-20"/>
          <w:kern w:val="44"/>
          <w:sz w:val="24"/>
          <w:szCs w:val="24"/>
          <w:highlight w:val="none"/>
        </w:rPr>
      </w:pPr>
    </w:p>
    <w:p w14:paraId="6595AD53">
      <w:pPr>
        <w:pStyle w:val="9"/>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9"/>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4738C2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5" w:name="_Toc22209"/>
      <w:r>
        <w:rPr>
          <w:rFonts w:hint="eastAsia" w:ascii="宋体" w:hAnsi="宋体" w:eastAsia="宋体" w:cs="@仿宋_GB2312"/>
          <w:b/>
          <w:color w:val="000000"/>
          <w:sz w:val="24"/>
          <w:szCs w:val="20"/>
          <w:highlight w:val="none"/>
        </w:rPr>
        <w:t>第一节 政府采购合同协议书</w:t>
      </w:r>
      <w:bookmarkEnd w:id="45"/>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00628DB">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滁州市第一人民医院儿童医院移动dr无线平板探测器采购项目</w:t>
      </w:r>
      <w:r>
        <w:rPr>
          <w:rFonts w:hint="eastAsia" w:ascii="宋体" w:hAnsi="宋体" w:eastAsia="宋体" w:cs="宋体"/>
          <w:sz w:val="24"/>
          <w:szCs w:val="24"/>
          <w:highlight w:val="none"/>
          <w:u w:val="single"/>
        </w:rPr>
        <w:t xml:space="preserve"> </w:t>
      </w:r>
    </w:p>
    <w:p w14:paraId="20C3D1DA">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CZYY-2024-11</w:t>
      </w:r>
      <w:r>
        <w:rPr>
          <w:rFonts w:hint="eastAsia" w:ascii="宋体" w:hAnsi="宋体" w:eastAsia="宋体" w:cs="宋体"/>
          <w:sz w:val="24"/>
          <w:szCs w:val="24"/>
          <w:highlight w:val="none"/>
          <w:u w:val="single"/>
        </w:rPr>
        <w:t xml:space="preserve"> </w:t>
      </w:r>
    </w:p>
    <w:p w14:paraId="6D605F12">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6406DC5">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AF0E848">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9B92578">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2E553A3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2737C22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15390E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7133724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697F723A">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2915E5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5722D4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4AFCE2D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7B4DADC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2"/>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6"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6"/>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7"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FBC4CF5">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842DB9D">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93472C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0C388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C4E80FA">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31F24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38AC3A5">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60AA0B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FBEFE0A">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2A2F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498E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13BCEC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7A24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7099B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0E5A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1B2B54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FE4A79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E1F34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1D4C5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2AF7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EC19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AFB4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5CE8DB5">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1"/>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7"/>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不少于三年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合同签订、货物到场后付至合同价款的40%，安装调试设备正常使用后付至合同价款的90%，货物经采购人验收合格后付至合同价款的100%</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因本合同及合同有关事项发生的争议，按下列第（1）种方式解决：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4"/>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8037"/>
      <w:bookmarkStart w:id="54"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7BA4E9AA">
      <w:pPr>
        <w:pStyle w:val="14"/>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9"/>
        <w:rPr>
          <w:rFonts w:hint="eastAsia" w:ascii="宋体" w:hAnsi="宋体" w:eastAsia="宋体" w:cs="宋体"/>
          <w:color w:val="000000"/>
          <w:kern w:val="0"/>
          <w:sz w:val="24"/>
          <w:szCs w:val="24"/>
          <w:highlight w:val="none"/>
          <w:lang w:val="en-US" w:eastAsia="zh-CN"/>
        </w:rPr>
      </w:pPr>
    </w:p>
    <w:p w14:paraId="3B292636">
      <w:pPr>
        <w:pStyle w:val="9"/>
        <w:rPr>
          <w:rFonts w:hint="eastAsia" w:ascii="宋体" w:hAnsi="宋体" w:eastAsia="宋体" w:cs="宋体"/>
          <w:color w:val="000000"/>
          <w:kern w:val="0"/>
          <w:sz w:val="24"/>
          <w:szCs w:val="24"/>
          <w:highlight w:val="none"/>
          <w:lang w:val="en-US" w:eastAsia="zh-CN"/>
        </w:rPr>
      </w:pPr>
    </w:p>
    <w:p w14:paraId="78EAF3D3">
      <w:pPr>
        <w:pStyle w:val="9"/>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BF671F2">
      <w:pPr>
        <w:pStyle w:val="13"/>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8" w:name="_Toc457768004"/>
      <w:bookmarkStart w:id="59" w:name="_Toc300210382"/>
      <w:bookmarkStart w:id="60" w:name="_Toc520299348"/>
      <w:bookmarkStart w:id="61" w:name="_Toc25813"/>
      <w:bookmarkStart w:id="62" w:name="_Toc26536"/>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31244"/>
      <w:bookmarkStart w:id="65" w:name="_Toc9573"/>
      <w:bookmarkStart w:id="66" w:name="OLE_LINK13"/>
      <w:bookmarkStart w:id="67" w:name="OLE_LINK14"/>
      <w:r>
        <w:rPr>
          <w:rFonts w:hint="eastAsia" w:asciiTheme="minorEastAsia" w:hAnsiTheme="minorEastAsia" w:eastAsiaTheme="minorEastAsia"/>
          <w:b/>
          <w:color w:val="auto"/>
          <w:sz w:val="24"/>
          <w:highlight w:val="none"/>
          <w:lang w:val="en-US" w:eastAsia="zh-CN"/>
        </w:rPr>
        <w:t>四、中小企业声明函</w:t>
      </w:r>
      <w:bookmarkEnd w:id="64"/>
      <w:bookmarkEnd w:id="65"/>
    </w:p>
    <w:p w14:paraId="160E1E49">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16713"/>
      <w:bookmarkStart w:id="69" w:name="_Toc2456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69E68C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3"/>
    <w:p w14:paraId="52AF468C">
      <w:pPr>
        <w:spacing w:line="360" w:lineRule="auto"/>
        <w:jc w:val="center"/>
        <w:outlineLvl w:val="0"/>
        <w:rPr>
          <w:rFonts w:hint="eastAsia" w:ascii="宋体" w:hAnsi="宋体" w:eastAsia="宋体"/>
          <w:b/>
          <w:color w:val="auto"/>
          <w:sz w:val="28"/>
          <w:highlight w:val="none"/>
        </w:rPr>
      </w:pPr>
      <w:bookmarkStart w:id="70" w:name="_Toc6435"/>
      <w:bookmarkStart w:id="71" w:name="_Toc18131"/>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4.四、投标响应表（格式见附件）；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72" w:name="_Toc5555"/>
      <w:bookmarkStart w:id="73" w:name="_Toc28960"/>
      <w:r>
        <w:rPr>
          <w:rFonts w:hint="eastAsia" w:ascii="宋体" w:hAnsi="宋体" w:eastAsia="宋体"/>
          <w:b/>
          <w:color w:val="auto"/>
          <w:sz w:val="24"/>
          <w:highlight w:val="none"/>
        </w:rPr>
        <w:t>一、开标一览表</w:t>
      </w:r>
      <w:bookmarkEnd w:id="72"/>
      <w:bookmarkEnd w:id="7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74" w:name="_Toc18010"/>
      <w:bookmarkStart w:id="75" w:name="_Toc6441"/>
      <w:r>
        <w:rPr>
          <w:rFonts w:hint="eastAsia" w:ascii="宋体" w:hAnsi="宋体" w:eastAsia="宋体"/>
          <w:b/>
          <w:color w:val="auto"/>
          <w:sz w:val="24"/>
          <w:highlight w:val="none"/>
        </w:rPr>
        <w:t>二、投标函</w:t>
      </w:r>
      <w:bookmarkEnd w:id="74"/>
      <w:bookmarkEnd w:id="75"/>
    </w:p>
    <w:p w14:paraId="5CB88AB1">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6" w:name="_Toc6796"/>
      <w:bookmarkStart w:id="77" w:name="_Toc31991"/>
    </w:p>
    <w:p w14:paraId="7FD09E32">
      <w:pPr>
        <w:spacing w:line="360" w:lineRule="auto"/>
        <w:jc w:val="center"/>
        <w:outlineLvl w:val="1"/>
        <w:rPr>
          <w:rFonts w:hint="eastAsia" w:ascii="宋体" w:hAnsi="宋体" w:eastAsia="宋体"/>
          <w:b/>
          <w:color w:val="auto"/>
          <w:sz w:val="24"/>
          <w:highlight w:val="none"/>
        </w:rPr>
      </w:pPr>
    </w:p>
    <w:p w14:paraId="4C3FD4BB">
      <w:pPr>
        <w:pStyle w:val="25"/>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8" w:name="_Toc11940"/>
      <w:bookmarkStart w:id="79"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3"/>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3"/>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CD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89B70F">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41ECC02F">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A7EB613">
            <w:pPr>
              <w:jc w:val="center"/>
              <w:rPr>
                <w:rFonts w:ascii="宋体" w:hAnsi="宋体" w:eastAsia="宋体"/>
                <w:color w:val="auto"/>
                <w:sz w:val="24"/>
                <w:highlight w:val="none"/>
              </w:rPr>
            </w:pPr>
          </w:p>
        </w:tc>
        <w:tc>
          <w:tcPr>
            <w:tcW w:w="1510" w:type="pct"/>
            <w:vAlign w:val="center"/>
          </w:tcPr>
          <w:p w14:paraId="5402895B">
            <w:pPr>
              <w:jc w:val="center"/>
              <w:rPr>
                <w:rFonts w:ascii="宋体" w:hAnsi="宋体" w:eastAsia="宋体"/>
                <w:color w:val="auto"/>
                <w:sz w:val="24"/>
                <w:highlight w:val="none"/>
              </w:rPr>
            </w:pPr>
          </w:p>
        </w:tc>
        <w:tc>
          <w:tcPr>
            <w:tcW w:w="475" w:type="pct"/>
            <w:vAlign w:val="center"/>
          </w:tcPr>
          <w:p w14:paraId="0F1E173B">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20CA599">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84" w:name="_Toc3245"/>
      <w:bookmarkStart w:id="85" w:name="_Toc1575"/>
      <w:r>
        <w:rPr>
          <w:rFonts w:hint="eastAsia" w:ascii="仿宋" w:hAnsi="仿宋" w:eastAsia="仿宋" w:cs="仿宋"/>
          <w:b/>
          <w:bCs/>
          <w:color w:val="auto"/>
          <w:sz w:val="32"/>
          <w:szCs w:val="44"/>
          <w:highlight w:val="none"/>
        </w:rPr>
        <w:t>质疑函范本</w:t>
      </w:r>
      <w:bookmarkEnd w:id="84"/>
      <w:bookmarkEnd w:id="85"/>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90" w:name="_Toc26836"/>
      <w:bookmarkStart w:id="91" w:name="_Toc9754"/>
      <w:r>
        <w:rPr>
          <w:rFonts w:hint="eastAsia" w:ascii="宋体" w:hAnsi="宋体" w:eastAsia="宋体"/>
          <w:b/>
          <w:color w:val="auto"/>
          <w:sz w:val="28"/>
          <w:szCs w:val="32"/>
          <w:highlight w:val="none"/>
        </w:rPr>
        <w:t>质疑函制作说明：</w:t>
      </w:r>
      <w:bookmarkEnd w:id="90"/>
      <w:bookmarkEnd w:id="91"/>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000000"/>
    <w:rsid w:val="00135135"/>
    <w:rsid w:val="01B3556A"/>
    <w:rsid w:val="01E25ABE"/>
    <w:rsid w:val="034D095E"/>
    <w:rsid w:val="035C3CE5"/>
    <w:rsid w:val="03A82CAD"/>
    <w:rsid w:val="054677F4"/>
    <w:rsid w:val="0A6749FB"/>
    <w:rsid w:val="0A9A30D5"/>
    <w:rsid w:val="0B04049C"/>
    <w:rsid w:val="0C4A0131"/>
    <w:rsid w:val="0D5A0848"/>
    <w:rsid w:val="10026281"/>
    <w:rsid w:val="10DB57FB"/>
    <w:rsid w:val="11863AA2"/>
    <w:rsid w:val="11B524F0"/>
    <w:rsid w:val="142E658A"/>
    <w:rsid w:val="14A64372"/>
    <w:rsid w:val="14ED3D4F"/>
    <w:rsid w:val="15B336AA"/>
    <w:rsid w:val="161146EA"/>
    <w:rsid w:val="17B80644"/>
    <w:rsid w:val="1A366198"/>
    <w:rsid w:val="1BAD248A"/>
    <w:rsid w:val="1C8A6328"/>
    <w:rsid w:val="1C9F6277"/>
    <w:rsid w:val="1E081BFA"/>
    <w:rsid w:val="204301BE"/>
    <w:rsid w:val="20586E69"/>
    <w:rsid w:val="20E63CC8"/>
    <w:rsid w:val="21374CD0"/>
    <w:rsid w:val="22A5210D"/>
    <w:rsid w:val="22D05153"/>
    <w:rsid w:val="233A2855"/>
    <w:rsid w:val="24013373"/>
    <w:rsid w:val="25FE400E"/>
    <w:rsid w:val="279A720D"/>
    <w:rsid w:val="27AB1F74"/>
    <w:rsid w:val="27FF4722"/>
    <w:rsid w:val="28862066"/>
    <w:rsid w:val="297B3BC8"/>
    <w:rsid w:val="2EB060C2"/>
    <w:rsid w:val="30442B30"/>
    <w:rsid w:val="311A0999"/>
    <w:rsid w:val="319475D5"/>
    <w:rsid w:val="3A881CA1"/>
    <w:rsid w:val="3B5B7B12"/>
    <w:rsid w:val="3B7010B2"/>
    <w:rsid w:val="3B8B3D12"/>
    <w:rsid w:val="3D202664"/>
    <w:rsid w:val="3E900306"/>
    <w:rsid w:val="406D3E12"/>
    <w:rsid w:val="414A0F08"/>
    <w:rsid w:val="41846EB2"/>
    <w:rsid w:val="45164583"/>
    <w:rsid w:val="45455285"/>
    <w:rsid w:val="45CA5863"/>
    <w:rsid w:val="48C12F4D"/>
    <w:rsid w:val="4AF3565B"/>
    <w:rsid w:val="4B076EEB"/>
    <w:rsid w:val="4B964046"/>
    <w:rsid w:val="4C2B0BB7"/>
    <w:rsid w:val="4C7A4E11"/>
    <w:rsid w:val="4E2A0134"/>
    <w:rsid w:val="4E5877A0"/>
    <w:rsid w:val="4F101765"/>
    <w:rsid w:val="4F842056"/>
    <w:rsid w:val="4FE47521"/>
    <w:rsid w:val="50E579F5"/>
    <w:rsid w:val="520E2096"/>
    <w:rsid w:val="5511639A"/>
    <w:rsid w:val="55481AEF"/>
    <w:rsid w:val="55C45E2B"/>
    <w:rsid w:val="5853793A"/>
    <w:rsid w:val="5A670D37"/>
    <w:rsid w:val="5CED210B"/>
    <w:rsid w:val="5E08087F"/>
    <w:rsid w:val="5E203E1A"/>
    <w:rsid w:val="6111492D"/>
    <w:rsid w:val="61D55F0A"/>
    <w:rsid w:val="629E0205"/>
    <w:rsid w:val="693D7F76"/>
    <w:rsid w:val="6C615A90"/>
    <w:rsid w:val="6F0155A2"/>
    <w:rsid w:val="6F6607E6"/>
    <w:rsid w:val="71ED1E0E"/>
    <w:rsid w:val="73E7745D"/>
    <w:rsid w:val="74485A21"/>
    <w:rsid w:val="7554492F"/>
    <w:rsid w:val="78A21D8D"/>
    <w:rsid w:val="7CEF2EDE"/>
    <w:rsid w:val="7D2D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8"/>
    <w:qFormat/>
    <w:uiPriority w:val="99"/>
    <w:rPr>
      <w:rFonts w:ascii="宋体" w:hAnsi="Courier New" w:eastAsia="宋体" w:cs="宋体"/>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1"/>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5"/>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6"/>
    <w:qFormat/>
    <w:uiPriority w:val="99"/>
    <w:rPr>
      <w:rFonts w:ascii="@仿宋_GB2312" w:hAnsi="@仿宋_GB2312" w:eastAsia="@仿宋_GB2312" w:cs="@仿宋_GB2312"/>
      <w:sz w:val="18"/>
      <w:szCs w:val="18"/>
    </w:rPr>
  </w:style>
  <w:style w:type="character" w:customStyle="1" w:styleId="38">
    <w:name w:val="纯文本 Char"/>
    <w:link w:val="13"/>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4"/>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3"/>
    <w:qFormat/>
    <w:uiPriority w:val="9"/>
    <w:rPr>
      <w:rFonts w:ascii="@仿宋_GB2312" w:hAnsi="@仿宋_GB2312" w:eastAsia="@仿宋_GB2312" w:cs="@仿宋_GB2312"/>
      <w:b/>
      <w:bCs/>
      <w:kern w:val="44"/>
      <w:sz w:val="44"/>
      <w:szCs w:val="44"/>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25969</Words>
  <Characters>27227</Characters>
  <Paragraphs>1417</Paragraphs>
  <TotalTime>1</TotalTime>
  <ScaleCrop>false</ScaleCrop>
  <LinksUpToDate>false</LinksUpToDate>
  <CharactersWithSpaces>30507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2024-10-10T00:11:42Z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1ECEA165F94845FFAF35C1C96E4FB9B0_12</vt:lpwstr>
  </property>
</Properties>
</file>