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color w:val="auto"/>
          <w:highlight w:val="none"/>
        </w:rPr>
      </w:pPr>
      <w:bookmarkStart w:id="834" w:name="_GoBack"/>
      <w:bookmarkEnd w:id="834"/>
      <w:bookmarkStart w:id="0" w:name="_Toc144974479"/>
      <w:bookmarkStart w:id="1" w:name="_Toc179632527"/>
      <w:bookmarkStart w:id="2" w:name="_Toc152042287"/>
      <w:bookmarkStart w:id="3" w:name="_Toc152045511"/>
      <w:bookmarkStart w:id="4" w:name="OLE_LINK4"/>
      <w:bookmarkStart w:id="5" w:name="OLE_LINK5"/>
      <w:bookmarkStart w:id="6" w:name="OLE_LINK1"/>
      <w:bookmarkStart w:id="7" w:name="OLE_LINK2"/>
      <w:bookmarkStart w:id="8" w:name="OLE_LINK3"/>
    </w:p>
    <w:p>
      <w:pPr>
        <w:rPr>
          <w:rFonts w:hint="eastAsia"/>
          <w:color w:val="auto"/>
          <w:highlight w:val="none"/>
        </w:rPr>
      </w:pPr>
    </w:p>
    <w:p>
      <w:pPr>
        <w:adjustRightInd w:val="0"/>
        <w:snapToGrid w:val="0"/>
        <w:spacing w:line="360" w:lineRule="auto"/>
        <w:jc w:val="center"/>
        <w:rPr>
          <w:rFonts w:hint="default" w:ascii="宋体" w:hAnsi="宋体" w:cs="宋体"/>
          <w:b/>
          <w:bCs/>
          <w:color w:val="auto"/>
          <w:sz w:val="48"/>
          <w:szCs w:val="48"/>
          <w:highlight w:val="none"/>
          <w:u w:val="none"/>
          <w:lang w:val="en-US"/>
        </w:rPr>
      </w:pPr>
      <w:r>
        <w:rPr>
          <w:rFonts w:hint="eastAsia" w:hAnsi="宋体" w:cs="宋体"/>
          <w:b/>
          <w:bCs/>
          <w:color w:val="auto"/>
          <w:sz w:val="48"/>
          <w:szCs w:val="48"/>
          <w:highlight w:val="none"/>
          <w:u w:val="none"/>
          <w:lang w:val="en-US" w:eastAsia="zh-CN"/>
        </w:rPr>
        <w:t>滁州市第一人民医院北区扩建项目分布式光伏发电EPC总承包工程</w:t>
      </w:r>
    </w:p>
    <w:p>
      <w:pPr>
        <w:adjustRightInd w:val="0"/>
        <w:snapToGrid w:val="0"/>
        <w:spacing w:line="360" w:lineRule="auto"/>
        <w:rPr>
          <w:rFonts w:hint="eastAsia" w:ascii="宋体" w:hAnsi="宋体" w:cs="宋体"/>
          <w:color w:val="auto"/>
          <w:szCs w:val="21"/>
          <w:highlight w:val="none"/>
        </w:rPr>
      </w:pPr>
    </w:p>
    <w:p>
      <w:pPr>
        <w:adjustRightInd w:val="0"/>
        <w:snapToGrid w:val="0"/>
        <w:spacing w:line="360" w:lineRule="auto"/>
        <w:jc w:val="center"/>
        <w:rPr>
          <w:rFonts w:hint="eastAsia" w:ascii="宋体" w:hAnsi="宋体" w:cs="宋体"/>
          <w:b/>
          <w:bCs/>
          <w:color w:val="auto"/>
          <w:sz w:val="72"/>
          <w:szCs w:val="72"/>
          <w:highlight w:val="none"/>
        </w:rPr>
      </w:pPr>
    </w:p>
    <w:p>
      <w:pPr>
        <w:adjustRightInd w:val="0"/>
        <w:snapToGrid w:val="0"/>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pPr>
        <w:adjustRightInd w:val="0"/>
        <w:snapToGrid w:val="0"/>
        <w:spacing w:line="360" w:lineRule="auto"/>
        <w:jc w:val="center"/>
        <w:rPr>
          <w:rFonts w:hint="default" w:ascii="宋体" w:hAnsi="宋体" w:eastAsia="宋体" w:cs="宋体"/>
          <w:b w:val="0"/>
          <w:bCs w:val="0"/>
          <w:color w:val="auto"/>
          <w:sz w:val="30"/>
          <w:szCs w:val="30"/>
          <w:highlight w:val="none"/>
          <w:u w:val="none"/>
          <w:lang w:val="en-US" w:eastAsia="zh-CN"/>
        </w:rPr>
      </w:pPr>
      <w:r>
        <w:rPr>
          <w:rFonts w:hint="eastAsia" w:ascii="宋体" w:hAnsi="宋体" w:eastAsia="宋体" w:cs="宋体"/>
          <w:b w:val="0"/>
          <w:bCs w:val="0"/>
          <w:color w:val="auto"/>
          <w:sz w:val="30"/>
          <w:szCs w:val="30"/>
          <w:highlight w:val="none"/>
          <w:u w:val="none"/>
        </w:rPr>
        <w:t>招标项目编号：</w:t>
      </w:r>
      <w:r>
        <w:rPr>
          <w:rFonts w:hint="eastAsia" w:ascii="宋体" w:hAnsi="宋体" w:eastAsia="宋体" w:cs="宋体"/>
          <w:b w:val="0"/>
          <w:bCs w:val="0"/>
          <w:color w:val="auto"/>
          <w:sz w:val="30"/>
          <w:szCs w:val="30"/>
          <w:highlight w:val="none"/>
          <w:u w:val="none"/>
          <w:lang w:val="en-US" w:eastAsia="zh-CN"/>
        </w:rPr>
        <w:t>CZYY-2024-19</w:t>
      </w:r>
    </w:p>
    <w:p>
      <w:pPr>
        <w:jc w:val="center"/>
        <w:rPr>
          <w:rFonts w:hint="eastAsia" w:ascii="宋体" w:hAnsi="宋体" w:cs="宋体"/>
          <w:color w:val="auto"/>
          <w:sz w:val="72"/>
          <w:szCs w:val="72"/>
          <w:highlight w:val="none"/>
        </w:rPr>
      </w:pPr>
    </w:p>
    <w:p>
      <w:pPr>
        <w:spacing w:line="540" w:lineRule="exact"/>
        <w:rPr>
          <w:rFonts w:hint="eastAsia" w:ascii="宋体" w:hAnsi="宋体" w:cs="宋体"/>
          <w:color w:val="auto"/>
          <w:szCs w:val="21"/>
          <w:highlight w:val="none"/>
        </w:rPr>
      </w:pPr>
    </w:p>
    <w:p>
      <w:pPr>
        <w:spacing w:line="540" w:lineRule="exact"/>
        <w:rPr>
          <w:rFonts w:hint="eastAsia" w:ascii="宋体" w:hAnsi="宋体" w:cs="宋体"/>
          <w:color w:val="auto"/>
          <w:szCs w:val="21"/>
          <w:highlight w:val="none"/>
        </w:rPr>
      </w:pPr>
    </w:p>
    <w:p>
      <w:pPr>
        <w:pStyle w:val="36"/>
        <w:rPr>
          <w:rFonts w:hint="eastAsia"/>
          <w:color w:val="auto"/>
          <w:highlight w:val="none"/>
        </w:rPr>
      </w:pPr>
    </w:p>
    <w:p>
      <w:pPr>
        <w:rPr>
          <w:rFonts w:hint="eastAsia"/>
          <w:color w:val="auto"/>
          <w:highlight w:val="none"/>
        </w:rPr>
      </w:pPr>
    </w:p>
    <w:p>
      <w:pPr>
        <w:spacing w:line="540" w:lineRule="exact"/>
        <w:rPr>
          <w:rFonts w:hint="eastAsia" w:ascii="宋体" w:hAnsi="宋体" w:cs="宋体"/>
          <w:color w:val="auto"/>
          <w:szCs w:val="21"/>
          <w:highlight w:val="none"/>
        </w:rPr>
      </w:pPr>
    </w:p>
    <w:p>
      <w:pPr>
        <w:spacing w:line="540" w:lineRule="exact"/>
        <w:rPr>
          <w:rFonts w:hint="eastAsia" w:ascii="宋体" w:hAnsi="宋体" w:cs="宋体"/>
          <w:color w:val="auto"/>
          <w:szCs w:val="21"/>
          <w:highlight w:val="none"/>
        </w:rPr>
      </w:pPr>
    </w:p>
    <w:p>
      <w:pPr>
        <w:adjustRightInd w:val="0"/>
        <w:snapToGrid w:val="0"/>
        <w:spacing w:line="480" w:lineRule="auto"/>
        <w:ind w:firstLine="437"/>
        <w:rPr>
          <w:rFonts w:hint="eastAsia" w:ascii="宋体" w:hAnsi="宋体" w:cs="宋体"/>
          <w:color w:val="auto"/>
          <w:szCs w:val="21"/>
          <w:highlight w:val="none"/>
        </w:rPr>
      </w:pPr>
    </w:p>
    <w:p>
      <w:pPr>
        <w:adjustRightInd w:val="0"/>
        <w:snapToGrid w:val="0"/>
        <w:spacing w:line="480" w:lineRule="auto"/>
        <w:ind w:firstLine="840" w:firstLineChars="300"/>
        <w:rPr>
          <w:rFonts w:hint="eastAsia" w:ascii="宋体" w:hAnsi="宋体" w:cs="宋体"/>
          <w:color w:val="auto"/>
          <w:spacing w:val="-20"/>
          <w:sz w:val="32"/>
          <w:szCs w:val="32"/>
          <w:highlight w:val="none"/>
        </w:rPr>
      </w:pPr>
      <w:r>
        <w:rPr>
          <w:rFonts w:hint="eastAsia" w:ascii="宋体" w:hAnsi="宋体" w:cs="宋体"/>
          <w:color w:val="auto"/>
          <w:spacing w:val="-20"/>
          <w:sz w:val="32"/>
          <w:szCs w:val="32"/>
          <w:highlight w:val="none"/>
        </w:rPr>
        <w:t>招标人：</w:t>
      </w:r>
      <w:r>
        <w:rPr>
          <w:rFonts w:hint="eastAsia" w:hAnsi="宋体" w:cs="宋体"/>
          <w:color w:val="auto"/>
          <w:spacing w:val="-20"/>
          <w:sz w:val="32"/>
          <w:szCs w:val="32"/>
          <w:highlight w:val="none"/>
          <w:u w:val="single"/>
          <w:lang w:val="en-US" w:eastAsia="zh-CN"/>
        </w:rPr>
        <w:t>滁州市第一人民医院</w:t>
      </w:r>
      <w:r>
        <w:rPr>
          <w:rFonts w:hint="eastAsia" w:ascii="宋体" w:hAnsi="宋体" w:cs="宋体"/>
          <w:color w:val="auto"/>
          <w:spacing w:val="-20"/>
          <w:sz w:val="32"/>
          <w:szCs w:val="32"/>
          <w:highlight w:val="none"/>
        </w:rPr>
        <w:t>（盖章）</w:t>
      </w:r>
    </w:p>
    <w:p>
      <w:pPr>
        <w:adjustRightInd w:val="0"/>
        <w:snapToGrid w:val="0"/>
        <w:spacing w:line="480" w:lineRule="auto"/>
        <w:ind w:firstLine="960" w:firstLineChars="300"/>
        <w:rPr>
          <w:rFonts w:hint="eastAsia" w:ascii="宋体" w:hAnsi="宋体" w:cs="宋体"/>
          <w:color w:val="auto"/>
          <w:sz w:val="32"/>
          <w:szCs w:val="32"/>
          <w:highlight w:val="none"/>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江苏川页工程项目管理有限公司</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（盖章）</w:t>
      </w:r>
    </w:p>
    <w:p>
      <w:pPr>
        <w:pStyle w:val="36"/>
        <w:rPr>
          <w:rFonts w:hint="eastAsia"/>
          <w:color w:val="auto"/>
          <w:highlight w:val="none"/>
        </w:rPr>
      </w:pPr>
    </w:p>
    <w:p>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lang w:val="en-US" w:eastAsia="zh-CN"/>
        </w:rPr>
        <w:t>202</w:t>
      </w:r>
      <w:r>
        <w:rPr>
          <w:rFonts w:hint="eastAsia" w:hAnsi="宋体" w:eastAsia="宋体" w:cs="宋体"/>
          <w:color w:val="auto"/>
          <w:sz w:val="32"/>
          <w:szCs w:val="32"/>
          <w:highlight w:val="none"/>
          <w:u w:val="single"/>
          <w:lang w:val="en-US" w:eastAsia="zh-CN"/>
        </w:rPr>
        <w:t>4</w:t>
      </w:r>
      <w:r>
        <w:rPr>
          <w:rFonts w:hint="eastAsia" w:ascii="宋体" w:hAnsi="宋体" w:cs="宋体"/>
          <w:color w:val="auto"/>
          <w:sz w:val="32"/>
          <w:szCs w:val="32"/>
          <w:highlight w:val="none"/>
        </w:rPr>
        <w:t>年</w:t>
      </w:r>
      <w:r>
        <w:rPr>
          <w:rFonts w:hint="eastAsia" w:hAnsi="宋体" w:cs="宋体"/>
          <w:color w:val="auto"/>
          <w:sz w:val="32"/>
          <w:szCs w:val="32"/>
          <w:highlight w:val="none"/>
          <w:u w:val="single"/>
          <w:lang w:val="en-US" w:eastAsia="zh-CN"/>
        </w:rPr>
        <w:t>11</w:t>
      </w:r>
      <w:r>
        <w:rPr>
          <w:rFonts w:hint="eastAsia" w:ascii="宋体" w:hAnsi="宋体" w:cs="宋体"/>
          <w:color w:val="auto"/>
          <w:sz w:val="32"/>
          <w:szCs w:val="32"/>
          <w:highlight w:val="none"/>
        </w:rPr>
        <w:t>月</w:t>
      </w:r>
    </w:p>
    <w:p>
      <w:pPr>
        <w:pStyle w:val="36"/>
        <w:rPr>
          <w:rFonts w:hint="eastAsia"/>
          <w:color w:val="auto"/>
          <w:highlight w:val="none"/>
        </w:rPr>
      </w:pPr>
    </w:p>
    <w:p>
      <w:pPr>
        <w:pStyle w:val="36"/>
        <w:rPr>
          <w:rFonts w:hint="eastAsia"/>
          <w:color w:val="auto"/>
          <w:highlight w:val="none"/>
        </w:rPr>
      </w:pPr>
    </w:p>
    <w:p>
      <w:pPr>
        <w:pStyle w:val="93"/>
        <w:adjustRightInd w:val="0"/>
        <w:snapToGrid w:val="0"/>
        <w:spacing w:before="0" w:line="240" w:lineRule="auto"/>
        <w:ind w:right="240" w:rightChars="100"/>
        <w:jc w:val="center"/>
        <w:rPr>
          <w:color w:val="auto"/>
          <w:sz w:val="52"/>
          <w:highlight w:val="none"/>
        </w:rPr>
      </w:pPr>
      <w:r>
        <w:rPr>
          <w:color w:val="auto"/>
          <w:sz w:val="52"/>
          <w:highlight w:val="none"/>
          <w:lang w:val="zh-CN"/>
        </w:rPr>
        <w:t>目</w:t>
      </w:r>
      <w:r>
        <w:rPr>
          <w:rFonts w:hint="eastAsia"/>
          <w:color w:val="auto"/>
          <w:sz w:val="52"/>
          <w:highlight w:val="none"/>
          <w:lang w:val="zh-CN"/>
        </w:rPr>
        <w:t xml:space="preserve">  </w:t>
      </w:r>
      <w:r>
        <w:rPr>
          <w:color w:val="auto"/>
          <w:sz w:val="52"/>
          <w:highlight w:val="none"/>
          <w:lang w:val="zh-CN"/>
        </w:rPr>
        <w:t>录</w:t>
      </w:r>
    </w:p>
    <w:p>
      <w:pPr>
        <w:pStyle w:val="38"/>
        <w:tabs>
          <w:tab w:val="right" w:leader="dot" w:pos="10120"/>
        </w:tabs>
        <w:rPr>
          <w:rFonts w:ascii="Calibri" w:hAnsi="Calibri"/>
          <w:b w:val="0"/>
          <w:bCs w:val="0"/>
          <w:caps w:val="0"/>
          <w:color w:val="auto"/>
          <w:sz w:val="32"/>
          <w:szCs w:val="22"/>
          <w:highlight w:val="none"/>
          <w:lang/>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"_Toc95223332"</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color w:val="auto"/>
          <w:sz w:val="28"/>
          <w:highlight w:val="none"/>
          <w:lang/>
        </w:rPr>
        <w:t>第一章</w:t>
      </w:r>
      <w:r>
        <w:rPr>
          <w:rStyle w:val="66"/>
          <w:color w:val="auto"/>
          <w:sz w:val="28"/>
          <w:highlight w:val="none"/>
          <w:lang/>
        </w:rPr>
        <w:t xml:space="preserve">  </w:t>
      </w:r>
      <w:r>
        <w:rPr>
          <w:rStyle w:val="66"/>
          <w:rFonts w:hint="eastAsia"/>
          <w:color w:val="auto"/>
          <w:sz w:val="28"/>
          <w:highlight w:val="none"/>
          <w:lang/>
        </w:rPr>
        <w:t>招标公告</w:t>
      </w:r>
      <w:r>
        <w:rPr>
          <w:color w:val="auto"/>
          <w:sz w:val="28"/>
          <w:highlight w:val="none"/>
          <w:lang/>
        </w:rPr>
        <w:tab/>
      </w:r>
      <w:r>
        <w:rPr>
          <w:rFonts w:hint="eastAsia"/>
          <w:color w:val="auto"/>
          <w:sz w:val="28"/>
          <w:highlight w:val="none"/>
          <w:lang w:val="en-US" w:eastAsia="zh-CN"/>
        </w:rPr>
        <w:t>3</w:t>
      </w:r>
      <w:r>
        <w:rPr>
          <w:rStyle w:val="66"/>
          <w:color w:val="auto"/>
          <w:sz w:val="28"/>
          <w:highlight w:val="none"/>
          <w:lang/>
        </w:rPr>
        <w:fldChar w:fldCharType="end"/>
      </w:r>
    </w:p>
    <w:p>
      <w:pPr>
        <w:pStyle w:val="38"/>
        <w:tabs>
          <w:tab w:val="right" w:leader="dot" w:pos="10120"/>
        </w:tabs>
        <w:rPr>
          <w:rFonts w:hint="eastAsia"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"_Toc95223333"</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color w:val="auto"/>
          <w:sz w:val="28"/>
          <w:highlight w:val="none"/>
          <w:lang/>
        </w:rPr>
        <w:t>第二章</w:t>
      </w:r>
      <w:r>
        <w:rPr>
          <w:rStyle w:val="66"/>
          <w:color w:val="auto"/>
          <w:sz w:val="28"/>
          <w:highlight w:val="none"/>
          <w:lang/>
        </w:rPr>
        <w:t xml:space="preserve"> </w:t>
      </w:r>
      <w:r>
        <w:rPr>
          <w:rStyle w:val="66"/>
          <w:rFonts w:hint="eastAsia"/>
          <w:color w:val="auto"/>
          <w:sz w:val="28"/>
          <w:highlight w:val="none"/>
          <w:lang w:val="en-US" w:eastAsia="zh-CN"/>
        </w:rPr>
        <w:t xml:space="preserve"> </w:t>
      </w:r>
      <w:r>
        <w:rPr>
          <w:rStyle w:val="66"/>
          <w:rFonts w:hint="eastAsia"/>
          <w:color w:val="auto"/>
          <w:sz w:val="28"/>
          <w:highlight w:val="none"/>
          <w:lang/>
        </w:rPr>
        <w:t>投标人须知</w:t>
      </w:r>
      <w:r>
        <w:rPr>
          <w:color w:val="auto"/>
          <w:sz w:val="28"/>
          <w:highlight w:val="none"/>
          <w:lang/>
        </w:rPr>
        <w:tab/>
      </w:r>
      <w:r>
        <w:rPr>
          <w:rFonts w:hint="eastAsia"/>
          <w:color w:val="auto"/>
          <w:sz w:val="28"/>
          <w:highlight w:val="none"/>
          <w:lang w:val="en-US" w:eastAsia="zh-CN"/>
        </w:rPr>
        <w:t>6</w:t>
      </w:r>
      <w:r>
        <w:rPr>
          <w:rStyle w:val="66"/>
          <w:color w:val="auto"/>
          <w:sz w:val="28"/>
          <w:highlight w:val="none"/>
          <w:lang/>
        </w:rPr>
        <w:fldChar w:fldCharType="end"/>
      </w:r>
    </w:p>
    <w:p>
      <w:pPr>
        <w:pStyle w:val="38"/>
        <w:tabs>
          <w:tab w:val="right" w:leader="dot" w:pos="10120"/>
        </w:tabs>
        <w:rPr>
          <w:rFonts w:hint="eastAsia"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"_Toc95223391"</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color w:val="auto"/>
          <w:sz w:val="28"/>
          <w:highlight w:val="none"/>
          <w:lang/>
        </w:rPr>
        <w:t>第三章</w:t>
      </w:r>
      <w:r>
        <w:rPr>
          <w:rStyle w:val="66"/>
          <w:color w:val="auto"/>
          <w:sz w:val="28"/>
          <w:highlight w:val="none"/>
          <w:lang/>
        </w:rPr>
        <w:t xml:space="preserve"> </w:t>
      </w:r>
      <w:r>
        <w:rPr>
          <w:rStyle w:val="66"/>
          <w:rFonts w:hint="eastAsia"/>
          <w:color w:val="auto"/>
          <w:sz w:val="28"/>
          <w:highlight w:val="none"/>
          <w:lang w:val="en-US" w:eastAsia="zh-CN"/>
        </w:rPr>
        <w:t xml:space="preserve"> </w:t>
      </w:r>
      <w:r>
        <w:rPr>
          <w:rStyle w:val="66"/>
          <w:rFonts w:hint="eastAsia"/>
          <w:color w:val="auto"/>
          <w:sz w:val="28"/>
          <w:highlight w:val="none"/>
          <w:lang/>
        </w:rPr>
        <w:t>资格审查办法</w:t>
      </w:r>
      <w:r>
        <w:rPr>
          <w:color w:val="auto"/>
          <w:sz w:val="28"/>
          <w:highlight w:val="none"/>
          <w:lang/>
        </w:rPr>
        <w:tab/>
      </w:r>
      <w:r>
        <w:rPr>
          <w:rFonts w:hint="eastAsia"/>
          <w:color w:val="auto"/>
          <w:sz w:val="28"/>
          <w:highlight w:val="none"/>
          <w:lang w:val="en-US" w:eastAsia="zh-CN"/>
        </w:rPr>
        <w:t>1</w:t>
      </w:r>
      <w:r>
        <w:rPr>
          <w:rStyle w:val="66"/>
          <w:color w:val="auto"/>
          <w:sz w:val="28"/>
          <w:highlight w:val="none"/>
          <w:lang/>
        </w:rPr>
        <w:fldChar w:fldCharType="end"/>
      </w:r>
      <w:r>
        <w:rPr>
          <w:rStyle w:val="66"/>
          <w:rFonts w:hint="eastAsia"/>
          <w:color w:val="auto"/>
          <w:sz w:val="28"/>
          <w:highlight w:val="none"/>
          <w:lang w:val="en-US" w:eastAsia="zh-CN"/>
        </w:rPr>
        <w:t>6</w:t>
      </w:r>
    </w:p>
    <w:p>
      <w:pPr>
        <w:pStyle w:val="38"/>
        <w:tabs>
          <w:tab w:val="right" w:leader="dot" w:pos="10120"/>
        </w:tabs>
        <w:rPr>
          <w:rFonts w:hint="eastAsia"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"_Toc95223413"</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color w:val="auto"/>
          <w:sz w:val="28"/>
          <w:highlight w:val="none"/>
          <w:lang/>
        </w:rPr>
        <w:t>第四章</w:t>
      </w:r>
      <w:r>
        <w:rPr>
          <w:rStyle w:val="66"/>
          <w:color w:val="auto"/>
          <w:sz w:val="28"/>
          <w:highlight w:val="none"/>
          <w:lang/>
        </w:rPr>
        <w:t xml:space="preserve"> </w:t>
      </w:r>
      <w:r>
        <w:rPr>
          <w:rStyle w:val="66"/>
          <w:rFonts w:hint="eastAsia"/>
          <w:color w:val="auto"/>
          <w:sz w:val="28"/>
          <w:highlight w:val="none"/>
          <w:lang w:val="en-US" w:eastAsia="zh-CN"/>
        </w:rPr>
        <w:t xml:space="preserve"> </w:t>
      </w:r>
      <w:r>
        <w:rPr>
          <w:rStyle w:val="66"/>
          <w:rFonts w:hint="eastAsia"/>
          <w:color w:val="auto"/>
          <w:sz w:val="28"/>
          <w:highlight w:val="none"/>
          <w:lang/>
        </w:rPr>
        <w:t>评标办法（</w:t>
      </w:r>
      <w:r>
        <w:rPr>
          <w:rStyle w:val="66"/>
          <w:rFonts w:hint="eastAsia"/>
          <w:color w:val="auto"/>
          <w:sz w:val="28"/>
          <w:highlight w:val="none"/>
        </w:rPr>
        <w:t>综合评估法</w:t>
      </w:r>
      <w:r>
        <w:rPr>
          <w:rStyle w:val="66"/>
          <w:rFonts w:hint="eastAsia"/>
          <w:color w:val="auto"/>
          <w:sz w:val="28"/>
          <w:highlight w:val="none"/>
          <w:lang/>
        </w:rPr>
        <w:t>）</w:t>
      </w:r>
      <w:bookmarkStart w:id="9" w:name="_Hlt95224939"/>
      <w:r>
        <w:rPr>
          <w:color w:val="auto"/>
          <w:sz w:val="28"/>
          <w:highlight w:val="none"/>
          <w:lang/>
        </w:rPr>
        <w:tab/>
      </w:r>
      <w:bookmarkEnd w:id="9"/>
      <w:r>
        <w:rPr>
          <w:rFonts w:hint="eastAsia"/>
          <w:color w:val="auto"/>
          <w:sz w:val="28"/>
          <w:highlight w:val="none"/>
          <w:lang w:val="en-US" w:eastAsia="zh-CN"/>
        </w:rPr>
        <w:t>1</w:t>
      </w:r>
      <w:r>
        <w:rPr>
          <w:rStyle w:val="66"/>
          <w:color w:val="auto"/>
          <w:sz w:val="28"/>
          <w:highlight w:val="none"/>
          <w:lang/>
        </w:rPr>
        <w:fldChar w:fldCharType="end"/>
      </w:r>
      <w:r>
        <w:rPr>
          <w:rStyle w:val="66"/>
          <w:rFonts w:hint="eastAsia"/>
          <w:color w:val="auto"/>
          <w:sz w:val="28"/>
          <w:highlight w:val="none"/>
          <w:lang w:val="en-US" w:eastAsia="zh-CN"/>
        </w:rPr>
        <w:t>8</w:t>
      </w:r>
    </w:p>
    <w:p>
      <w:pPr>
        <w:pStyle w:val="38"/>
        <w:tabs>
          <w:tab w:val="right" w:leader="dot" w:pos="10120"/>
        </w:tabs>
        <w:rPr>
          <w:rFonts w:hint="eastAsia"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"_Toc95223458"</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color w:val="auto"/>
          <w:sz w:val="28"/>
          <w:highlight w:val="none"/>
          <w:lang/>
        </w:rPr>
        <w:t>第五章</w:t>
      </w:r>
      <w:r>
        <w:rPr>
          <w:rStyle w:val="66"/>
          <w:color w:val="auto"/>
          <w:sz w:val="28"/>
          <w:highlight w:val="none"/>
          <w:lang/>
        </w:rPr>
        <w:t xml:space="preserve"> </w:t>
      </w:r>
      <w:r>
        <w:rPr>
          <w:rStyle w:val="66"/>
          <w:rFonts w:hint="eastAsia"/>
          <w:color w:val="auto"/>
          <w:sz w:val="28"/>
          <w:highlight w:val="none"/>
          <w:lang w:val="en-US" w:eastAsia="zh-CN"/>
        </w:rPr>
        <w:t xml:space="preserve"> </w:t>
      </w:r>
      <w:r>
        <w:rPr>
          <w:rStyle w:val="66"/>
          <w:rFonts w:hint="eastAsia"/>
          <w:color w:val="auto"/>
          <w:sz w:val="28"/>
          <w:highlight w:val="none"/>
          <w:lang/>
        </w:rPr>
        <w:t>合同条款及格式</w:t>
      </w:r>
      <w:r>
        <w:rPr>
          <w:color w:val="auto"/>
          <w:sz w:val="28"/>
          <w:highlight w:val="none"/>
          <w:lang/>
        </w:rPr>
        <w:tab/>
      </w:r>
      <w:r>
        <w:rPr>
          <w:rFonts w:hint="eastAsia"/>
          <w:color w:val="auto"/>
          <w:sz w:val="28"/>
          <w:highlight w:val="none"/>
          <w:lang w:val="en-US" w:eastAsia="zh-CN"/>
        </w:rPr>
        <w:t>2</w:t>
      </w:r>
      <w:r>
        <w:rPr>
          <w:rStyle w:val="66"/>
          <w:color w:val="auto"/>
          <w:sz w:val="28"/>
          <w:highlight w:val="none"/>
          <w:lang/>
        </w:rPr>
        <w:fldChar w:fldCharType="end"/>
      </w:r>
      <w:r>
        <w:rPr>
          <w:rStyle w:val="66"/>
          <w:rFonts w:hint="eastAsia"/>
          <w:color w:val="auto"/>
          <w:sz w:val="28"/>
          <w:highlight w:val="none"/>
          <w:lang w:val="en-US" w:eastAsia="zh-CN"/>
        </w:rPr>
        <w:t>5</w:t>
      </w:r>
    </w:p>
    <w:p>
      <w:pPr>
        <w:pStyle w:val="38"/>
        <w:tabs>
          <w:tab w:val="right" w:leader="dot" w:pos="10120"/>
        </w:tabs>
        <w:rPr>
          <w:rFonts w:hint="eastAsia"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"_Toc95223515"</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ascii="宋体" w:hAnsi="宋体" w:cs="宋体"/>
          <w:color w:val="auto"/>
          <w:kern w:val="44"/>
          <w:sz w:val="28"/>
          <w:highlight w:val="none"/>
          <w:lang/>
        </w:rPr>
        <w:t xml:space="preserve">第六章 </w:t>
      </w:r>
      <w:r>
        <w:rPr>
          <w:rStyle w:val="66"/>
          <w:rFonts w:hint="eastAsia" w:ascii="宋体" w:hAnsi="宋体" w:cs="宋体"/>
          <w:color w:val="auto"/>
          <w:kern w:val="44"/>
          <w:sz w:val="28"/>
          <w:highlight w:val="none"/>
          <w:lang w:val="en-US" w:eastAsia="zh-CN"/>
        </w:rPr>
        <w:t xml:space="preserve"> </w:t>
      </w:r>
      <w:r>
        <w:rPr>
          <w:rStyle w:val="66"/>
          <w:rFonts w:hint="eastAsia" w:ascii="宋体" w:hAnsi="宋体" w:cs="宋体"/>
          <w:color w:val="auto"/>
          <w:kern w:val="44"/>
          <w:sz w:val="28"/>
          <w:highlight w:val="none"/>
          <w:lang/>
        </w:rPr>
        <w:t>工程量清单</w:t>
      </w:r>
      <w:r>
        <w:rPr>
          <w:color w:val="auto"/>
          <w:sz w:val="28"/>
          <w:highlight w:val="none"/>
          <w:lang/>
        </w:rPr>
        <w:tab/>
      </w:r>
      <w:r>
        <w:rPr>
          <w:rFonts w:hint="eastAsia"/>
          <w:color w:val="auto"/>
          <w:sz w:val="28"/>
          <w:highlight w:val="none"/>
          <w:lang w:val="en-US" w:eastAsia="zh-CN"/>
        </w:rPr>
        <w:t>4</w:t>
      </w:r>
      <w:r>
        <w:rPr>
          <w:rStyle w:val="66"/>
          <w:color w:val="auto"/>
          <w:sz w:val="28"/>
          <w:highlight w:val="none"/>
          <w:lang/>
        </w:rPr>
        <w:fldChar w:fldCharType="end"/>
      </w:r>
      <w:r>
        <w:rPr>
          <w:rStyle w:val="66"/>
          <w:rFonts w:hint="eastAsia"/>
          <w:color w:val="auto"/>
          <w:sz w:val="28"/>
          <w:highlight w:val="none"/>
          <w:lang w:val="en-US" w:eastAsia="zh-CN"/>
        </w:rPr>
        <w:t>6</w:t>
      </w:r>
    </w:p>
    <w:p>
      <w:pPr>
        <w:pStyle w:val="38"/>
        <w:tabs>
          <w:tab w:val="right" w:leader="dot" w:pos="10120"/>
        </w:tabs>
        <w:rPr>
          <w:rFonts w:hint="eastAsia"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"_Toc95223522"</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ascii="宋体" w:hAnsi="宋体" w:cs="宋体"/>
          <w:color w:val="auto"/>
          <w:kern w:val="44"/>
          <w:sz w:val="28"/>
          <w:highlight w:val="none"/>
          <w:lang/>
        </w:rPr>
        <w:t>第七章</w:t>
      </w:r>
      <w:r>
        <w:rPr>
          <w:rStyle w:val="66"/>
          <w:rFonts w:ascii="宋体" w:hAnsi="宋体" w:cs="宋体"/>
          <w:color w:val="auto"/>
          <w:kern w:val="44"/>
          <w:sz w:val="28"/>
          <w:highlight w:val="none"/>
          <w:lang/>
        </w:rPr>
        <w:t xml:space="preserve"> </w:t>
      </w:r>
      <w:r>
        <w:rPr>
          <w:rStyle w:val="66"/>
          <w:rFonts w:hint="eastAsia" w:ascii="宋体" w:hAnsi="宋体" w:cs="宋体"/>
          <w:color w:val="auto"/>
          <w:kern w:val="44"/>
          <w:sz w:val="28"/>
          <w:highlight w:val="none"/>
          <w:lang w:val="en-US" w:eastAsia="zh-CN"/>
        </w:rPr>
        <w:t xml:space="preserve"> </w:t>
      </w:r>
      <w:r>
        <w:rPr>
          <w:rStyle w:val="66"/>
          <w:rFonts w:hint="eastAsia" w:ascii="宋体" w:hAnsi="宋体" w:cs="宋体"/>
          <w:color w:val="auto"/>
          <w:kern w:val="44"/>
          <w:sz w:val="28"/>
          <w:highlight w:val="none"/>
          <w:lang/>
        </w:rPr>
        <w:t>图</w:t>
      </w:r>
      <w:r>
        <w:rPr>
          <w:rStyle w:val="66"/>
          <w:rFonts w:ascii="宋体" w:hAnsi="宋体" w:cs="宋体"/>
          <w:color w:val="auto"/>
          <w:kern w:val="44"/>
          <w:sz w:val="28"/>
          <w:highlight w:val="none"/>
          <w:lang/>
        </w:rPr>
        <w:t xml:space="preserve">  </w:t>
      </w:r>
      <w:r>
        <w:rPr>
          <w:rStyle w:val="66"/>
          <w:rFonts w:hint="eastAsia" w:ascii="宋体" w:hAnsi="宋体" w:cs="宋体"/>
          <w:color w:val="auto"/>
          <w:kern w:val="44"/>
          <w:sz w:val="28"/>
          <w:highlight w:val="none"/>
          <w:lang/>
        </w:rPr>
        <w:t>纸</w:t>
      </w:r>
      <w:r>
        <w:rPr>
          <w:color w:val="auto"/>
          <w:sz w:val="28"/>
          <w:highlight w:val="none"/>
          <w:lang/>
        </w:rPr>
        <w:tab/>
      </w:r>
      <w:r>
        <w:rPr>
          <w:rFonts w:hint="eastAsia"/>
          <w:color w:val="auto"/>
          <w:sz w:val="28"/>
          <w:highlight w:val="none"/>
          <w:lang w:val="en-US" w:eastAsia="zh-CN"/>
        </w:rPr>
        <w:t>46</w:t>
      </w:r>
      <w:r>
        <w:rPr>
          <w:rStyle w:val="66"/>
          <w:color w:val="auto"/>
          <w:sz w:val="28"/>
          <w:highlight w:val="none"/>
          <w:lang/>
        </w:rPr>
        <w:fldChar w:fldCharType="end"/>
      </w:r>
    </w:p>
    <w:p>
      <w:pPr>
        <w:pStyle w:val="38"/>
        <w:tabs>
          <w:tab w:val="right" w:leader="dot" w:pos="10120"/>
        </w:tabs>
        <w:rPr>
          <w:rFonts w:hint="default"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"_Toc95223525"</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ascii="宋体" w:hAnsi="宋体" w:cs="宋体"/>
          <w:color w:val="auto"/>
          <w:kern w:val="44"/>
          <w:sz w:val="28"/>
          <w:highlight w:val="none"/>
          <w:lang/>
        </w:rPr>
        <w:t xml:space="preserve">第八章 </w:t>
      </w:r>
      <w:r>
        <w:rPr>
          <w:rStyle w:val="66"/>
          <w:rFonts w:hint="eastAsia" w:ascii="宋体" w:hAnsi="宋体" w:cs="宋体"/>
          <w:color w:val="auto"/>
          <w:kern w:val="44"/>
          <w:sz w:val="28"/>
          <w:highlight w:val="none"/>
          <w:lang w:val="en-US" w:eastAsia="zh-CN"/>
        </w:rPr>
        <w:t xml:space="preserve"> </w:t>
      </w:r>
      <w:r>
        <w:rPr>
          <w:rStyle w:val="66"/>
          <w:rFonts w:hint="eastAsia" w:ascii="宋体" w:hAnsi="宋体" w:cs="宋体"/>
          <w:color w:val="auto"/>
          <w:kern w:val="44"/>
          <w:sz w:val="28"/>
          <w:highlight w:val="none"/>
          <w:lang/>
        </w:rPr>
        <w:t>技术标准和要求</w:t>
      </w:r>
      <w:r>
        <w:rPr>
          <w:color w:val="auto"/>
          <w:sz w:val="28"/>
          <w:highlight w:val="none"/>
          <w:lang/>
        </w:rPr>
        <w:tab/>
      </w:r>
      <w:r>
        <w:rPr>
          <w:rStyle w:val="66"/>
          <w:color w:val="auto"/>
          <w:sz w:val="28"/>
          <w:highlight w:val="none"/>
          <w:lang/>
        </w:rPr>
        <w:fldChar w:fldCharType="end"/>
      </w:r>
      <w:r>
        <w:rPr>
          <w:rStyle w:val="66"/>
          <w:rFonts w:hint="eastAsia"/>
          <w:color w:val="auto"/>
          <w:sz w:val="28"/>
          <w:highlight w:val="none"/>
          <w:lang w:val="en-US" w:eastAsia="zh-CN"/>
        </w:rPr>
        <w:t>46</w:t>
      </w:r>
    </w:p>
    <w:p>
      <w:pPr>
        <w:pStyle w:val="38"/>
        <w:tabs>
          <w:tab w:val="right" w:leader="dot" w:pos="10120"/>
        </w:tabs>
        <w:rPr>
          <w:rFonts w:hint="default"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"_Toc95223531"</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color w:val="auto"/>
          <w:sz w:val="28"/>
          <w:highlight w:val="none"/>
          <w:lang/>
        </w:rPr>
        <w:t xml:space="preserve">第九章 </w:t>
      </w:r>
      <w:r>
        <w:rPr>
          <w:rStyle w:val="66"/>
          <w:rFonts w:hint="eastAsia"/>
          <w:color w:val="auto"/>
          <w:sz w:val="28"/>
          <w:highlight w:val="none"/>
          <w:lang w:val="en-US" w:eastAsia="zh-CN"/>
        </w:rPr>
        <w:t xml:space="preserve"> </w:t>
      </w:r>
      <w:r>
        <w:rPr>
          <w:rStyle w:val="66"/>
          <w:rFonts w:hint="eastAsia"/>
          <w:color w:val="auto"/>
          <w:sz w:val="28"/>
          <w:highlight w:val="none"/>
          <w:lang/>
        </w:rPr>
        <w:t>投标文件格式</w:t>
      </w:r>
      <w:r>
        <w:rPr>
          <w:color w:val="auto"/>
          <w:sz w:val="28"/>
          <w:highlight w:val="none"/>
          <w:lang/>
        </w:rPr>
        <w:tab/>
      </w:r>
      <w:r>
        <w:rPr>
          <w:rStyle w:val="66"/>
          <w:color w:val="auto"/>
          <w:sz w:val="28"/>
          <w:highlight w:val="none"/>
          <w:lang/>
        </w:rPr>
        <w:fldChar w:fldCharType="end"/>
      </w:r>
      <w:r>
        <w:rPr>
          <w:rStyle w:val="66"/>
          <w:rFonts w:hint="eastAsia"/>
          <w:color w:val="auto"/>
          <w:sz w:val="28"/>
          <w:highlight w:val="none"/>
          <w:lang w:val="en-US" w:eastAsia="zh-CN"/>
        </w:rPr>
        <w:t>47</w:t>
      </w:r>
    </w:p>
    <w:p>
      <w:pPr>
        <w:pStyle w:val="38"/>
        <w:tabs>
          <w:tab w:val="right" w:leader="dot" w:pos="10120"/>
        </w:tabs>
        <w:rPr>
          <w:rFonts w:hint="eastAsia" w:ascii="Calibri" w:hAnsi="Calibri" w:eastAsia="宋体"/>
          <w:b w:val="0"/>
          <w:bCs w:val="0"/>
          <w:caps w:val="0"/>
          <w:color w:val="auto"/>
          <w:sz w:val="32"/>
          <w:szCs w:val="22"/>
          <w:highlight w:val="none"/>
          <w:lang w:val="en-US" w:eastAsia="zh-CN"/>
        </w:rPr>
      </w:pPr>
      <w:r>
        <w:rPr>
          <w:rStyle w:val="66"/>
          <w:color w:val="auto"/>
          <w:sz w:val="28"/>
          <w:highlight w:val="none"/>
          <w:lang/>
        </w:rPr>
        <w:fldChar w:fldCharType="begin"/>
      </w:r>
      <w:r>
        <w:rPr>
          <w:rStyle w:val="66"/>
          <w:color w:val="auto"/>
          <w:sz w:val="28"/>
          <w:highlight w:val="none"/>
          <w:lang/>
        </w:rPr>
        <w:instrText xml:space="preserve"> </w:instrText>
      </w:r>
      <w:r>
        <w:rPr>
          <w:color w:val="auto"/>
          <w:sz w:val="28"/>
          <w:highlight w:val="none"/>
          <w:lang/>
        </w:rPr>
        <w:instrText xml:space="preserve">HYPERLINK \l "_Toc95223547"</w:instrText>
      </w:r>
      <w:r>
        <w:rPr>
          <w:rStyle w:val="66"/>
          <w:color w:val="auto"/>
          <w:sz w:val="28"/>
          <w:highlight w:val="none"/>
          <w:lang/>
        </w:rPr>
        <w:instrText xml:space="preserve"> </w:instrText>
      </w:r>
      <w:r>
        <w:rPr>
          <w:rStyle w:val="66"/>
          <w:color w:val="auto"/>
          <w:sz w:val="28"/>
          <w:highlight w:val="none"/>
          <w:lang/>
        </w:rPr>
        <w:fldChar w:fldCharType="separate"/>
      </w:r>
      <w:r>
        <w:rPr>
          <w:rStyle w:val="66"/>
          <w:rFonts w:hint="eastAsia" w:eastAsia="黑体"/>
          <w:color w:val="auto"/>
          <w:sz w:val="28"/>
          <w:highlight w:val="none"/>
          <w:lang/>
        </w:rPr>
        <w:t>第十章</w:t>
      </w:r>
      <w:r>
        <w:rPr>
          <w:rStyle w:val="66"/>
          <w:rFonts w:eastAsia="黑体"/>
          <w:color w:val="auto"/>
          <w:sz w:val="28"/>
          <w:highlight w:val="none"/>
          <w:lang/>
        </w:rPr>
        <w:t xml:space="preserve"> </w:t>
      </w:r>
      <w:r>
        <w:rPr>
          <w:rStyle w:val="66"/>
          <w:rFonts w:hint="eastAsia" w:eastAsia="黑体"/>
          <w:color w:val="auto"/>
          <w:sz w:val="28"/>
          <w:highlight w:val="none"/>
          <w:lang/>
        </w:rPr>
        <w:t xml:space="preserve"> 招标人、招标代理机构对本招标文件的确认</w:t>
      </w:r>
      <w:bookmarkStart w:id="10" w:name="_Hlt95223551"/>
      <w:bookmarkStart w:id="11" w:name="_Hlt95223550"/>
      <w:r>
        <w:rPr>
          <w:color w:val="auto"/>
          <w:sz w:val="28"/>
          <w:highlight w:val="none"/>
          <w:lang/>
        </w:rPr>
        <w:tab/>
      </w:r>
      <w:bookmarkEnd w:id="10"/>
      <w:bookmarkEnd w:id="11"/>
      <w:r>
        <w:rPr>
          <w:rFonts w:hint="eastAsia"/>
          <w:color w:val="auto"/>
          <w:sz w:val="28"/>
          <w:highlight w:val="none"/>
          <w:lang w:val="en-US" w:eastAsia="zh-CN"/>
        </w:rPr>
        <w:t>5</w:t>
      </w:r>
      <w:r>
        <w:rPr>
          <w:rStyle w:val="66"/>
          <w:color w:val="auto"/>
          <w:sz w:val="28"/>
          <w:highlight w:val="none"/>
          <w:lang/>
        </w:rPr>
        <w:fldChar w:fldCharType="end"/>
      </w:r>
      <w:r>
        <w:rPr>
          <w:rStyle w:val="66"/>
          <w:rFonts w:hint="eastAsia"/>
          <w:color w:val="auto"/>
          <w:sz w:val="28"/>
          <w:highlight w:val="none"/>
          <w:lang w:val="en-US" w:eastAsia="zh-CN"/>
        </w:rPr>
        <w:t>8</w:t>
      </w:r>
    </w:p>
    <w:p>
      <w:pPr>
        <w:rPr>
          <w:rFonts w:hint="eastAsia"/>
          <w:color w:val="auto"/>
          <w:sz w:val="24"/>
          <w:highlight w:val="none"/>
          <w:lang/>
        </w:rPr>
      </w:pPr>
    </w:p>
    <w:p>
      <w:pPr>
        <w:pStyle w:val="38"/>
        <w:rPr>
          <w:rFonts w:hint="eastAsia"/>
          <w:color w:val="auto"/>
          <w:highlight w:val="none"/>
          <w:lang/>
        </w:rPr>
      </w:pPr>
    </w:p>
    <w:p>
      <w:pPr>
        <w:rPr>
          <w:rFonts w:hint="eastAsia"/>
          <w:color w:val="auto"/>
          <w:highlight w:val="none"/>
          <w:lang/>
        </w:rPr>
      </w:pPr>
    </w:p>
    <w:p>
      <w:pPr>
        <w:pStyle w:val="38"/>
        <w:rPr>
          <w:rFonts w:hint="eastAsia"/>
          <w:color w:val="auto"/>
          <w:highlight w:val="none"/>
          <w:lang/>
        </w:rPr>
      </w:pPr>
    </w:p>
    <w:p>
      <w:pPr>
        <w:rPr>
          <w:rFonts w:hint="eastAsia"/>
          <w:color w:val="auto"/>
          <w:highlight w:val="none"/>
          <w:lang/>
        </w:rPr>
      </w:pPr>
    </w:p>
    <w:p>
      <w:pPr>
        <w:pStyle w:val="38"/>
        <w:rPr>
          <w:rFonts w:hint="eastAsia"/>
          <w:color w:val="auto"/>
          <w:highlight w:val="none"/>
          <w:lang/>
        </w:rPr>
      </w:pPr>
    </w:p>
    <w:p>
      <w:pPr>
        <w:rPr>
          <w:rFonts w:hint="eastAsia"/>
          <w:color w:val="auto"/>
          <w:highlight w:val="none"/>
          <w:lang/>
        </w:rPr>
      </w:pPr>
    </w:p>
    <w:p>
      <w:pPr>
        <w:pStyle w:val="38"/>
        <w:rPr>
          <w:rFonts w:hint="eastAsia"/>
          <w:color w:val="auto"/>
          <w:highlight w:val="none"/>
          <w:lang/>
        </w:rPr>
      </w:pPr>
    </w:p>
    <w:p>
      <w:pPr>
        <w:rPr>
          <w:rFonts w:hint="eastAsia"/>
          <w:color w:val="auto"/>
          <w:highlight w:val="none"/>
          <w:lang/>
        </w:rPr>
      </w:pPr>
    </w:p>
    <w:p>
      <w:pPr>
        <w:pStyle w:val="38"/>
        <w:rPr>
          <w:rFonts w:hint="eastAsia"/>
          <w:color w:val="auto"/>
          <w:highlight w:val="none"/>
          <w:lang/>
        </w:rPr>
      </w:pPr>
    </w:p>
    <w:p>
      <w:pPr>
        <w:rPr>
          <w:rFonts w:hint="eastAsia"/>
          <w:color w:val="auto"/>
          <w:highlight w:val="none"/>
          <w:lang/>
        </w:rPr>
      </w:pPr>
    </w:p>
    <w:p>
      <w:pPr>
        <w:pStyle w:val="38"/>
        <w:rPr>
          <w:rFonts w:hint="eastAsia"/>
          <w:color w:val="auto"/>
          <w:highlight w:val="none"/>
          <w:lang/>
        </w:rPr>
      </w:pPr>
    </w:p>
    <w:p>
      <w:pPr>
        <w:rPr>
          <w:rFonts w:hint="eastAsia"/>
          <w:color w:val="auto"/>
          <w:highlight w:val="none"/>
          <w:lang/>
        </w:rPr>
        <w:sectPr>
          <w:headerReference r:id="rId5" w:type="default"/>
          <w:type w:val="continuous"/>
          <w:pgSz w:w="11910" w:h="16850"/>
          <w:pgMar w:top="1440" w:right="1080" w:bottom="1440" w:left="1080" w:header="0" w:footer="746" w:gutter="0"/>
          <w:pgNumType w:fmt="decimal" w:start="1"/>
          <w:cols w:space="720" w:num="1"/>
        </w:sectPr>
      </w:pPr>
    </w:p>
    <w:p>
      <w:pPr>
        <w:pStyle w:val="3"/>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b/>
          <w:color w:val="auto"/>
          <w:sz w:val="30"/>
          <w:szCs w:val="30"/>
          <w:highlight w:val="none"/>
        </w:rPr>
      </w:pPr>
      <w:r>
        <w:rPr>
          <w:color w:val="auto"/>
          <w:highlight w:val="none"/>
          <w:lang w:val="zh-CN"/>
        </w:rPr>
        <w:fldChar w:fldCharType="end"/>
      </w:r>
      <w:bookmarkStart w:id="12" w:name="_Toc95223332"/>
      <w:r>
        <w:rPr>
          <w:rFonts w:hint="eastAsia" w:ascii="宋体" w:hAnsi="宋体" w:eastAsia="宋体" w:cs="宋体"/>
          <w:b/>
          <w:bCs/>
          <w:color w:val="auto"/>
          <w:sz w:val="30"/>
          <w:szCs w:val="30"/>
          <w:highlight w:val="none"/>
          <w:u w:val="none"/>
          <w:lang w:eastAsia="zh-CN"/>
        </w:rPr>
        <w:t xml:space="preserve">第一章  </w:t>
      </w:r>
      <w:bookmarkEnd w:id="12"/>
      <w:r>
        <w:rPr>
          <w:rFonts w:hint="eastAsia" w:ascii="宋体" w:hAnsi="宋体" w:eastAsia="宋体" w:cs="宋体"/>
          <w:b/>
          <w:bCs/>
          <w:color w:val="auto"/>
          <w:sz w:val="30"/>
          <w:szCs w:val="30"/>
          <w:highlight w:val="none"/>
          <w:u w:val="none"/>
          <w:lang w:eastAsia="zh-CN"/>
        </w:rPr>
        <w:t>滁州市第一人民医院北区扩建项目分布式光伏发电EPC总承包工程招标公</w:t>
      </w:r>
      <w:r>
        <w:rPr>
          <w:rFonts w:hint="eastAsia"/>
          <w:b/>
          <w:color w:val="auto"/>
          <w:sz w:val="30"/>
          <w:szCs w:val="30"/>
          <w:highlight w:val="none"/>
        </w:rPr>
        <w:t>告信息</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bookmarkStart w:id="13" w:name="_Toc35393621"/>
      <w:bookmarkStart w:id="14" w:name="_Toc28359079"/>
      <w:bookmarkStart w:id="15" w:name="_Toc35393790"/>
      <w:bookmarkStart w:id="16" w:name="_Toc28359002"/>
      <w:bookmarkStart w:id="17" w:name="_Toc58430305"/>
      <w:bookmarkStart w:id="18" w:name="_Hlk24379207"/>
      <w:r>
        <w:rPr>
          <w:rFonts w:hint="eastAsia" w:ascii="宋体" w:hAnsi="宋体" w:eastAsia="宋体" w:cs="宋体"/>
          <w:b/>
          <w:bCs/>
          <w:color w:val="auto"/>
          <w:sz w:val="24"/>
          <w:szCs w:val="24"/>
          <w:highlight w:val="none"/>
        </w:rPr>
        <w:t>一、项目基本情况</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项目名称：滁州市第一人民医院北区扩建项目分布式光伏发电EPC总承包工程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项目编号：CZYY-2024-19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招标方式：</w:t>
      </w:r>
      <w:bookmarkEnd w:id="18"/>
      <w:r>
        <w:rPr>
          <w:rFonts w:hint="eastAsia" w:ascii="宋体" w:hAnsi="宋体" w:eastAsia="宋体" w:cs="宋体"/>
          <w:color w:val="auto"/>
          <w:sz w:val="24"/>
          <w:szCs w:val="24"/>
          <w:highlight w:val="none"/>
          <w:lang w:val="en-US" w:eastAsia="zh-CN"/>
        </w:rPr>
        <w:t>公开招标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评标办法：综合评估法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项目预算：约50.70万元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最高限价：50.70万元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招标范围：本工程为交钥匙工程，采用包总价的 EPC 总承包方式，投标人需负责工程招标范围内的设计（拟采用混凝土屋面常规墩柱安装）、供货、施工和验收以及并网的所有工作内容，包括但不限于初步设计方案（中标后设计方案需报业主单位确认认可后方可实施）、发改委备案、施工图设计并提供竣工图纸、施工方案编制、设备和材料及备品备件购置、屋顶承载力复核验算及防水工作、设备电气及控制系统的安装、建筑工程施工、拆除修复工程、设备调试、电力系统并网、联合试运行、技术培训、运行人员培训和验收等达到项目正常稳定运行的所有内容，方案深化设计费、建筑物荷载测试费及质保均考虑在综合单价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标段划分：一个标段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工期：不高于100个日历天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bookmarkStart w:id="19" w:name="_Toc28359080"/>
      <w:bookmarkStart w:id="20" w:name="_Toc28359003"/>
      <w:bookmarkStart w:id="21" w:name="_Toc35393622"/>
      <w:bookmarkStart w:id="22" w:name="_Toc35393791"/>
      <w:bookmarkStart w:id="23" w:name="_Toc58430306"/>
      <w:r>
        <w:rPr>
          <w:rFonts w:hint="eastAsia" w:ascii="宋体" w:hAnsi="宋体" w:eastAsia="宋体" w:cs="宋体"/>
          <w:b/>
          <w:bCs/>
          <w:color w:val="auto"/>
          <w:sz w:val="24"/>
          <w:szCs w:val="24"/>
          <w:highlight w:val="none"/>
        </w:rPr>
        <w:t>二、申请人的资格要求</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val="en-US" w:eastAsia="zh-CN"/>
        </w:rPr>
      </w:pPr>
      <w:bookmarkStart w:id="24" w:name="_Toc28359081"/>
      <w:bookmarkStart w:id="25" w:name="_Toc28359004"/>
      <w:bookmarkStart w:id="26" w:name="_Toc35393623"/>
      <w:bookmarkStart w:id="27" w:name="_Toc35393792"/>
      <w:bookmarkStart w:id="28" w:name="_Toc58430307"/>
      <w:r>
        <w:rPr>
          <w:rFonts w:hint="eastAsia" w:ascii="宋体" w:hAnsi="宋体" w:eastAsia="宋体" w:cs="宋体"/>
          <w:color w:val="auto"/>
          <w:sz w:val="24"/>
          <w:szCs w:val="24"/>
          <w:highlight w:val="none"/>
          <w:lang w:val="en-US" w:eastAsia="zh-CN"/>
        </w:rPr>
        <w:t>1.具有独立承担民事责任的能力，</w:t>
      </w:r>
      <w:r>
        <w:rPr>
          <w:rFonts w:hint="eastAsia"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具备</w:t>
      </w:r>
      <w:r>
        <w:rPr>
          <w:rFonts w:hint="default" w:ascii="宋体" w:hAnsi="宋体" w:eastAsia="宋体" w:cs="宋体"/>
          <w:color w:val="auto"/>
          <w:sz w:val="24"/>
          <w:szCs w:val="24"/>
          <w:highlight w:val="none"/>
          <w:u w:val="single"/>
          <w:lang w:val="en-US" w:eastAsia="zh-CN"/>
        </w:rPr>
        <w:t>①</w:t>
      </w:r>
      <w:r>
        <w:rPr>
          <w:rFonts w:hint="eastAsia" w:ascii="宋体" w:hAnsi="宋体" w:eastAsia="宋体" w:cs="宋体"/>
          <w:color w:val="auto"/>
          <w:sz w:val="24"/>
          <w:szCs w:val="24"/>
          <w:highlight w:val="none"/>
          <w:u w:val="single"/>
          <w:lang w:val="en-US" w:eastAsia="zh-CN"/>
        </w:rPr>
        <w:t>电力工程施工总承包三级及以上或输变电工程专业承包贰级及以上或机电工程施工总承包三级及以上或建筑机电安装工程专业承包贰级及以上资质；</w:t>
      </w:r>
      <w:r>
        <w:rPr>
          <w:rFonts w:hint="default" w:ascii="宋体" w:hAnsi="宋体" w:eastAsia="宋体" w:cs="宋体"/>
          <w:color w:val="auto"/>
          <w:sz w:val="24"/>
          <w:szCs w:val="24"/>
          <w:highlight w:val="none"/>
          <w:u w:val="single"/>
          <w:lang w:val="en-US" w:eastAsia="zh-CN"/>
        </w:rPr>
        <w:t>②</w:t>
      </w:r>
      <w:r>
        <w:rPr>
          <w:rFonts w:hint="eastAsia" w:ascii="宋体" w:hAnsi="宋体" w:eastAsia="宋体" w:cs="宋体"/>
          <w:color w:val="auto"/>
          <w:sz w:val="24"/>
          <w:szCs w:val="24"/>
          <w:highlight w:val="none"/>
          <w:u w:val="single"/>
          <w:lang w:val="en-US" w:eastAsia="zh-CN"/>
        </w:rPr>
        <w:t>承装（修、试）电力设施五级及以上资质；</w:t>
      </w:r>
      <w:r>
        <w:rPr>
          <w:rFonts w:hint="default" w:ascii="宋体" w:hAnsi="宋体" w:eastAsia="宋体" w:cs="宋体"/>
          <w:color w:val="auto"/>
          <w:sz w:val="24"/>
          <w:szCs w:val="24"/>
          <w:highlight w:val="none"/>
          <w:u w:val="single"/>
          <w:lang w:val="en-US" w:eastAsia="zh-CN"/>
        </w:rPr>
        <w:t>③</w:t>
      </w:r>
      <w:r>
        <w:rPr>
          <w:rFonts w:hint="eastAsia" w:ascii="宋体" w:hAnsi="宋体" w:eastAsia="宋体" w:cs="宋体"/>
          <w:color w:val="auto"/>
          <w:sz w:val="24"/>
          <w:szCs w:val="24"/>
          <w:highlight w:val="none"/>
          <w:u w:val="single"/>
          <w:lang w:val="en-US" w:eastAsia="zh-CN"/>
        </w:rPr>
        <w:t>同时具备建设主管部门颁发的有效安全生产许可证；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lang w:val="en-US" w:eastAsia="zh-CN"/>
        </w:rPr>
        <w:t>拟派项目负责人具有在本单位注册的机电工程二级及以上资质的注册建造师，具备有效的安全生产考核合格(B类)证书。</w:t>
      </w:r>
    </w:p>
    <w:p>
      <w:pPr>
        <w:wordWrap w:val="0"/>
        <w:spacing w:line="360" w:lineRule="auto"/>
        <w:ind w:firstLine="437"/>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.信誉要求：供应商不得存在以下情形：</w:t>
      </w:r>
    </w:p>
    <w:p>
      <w:pPr>
        <w:wordWrap w:val="0"/>
        <w:spacing w:line="360" w:lineRule="auto"/>
        <w:ind w:firstLine="437"/>
        <w:rPr>
          <w:rFonts w:hint="eastAsia" w:eastAsia="宋体"/>
          <w:color w:val="auto"/>
          <w:sz w:val="24"/>
          <w:szCs w:val="24"/>
          <w:highlight w:val="none"/>
          <w:lang w:eastAsia="zh-CN"/>
        </w:rPr>
      </w:pPr>
      <w:r>
        <w:rPr>
          <w:rFonts w:hint="eastAsia"/>
          <w:color w:val="auto"/>
          <w:sz w:val="24"/>
          <w:szCs w:val="24"/>
          <w:highlight w:val="none"/>
        </w:rPr>
        <w:t>①供应商被人民法院列入失信被执行人的；</w:t>
      </w:r>
      <w:r>
        <w:rPr>
          <w:rFonts w:hint="eastAsia"/>
          <w:color w:val="auto"/>
          <w:sz w:val="24"/>
          <w:szCs w:val="24"/>
          <w:highlight w:val="none"/>
          <w:lang w:eastAsia="zh-CN"/>
        </w:rPr>
        <w:t>，</w:t>
      </w:r>
    </w:p>
    <w:p>
      <w:pPr>
        <w:wordWrap w:val="0"/>
        <w:spacing w:line="360" w:lineRule="auto"/>
        <w:ind w:firstLine="437"/>
        <w:rPr>
          <w:rFonts w:hint="eastAsia"/>
          <w:color w:val="auto"/>
          <w:sz w:val="24"/>
          <w:szCs w:val="24"/>
          <w:highlight w:val="none"/>
        </w:rPr>
      </w:pPr>
      <w:r>
        <w:rPr>
          <w:rFonts w:hint="eastAsia"/>
          <w:color w:val="auto"/>
          <w:sz w:val="24"/>
          <w:szCs w:val="24"/>
          <w:highlight w:val="none"/>
        </w:rPr>
        <w:t>②供应商或其法定代表人或拟派项目经理（项目负责人）前三年有行贿犯罪行为的；</w:t>
      </w:r>
    </w:p>
    <w:p>
      <w:pPr>
        <w:wordWrap w:val="0"/>
        <w:spacing w:line="360" w:lineRule="auto"/>
        <w:ind w:firstLine="437"/>
        <w:rPr>
          <w:rFonts w:hint="eastAsia"/>
          <w:color w:val="auto"/>
          <w:sz w:val="24"/>
          <w:szCs w:val="24"/>
          <w:highlight w:val="none"/>
        </w:rPr>
      </w:pPr>
      <w:r>
        <w:rPr>
          <w:rFonts w:hint="eastAsia"/>
          <w:color w:val="auto"/>
          <w:sz w:val="24"/>
          <w:szCs w:val="24"/>
          <w:highlight w:val="none"/>
        </w:rPr>
        <w:t>③供应商被市场监督管理部门列入经营异常名录或者严重违法企业名单，且未被移除的；</w:t>
      </w:r>
    </w:p>
    <w:p>
      <w:pPr>
        <w:wordWrap w:val="0"/>
        <w:spacing w:line="360" w:lineRule="auto"/>
        <w:ind w:firstLine="437"/>
        <w:rPr>
          <w:rFonts w:hint="eastAsia"/>
          <w:color w:val="auto"/>
          <w:sz w:val="24"/>
          <w:szCs w:val="24"/>
          <w:highlight w:val="none"/>
        </w:rPr>
      </w:pPr>
      <w:r>
        <w:rPr>
          <w:rFonts w:hint="eastAsia"/>
          <w:color w:val="auto"/>
          <w:sz w:val="24"/>
          <w:szCs w:val="24"/>
          <w:highlight w:val="none"/>
        </w:rPr>
        <w:t>④供应商被税收部门列入重大税收违法案件当事人的；</w:t>
      </w:r>
    </w:p>
    <w:p>
      <w:pPr>
        <w:wordWrap w:val="0"/>
        <w:spacing w:line="360" w:lineRule="auto"/>
        <w:ind w:firstLine="437"/>
        <w:rPr>
          <w:rFonts w:hint="eastAsia"/>
          <w:color w:val="auto"/>
          <w:sz w:val="24"/>
          <w:szCs w:val="24"/>
          <w:highlight w:val="none"/>
        </w:rPr>
      </w:pPr>
      <w:r>
        <w:rPr>
          <w:rFonts w:hint="eastAsia"/>
          <w:color w:val="auto"/>
          <w:sz w:val="24"/>
          <w:szCs w:val="24"/>
          <w:highlight w:val="none"/>
        </w:rPr>
        <w:t>⑤供应商被政府采购监管部门列入政府采购严重违法失信行为记录名单的；</w:t>
      </w:r>
    </w:p>
    <w:p>
      <w:pPr>
        <w:wordWrap w:val="0"/>
        <w:spacing w:line="360" w:lineRule="auto"/>
        <w:ind w:firstLine="437"/>
        <w:rPr>
          <w:rFonts w:hint="eastAsia"/>
          <w:color w:val="auto"/>
          <w:sz w:val="24"/>
          <w:szCs w:val="24"/>
          <w:highlight w:val="none"/>
        </w:rPr>
      </w:pPr>
      <w:r>
        <w:rPr>
          <w:rFonts w:hint="eastAsia"/>
          <w:color w:val="auto"/>
          <w:sz w:val="24"/>
          <w:szCs w:val="24"/>
          <w:highlight w:val="none"/>
        </w:rPr>
        <w:t>⑥在“信用中国”网站上披露仍在公示期的严重失信行为的。</w:t>
      </w:r>
    </w:p>
    <w:p>
      <w:pPr>
        <w:wordWrap w:val="0"/>
        <w:spacing w:line="360" w:lineRule="auto"/>
        <w:ind w:firstLine="437"/>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.供应商所属分公司、办事处等分支机构存在第4条信誉要求①-⑥项情形之一的，</w:t>
      </w:r>
      <w:r>
        <w:rPr>
          <w:rFonts w:hint="eastAsia" w:cs="宋体"/>
          <w:color w:val="auto"/>
          <w:sz w:val="24"/>
          <w:szCs w:val="24"/>
          <w:highlight w:val="none"/>
        </w:rPr>
        <w:t>接受其被确定为成交供应商</w:t>
      </w:r>
      <w:r>
        <w:rPr>
          <w:rFonts w:hint="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备注：第3、4条自行查询或承诺。</w:t>
      </w:r>
    </w:p>
    <w:bookmarkEnd w:id="24"/>
    <w:bookmarkEnd w:id="25"/>
    <w:bookmarkEnd w:id="26"/>
    <w:bookmarkEnd w:id="27"/>
    <w:bookmarkEnd w:id="28"/>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发布时间</w:t>
      </w:r>
      <w:r>
        <w:rPr>
          <w:rFonts w:hint="eastAsia" w:ascii="宋体" w:hAnsi="宋体" w:eastAsia="宋体" w:cs="宋体"/>
          <w:b/>
          <w:bCs/>
          <w:color w:val="auto"/>
          <w:sz w:val="24"/>
          <w:szCs w:val="24"/>
          <w:highlight w:val="none"/>
          <w:lang w:val="en-US" w:eastAsia="zh-CN"/>
        </w:rPr>
        <w:t>及文件领取方式</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发布时间：2024年11月21日17时后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领取方式：滁州市第一人民医院网（http://www.czdyrmyy.com/），自行下载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bookmarkStart w:id="29" w:name="_Toc28359005"/>
      <w:bookmarkStart w:id="30" w:name="_Toc28359082"/>
      <w:bookmarkStart w:id="31" w:name="_Toc35393624"/>
      <w:bookmarkStart w:id="32" w:name="_Toc35393793"/>
      <w:bookmarkStart w:id="33" w:name="_Toc58430308"/>
      <w:r>
        <w:rPr>
          <w:rFonts w:hint="eastAsia" w:ascii="宋体" w:hAnsi="宋体" w:eastAsia="宋体" w:cs="宋体"/>
          <w:b/>
          <w:bCs/>
          <w:color w:val="auto"/>
          <w:sz w:val="24"/>
          <w:szCs w:val="24"/>
          <w:highlight w:val="none"/>
        </w:rPr>
        <w:t>四、投标文件递交</w:t>
      </w:r>
      <w:bookmarkEnd w:id="29"/>
      <w:bookmarkEnd w:id="30"/>
      <w:r>
        <w:rPr>
          <w:rFonts w:hint="eastAsia" w:ascii="宋体" w:hAnsi="宋体" w:eastAsia="宋体" w:cs="宋体"/>
          <w:b/>
          <w:bCs/>
          <w:color w:val="auto"/>
          <w:sz w:val="24"/>
          <w:szCs w:val="24"/>
          <w:highlight w:val="none"/>
        </w:rPr>
        <w:t>截止时间、开标时间和地点</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2024年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月</w:t>
      </w:r>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lang w:eastAsia="zh-CN"/>
        </w:rPr>
        <w:t>日</w:t>
      </w: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lang w:eastAsia="zh-CN"/>
        </w:rPr>
        <w:t>时</w:t>
      </w:r>
      <w:r>
        <w:rPr>
          <w:rFonts w:hint="eastAsia" w:ascii="宋体" w:hAnsi="宋体" w:eastAsia="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eastAsia="zh-CN"/>
        </w:rPr>
        <w:t>分</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b/>
          <w:bCs/>
          <w:color w:val="auto"/>
          <w:sz w:val="24"/>
          <w:szCs w:val="24"/>
          <w:highlight w:val="none"/>
          <w:lang w:eastAsia="zh-CN"/>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注：各投标人可以采用直接送达或邮寄的方式，递交时间以直接送达或快递送达的时间为准，逾期不予接收。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地点：</w:t>
      </w:r>
      <w:r>
        <w:rPr>
          <w:rFonts w:hint="eastAsia" w:ascii="宋体" w:hAnsi="宋体" w:eastAsia="宋体" w:cs="宋体"/>
          <w:color w:val="auto"/>
          <w:sz w:val="24"/>
          <w:szCs w:val="24"/>
          <w:highlight w:val="none"/>
          <w:lang w:val="en-US" w:eastAsia="zh-CN"/>
        </w:rPr>
        <w:t>滁州市第一人民医院南区行政楼五楼西招标办</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bookmarkStart w:id="34" w:name="_Toc28359007"/>
      <w:bookmarkStart w:id="35" w:name="_Toc35393794"/>
      <w:bookmarkStart w:id="36" w:name="_Toc58430309"/>
      <w:bookmarkStart w:id="37" w:name="_Toc35393625"/>
      <w:bookmarkStart w:id="38" w:name="_Toc28359084"/>
      <w:r>
        <w:rPr>
          <w:rFonts w:hint="eastAsia" w:ascii="宋体" w:hAnsi="宋体" w:eastAsia="宋体" w:cs="宋体"/>
          <w:b/>
          <w:bCs/>
          <w:color w:val="auto"/>
          <w:sz w:val="24"/>
          <w:szCs w:val="24"/>
          <w:highlight w:val="none"/>
        </w:rPr>
        <w:t>五、公告期限</w:t>
      </w:r>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自本公告发布之日起至投标截止时间。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bookmarkStart w:id="39" w:name="_Toc58430310"/>
      <w:r>
        <w:rPr>
          <w:rFonts w:hint="eastAsia" w:ascii="宋体" w:hAnsi="宋体" w:eastAsia="宋体" w:cs="宋体"/>
          <w:b/>
          <w:bCs/>
          <w:color w:val="auto"/>
          <w:sz w:val="24"/>
          <w:szCs w:val="24"/>
          <w:highlight w:val="none"/>
        </w:rPr>
        <w:t>六、投标保证金金额及缴纳账户</w:t>
      </w:r>
      <w:bookmarkEnd w:id="3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bookmarkStart w:id="40" w:name="_Toc35393626"/>
      <w:bookmarkStart w:id="41" w:name="_Toc58430311"/>
      <w:bookmarkStart w:id="42" w:name="_Toc35393795"/>
      <w:r>
        <w:rPr>
          <w:rFonts w:hint="eastAsia" w:ascii="宋体" w:hAnsi="宋体" w:eastAsia="宋体" w:cs="宋体"/>
          <w:b/>
          <w:bCs/>
          <w:color w:val="auto"/>
          <w:sz w:val="24"/>
          <w:szCs w:val="24"/>
          <w:highlight w:val="none"/>
        </w:rPr>
        <w:t>七</w:t>
      </w:r>
      <w:bookmarkEnd w:id="40"/>
      <w:bookmarkEnd w:id="41"/>
      <w:bookmarkEnd w:id="42"/>
      <w:bookmarkStart w:id="43" w:name="_Toc58430312"/>
      <w:r>
        <w:rPr>
          <w:rFonts w:hint="eastAsia" w:ascii="宋体" w:hAnsi="宋体" w:eastAsia="宋体" w:cs="宋体"/>
          <w:b/>
          <w:bCs/>
          <w:color w:val="auto"/>
          <w:sz w:val="24"/>
          <w:szCs w:val="24"/>
          <w:highlight w:val="none"/>
        </w:rPr>
        <w:t>、对本次招标提出询问，请按以下方式联系</w:t>
      </w:r>
      <w:bookmarkEnd w:id="4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滁州市第一人民医院</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滁州市醉翁西路369号</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招标办0550-3526032</w:t>
      </w:r>
      <w:r>
        <w:rPr>
          <w:rFonts w:hint="eastAsia" w:ascii="宋体" w:hAnsi="宋体" w:eastAsia="宋体" w:cs="宋体"/>
          <w:color w:val="auto"/>
          <w:sz w:val="24"/>
          <w:szCs w:val="24"/>
          <w:highlight w:val="none"/>
        </w:rPr>
        <w:t xml:space="preserve">　　　　　　　　 </w:t>
      </w:r>
      <w:bookmarkStart w:id="44" w:name="_Toc28359009"/>
      <w:bookmarkStart w:id="45" w:name="_Toc2835908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2.招标代理机构信息</w:t>
      </w:r>
      <w:bookmarkEnd w:id="44"/>
      <w:bookmarkEnd w:id="45"/>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江苏川页工程项目管理有限公司</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46" w:name="_Toc28359010"/>
      <w:bookmarkStart w:id="47" w:name="_Toc28359087"/>
      <w:r>
        <w:rPr>
          <w:rFonts w:hint="eastAsia" w:ascii="宋体" w:hAnsi="宋体" w:eastAsia="宋体" w:cs="宋体"/>
          <w:color w:val="auto"/>
          <w:sz w:val="24"/>
          <w:szCs w:val="24"/>
          <w:highlight w:val="none"/>
        </w:rPr>
        <w:t>赵建飞</w:t>
      </w:r>
      <w:r>
        <w:rPr>
          <w:rFonts w:hint="eastAsia" w:ascii="宋体" w:hAnsi="宋体" w:eastAsia="宋体" w:cs="宋体"/>
          <w:color w:val="auto"/>
          <w:sz w:val="24"/>
          <w:szCs w:val="24"/>
          <w:highlight w:val="none"/>
          <w:lang w:eastAsia="zh-CN"/>
        </w:rPr>
        <w:t>18755018236</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46"/>
      <w:bookmarkEnd w:id="4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招标办</w:t>
      </w:r>
      <w:r>
        <w:rPr>
          <w:rFonts w:hint="eastAsia" w:ascii="宋体" w:hAnsi="宋体" w:eastAsia="宋体" w:cs="宋体"/>
          <w:color w:val="auto"/>
          <w:sz w:val="24"/>
          <w:szCs w:val="24"/>
          <w:highlight w:val="none"/>
        </w:rPr>
        <w:t>、赵建飞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0550-3526032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18755018236</w:t>
      </w:r>
      <w:r>
        <w:rPr>
          <w:rFonts w:hint="eastAsia" w:ascii="宋体" w:hAnsi="宋体" w:eastAsia="宋体" w:cs="宋体"/>
          <w:color w:val="auto"/>
          <w:sz w:val="24"/>
          <w:szCs w:val="24"/>
          <w:highlight w:val="none"/>
        </w:rPr>
        <w:t>　　　　　　　　　</w:t>
      </w:r>
    </w:p>
    <w:p>
      <w:pPr>
        <w:rPr>
          <w:rFonts w:hint="eastAsia"/>
          <w:b/>
          <w:color w:val="auto"/>
          <w:sz w:val="28"/>
          <w:szCs w:val="28"/>
          <w:highlight w:val="none"/>
        </w:rPr>
      </w:pPr>
    </w:p>
    <w:bookmarkEnd w:id="0"/>
    <w:bookmarkEnd w:id="1"/>
    <w:bookmarkEnd w:id="2"/>
    <w:bookmarkEnd w:id="3"/>
    <w:p>
      <w:pPr>
        <w:pStyle w:val="3"/>
        <w:pageBreakBefore/>
        <w:adjustRightInd w:val="0"/>
        <w:snapToGrid w:val="0"/>
        <w:spacing w:before="0" w:after="0" w:line="560" w:lineRule="exact"/>
        <w:jc w:val="center"/>
        <w:rPr>
          <w:rFonts w:hint="eastAsia"/>
          <w:color w:val="auto"/>
          <w:highlight w:val="none"/>
        </w:rPr>
      </w:pPr>
      <w:bookmarkStart w:id="48" w:name="_Toc152042303"/>
      <w:bookmarkStart w:id="49" w:name="_Toc15058844"/>
      <w:bookmarkStart w:id="50" w:name="_Toc152045527"/>
      <w:bookmarkStart w:id="51" w:name="_Toc506107267"/>
      <w:bookmarkStart w:id="52" w:name="_Toc246996173"/>
      <w:bookmarkStart w:id="53" w:name="_Toc144974495"/>
      <w:bookmarkStart w:id="54" w:name="_Toc246996916"/>
      <w:bookmarkStart w:id="55" w:name="_Toc324404813"/>
      <w:bookmarkStart w:id="56" w:name="_Toc60061431"/>
      <w:bookmarkStart w:id="57" w:name="_Toc247085687"/>
      <w:bookmarkStart w:id="58" w:name="_Toc179632544"/>
      <w:bookmarkStart w:id="59" w:name="_Toc95223333"/>
      <w:r>
        <w:rPr>
          <w:rFonts w:hint="eastAsia"/>
          <w:color w:val="auto"/>
          <w:highlight w:val="none"/>
        </w:rPr>
        <w:t>第二章 投标人须知</w:t>
      </w:r>
      <w:bookmarkEnd w:id="48"/>
      <w:bookmarkEnd w:id="49"/>
      <w:bookmarkEnd w:id="50"/>
      <w:bookmarkEnd w:id="51"/>
      <w:bookmarkEnd w:id="52"/>
      <w:bookmarkEnd w:id="53"/>
      <w:bookmarkEnd w:id="54"/>
      <w:bookmarkEnd w:id="55"/>
      <w:bookmarkEnd w:id="56"/>
      <w:bookmarkEnd w:id="57"/>
      <w:bookmarkEnd w:id="58"/>
      <w:bookmarkEnd w:id="59"/>
    </w:p>
    <w:p>
      <w:pPr>
        <w:pStyle w:val="4"/>
        <w:adjustRightInd w:val="0"/>
        <w:snapToGrid w:val="0"/>
        <w:spacing w:before="0" w:after="0" w:line="560" w:lineRule="exact"/>
        <w:jc w:val="center"/>
        <w:rPr>
          <w:rFonts w:hint="eastAsia"/>
          <w:color w:val="auto"/>
          <w:highlight w:val="none"/>
        </w:rPr>
      </w:pPr>
      <w:bookmarkStart w:id="60" w:name="_Toc246996174"/>
      <w:bookmarkStart w:id="61" w:name="_Toc179632545"/>
      <w:bookmarkStart w:id="62" w:name="_Toc144974496"/>
      <w:bookmarkStart w:id="63" w:name="_Toc152042304"/>
      <w:bookmarkStart w:id="64" w:name="_Toc324404814"/>
      <w:bookmarkStart w:id="65" w:name="_Toc60061432"/>
      <w:bookmarkStart w:id="66" w:name="_Toc506107268"/>
      <w:bookmarkStart w:id="67" w:name="_Toc95223334"/>
      <w:bookmarkStart w:id="68" w:name="_Toc247085688"/>
      <w:bookmarkStart w:id="69" w:name="_Toc246996917"/>
      <w:bookmarkStart w:id="70" w:name="_Toc152045528"/>
      <w:bookmarkStart w:id="71" w:name="_Toc83301687"/>
      <w:bookmarkStart w:id="72" w:name="_Toc15058845"/>
      <w:bookmarkStart w:id="73" w:name="_Toc152045529"/>
      <w:bookmarkStart w:id="74" w:name="_Toc246996918"/>
      <w:bookmarkStart w:id="75" w:name="_Toc15058846"/>
      <w:bookmarkStart w:id="76" w:name="_Toc324404815"/>
      <w:bookmarkStart w:id="77" w:name="_Toc246996175"/>
      <w:bookmarkStart w:id="78" w:name="_Toc179632546"/>
      <w:bookmarkStart w:id="79" w:name="_Toc247085689"/>
      <w:bookmarkStart w:id="80" w:name="_Toc506107269"/>
      <w:bookmarkStart w:id="81" w:name="_Toc144974497"/>
      <w:bookmarkStart w:id="82" w:name="_Toc152042305"/>
      <w:r>
        <w:rPr>
          <w:rFonts w:hint="eastAsia"/>
          <w:color w:val="auto"/>
          <w:highlight w:val="none"/>
        </w:rPr>
        <w:t>投标人须知前附表</w:t>
      </w:r>
      <w:bookmarkEnd w:id="60"/>
      <w:bookmarkEnd w:id="61"/>
      <w:bookmarkEnd w:id="62"/>
      <w:bookmarkEnd w:id="63"/>
      <w:bookmarkEnd w:id="64"/>
      <w:bookmarkEnd w:id="65"/>
      <w:bookmarkEnd w:id="66"/>
      <w:bookmarkEnd w:id="67"/>
      <w:bookmarkEnd w:id="68"/>
      <w:bookmarkEnd w:id="69"/>
      <w:bookmarkEnd w:id="70"/>
      <w:bookmarkEnd w:id="71"/>
      <w:bookmarkEnd w:id="72"/>
    </w:p>
    <w:tbl>
      <w:tblPr>
        <w:tblStyle w:val="73"/>
        <w:tblW w:w="10175" w:type="dxa"/>
        <w:jc w:val="center"/>
        <w:tblInd w:w="0" w:type="dxa"/>
        <w:tblLayout w:type="fixed"/>
        <w:tblCellMar>
          <w:top w:w="0" w:type="dxa"/>
          <w:left w:w="108" w:type="dxa"/>
          <w:bottom w:w="0" w:type="dxa"/>
          <w:right w:w="108" w:type="dxa"/>
        </w:tblCellMar>
      </w:tblPr>
      <w:tblGrid>
        <w:gridCol w:w="1016"/>
        <w:gridCol w:w="1985"/>
        <w:gridCol w:w="7174"/>
      </w:tblGrid>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7174" w:type="dxa"/>
            <w:tcBorders>
              <w:top w:val="single" w:color="auto" w:sz="4" w:space="0"/>
              <w:left w:val="single" w:color="auto" w:sz="4" w:space="0"/>
              <w:bottom w:val="single" w:color="auto" w:sz="4" w:space="0"/>
              <w:right w:val="single" w:color="auto" w:sz="4" w:space="0"/>
            </w:tcBorders>
            <w:vAlign w:val="center"/>
          </w:tcPr>
          <w:p>
            <w:pPr>
              <w:pStyle w:val="86"/>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见招标公告</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资金来源及出资比例</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已落实</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本工程为交钥匙工程，采用包总价的 EPC 总承包方式，投标人需负责工程招标范围内的设计（拟采用混凝土屋面常规墩柱安装）、供货、施工和验收以及并网的所有工作内容，包括但不限于初步设计方案（中标后设计方案需报业主单位确认认可后方可实施）、发改委备案、施工图设计并提供竣工图纸、施工方案编制、设备和材料及备品备件购置、屋顶承载力复核验算及防水工作、设备电气及控制系统的安装、建筑工程施工、拆除修复工程、设备调试、电力系统并网、联合试运行、技术培训、运行人员培训和验收等达到项目正常稳定运行的所有内容，方案深化设计费、建筑物荷载测试费及质保均考虑在综合单价中。</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计划工期：</w:t>
            </w:r>
            <w:r>
              <w:rPr>
                <w:rFonts w:hint="eastAsia" w:hAnsi="宋体" w:eastAsia="宋体" w:cs="宋体"/>
                <w:b/>
                <w:color w:val="auto"/>
                <w:sz w:val="21"/>
                <w:szCs w:val="21"/>
                <w:highlight w:val="none"/>
                <w:lang w:eastAsia="zh-CN"/>
              </w:rPr>
              <w:t>不高于100个日历天</w:t>
            </w:r>
            <w:r>
              <w:rPr>
                <w:rFonts w:hint="eastAsia" w:ascii="宋体" w:hAnsi="宋体" w:eastAsia="宋体" w:cs="宋体"/>
                <w:b/>
                <w:color w:val="auto"/>
                <w:sz w:val="21"/>
                <w:szCs w:val="21"/>
                <w:highlight w:val="none"/>
              </w:rPr>
              <w:t>。</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计划开工日期：     年    月     日  （具体开工日期以开工通知为准或招标时由招标人根据实际情况自行规定）                   </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     年    月      日</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工期延误按</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lang w:val="en-US" w:eastAsia="zh-CN"/>
              </w:rPr>
              <w:t>元/天进行处罚.</w:t>
            </w:r>
            <w:r>
              <w:rPr>
                <w:rFonts w:hint="eastAsia" w:ascii="宋体" w:hAnsi="宋体" w:eastAsia="宋体" w:cs="宋体"/>
                <w:color w:val="auto"/>
                <w:sz w:val="21"/>
                <w:szCs w:val="21"/>
                <w:highlight w:val="none"/>
              </w:rPr>
              <w:t xml:space="preserve">                      </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1.3.3</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本工程质量应达到国家、地方或行业的质量检验标准、设计标准等有关规定，达到国家电网公司优质工程标准。工程“标准工艺”应用率≥95%；工程“零缺陷”投运；工程使用寿命满足公司质量要求；不发生因工程建设原因造成的六级及以上工程质量事件。</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施工过程中双方对工程质量发生争议，承包人同意发包人有权委托有资质的工程所在地（市、省）的第三方工程质量检测机构鉴定。经检验工程质量不符合合同约定的标准，检验所需相关费用由承包人负担，经检验工程质量符合约定的标准，检验所需费用由发包人负担。</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b/>
                <w:bCs/>
                <w:highlight w:val="none"/>
              </w:rPr>
            </w:pPr>
            <w:r>
              <w:rPr>
                <w:rFonts w:hint="eastAsia" w:ascii="宋体" w:hAnsi="宋体" w:eastAsia="宋体" w:cs="宋体"/>
                <w:b/>
                <w:bCs/>
                <w:color w:val="auto"/>
                <w:sz w:val="21"/>
                <w:szCs w:val="21"/>
                <w:highlight w:val="none"/>
                <w:lang w:val="en-US" w:eastAsia="zh-CN"/>
              </w:rPr>
              <w:t>3.所投产品制造商必须具有生产所需的生产场地、生产设备、生产人员、产品及元器件检测能力。本采购活动不接受贴牌代工、分包（采购文件中规定的允许外购外协的除外）、转包等行为。</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详见招标公告</w:t>
            </w:r>
          </w:p>
        </w:tc>
      </w:tr>
      <w:tr>
        <w:tblPrEx>
          <w:tblLayout w:type="fixed"/>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174"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kern w:val="0"/>
                <w:sz w:val="21"/>
                <w:szCs w:val="21"/>
                <w:highlight w:val="none"/>
              </w:rPr>
              <w:t>不组织，投标人自行组织踏勘</w:t>
            </w:r>
            <w:r>
              <w:rPr>
                <w:rFonts w:hint="eastAsia" w:ascii="宋体" w:hAnsi="宋体" w:eastAsia="宋体" w:cs="宋体"/>
                <w:color w:val="auto"/>
                <w:sz w:val="21"/>
                <w:szCs w:val="21"/>
                <w:highlight w:val="none"/>
              </w:rPr>
              <w:t>；</w:t>
            </w:r>
          </w:p>
        </w:tc>
      </w:tr>
      <w:tr>
        <w:tblPrEx>
          <w:tblLayout w:type="fixed"/>
          <w:tblCellMar>
            <w:top w:w="0" w:type="dxa"/>
            <w:left w:w="108" w:type="dxa"/>
            <w:bottom w:w="0" w:type="dxa"/>
            <w:right w:w="108" w:type="dxa"/>
          </w:tblCellMar>
        </w:tblPrEx>
        <w:trPr>
          <w:trHeight w:val="66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投标预备会</w:t>
            </w:r>
          </w:p>
        </w:tc>
        <w:tc>
          <w:tcPr>
            <w:tcW w:w="7174"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kern w:val="0"/>
                <w:sz w:val="21"/>
                <w:szCs w:val="21"/>
                <w:highlight w:val="none"/>
              </w:rPr>
              <w:t>不召开</w:t>
            </w:r>
            <w:r>
              <w:rPr>
                <w:rFonts w:hint="eastAsia" w:ascii="宋体" w:hAnsi="宋体" w:eastAsia="宋体" w:cs="宋体"/>
                <w:color w:val="auto"/>
                <w:sz w:val="21"/>
                <w:szCs w:val="21"/>
                <w:highlight w:val="none"/>
              </w:rPr>
              <w:t xml:space="preserve">； </w:t>
            </w:r>
          </w:p>
        </w:tc>
      </w:tr>
      <w:tr>
        <w:tblPrEx>
          <w:tblLayout w:type="fixed"/>
          <w:tblCellMar>
            <w:top w:w="0" w:type="dxa"/>
            <w:left w:w="108" w:type="dxa"/>
            <w:bottom w:w="0" w:type="dxa"/>
            <w:right w:w="108" w:type="dxa"/>
          </w:tblCellMar>
        </w:tblPrEx>
        <w:trPr>
          <w:trHeight w:val="245"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不</w:t>
            </w:r>
            <w:r>
              <w:rPr>
                <w:rFonts w:hint="eastAsia" w:ascii="宋体" w:hAnsi="宋体" w:eastAsia="宋体" w:cs="宋体"/>
                <w:color w:val="auto"/>
                <w:spacing w:val="-4"/>
                <w:kern w:val="0"/>
                <w:sz w:val="21"/>
                <w:szCs w:val="21"/>
                <w:highlight w:val="none"/>
                <w:u w:val="none"/>
                <w:lang w:val="en-US" w:eastAsia="zh-CN" w:bidi="ar-SA"/>
              </w:rPr>
              <w:t xml:space="preserve">允许  </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构成招标文件的其他资料</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清单控制价、图纸、更正公告等</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投标人提出异议的截止时间及方式</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如投标人对招标文件有疑问，请于 2024年</w:t>
            </w:r>
            <w:r>
              <w:rPr>
                <w:rFonts w:hint="eastAsia"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月</w:t>
            </w:r>
            <w:r>
              <w:rPr>
                <w:rFonts w:hint="eastAsia"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日17时前以邮件的形式发送到招标代理公司邮箱：290407638@qq.com</w:t>
            </w:r>
          </w:p>
        </w:tc>
      </w:tr>
      <w:tr>
        <w:tblPrEx>
          <w:tblLayout w:type="fixed"/>
          <w:tblCellMar>
            <w:top w:w="0" w:type="dxa"/>
            <w:left w:w="108" w:type="dxa"/>
            <w:bottom w:w="0" w:type="dxa"/>
            <w:right w:w="108" w:type="dxa"/>
          </w:tblCellMar>
        </w:tblPrEx>
        <w:trPr>
          <w:trHeight w:val="826"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招标人澄清的时间及方式</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2024</w:t>
            </w:r>
            <w:r>
              <w:rPr>
                <w:rFonts w:hint="eastAsia" w:hAnsi="宋体" w:eastAsia="宋体" w:cs="宋体"/>
                <w:color w:val="auto"/>
                <w:sz w:val="21"/>
                <w:szCs w:val="21"/>
                <w:highlight w:val="none"/>
                <w:u w:val="single"/>
                <w:lang w:val="en-US" w:eastAsia="zh-CN"/>
              </w:rPr>
              <w:t>年11</w:t>
            </w:r>
            <w:r>
              <w:rPr>
                <w:rFonts w:hint="eastAsia" w:ascii="宋体" w:hAnsi="宋体" w:eastAsia="宋体" w:cs="宋体"/>
                <w:color w:val="auto"/>
                <w:sz w:val="21"/>
                <w:szCs w:val="21"/>
                <w:highlight w:val="none"/>
              </w:rPr>
              <w:t>月</w:t>
            </w:r>
            <w:r>
              <w:rPr>
                <w:rFonts w:hint="eastAsia" w:hAnsi="宋体" w:eastAsia="宋体" w:cs="宋体"/>
                <w:color w:val="auto"/>
                <w:sz w:val="21"/>
                <w:szCs w:val="21"/>
                <w:highlight w:val="none"/>
                <w:u w:val="single"/>
                <w:lang w:val="en-US" w:eastAsia="zh-CN"/>
              </w:rPr>
              <w:t xml:space="preserve">28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17</w:t>
            </w:r>
            <w:r>
              <w:rPr>
                <w:rFonts w:hint="eastAsia" w:ascii="宋体" w:hAnsi="宋体" w:eastAsia="宋体" w:cs="宋体"/>
                <w:color w:val="auto"/>
                <w:sz w:val="21"/>
                <w:szCs w:val="21"/>
                <w:highlight w:val="none"/>
              </w:rPr>
              <w:t>时前在</w:t>
            </w:r>
            <w:r>
              <w:rPr>
                <w:rFonts w:hint="eastAsia" w:hAnsi="宋体" w:eastAsia="宋体" w:cs="宋体"/>
                <w:color w:val="auto"/>
                <w:sz w:val="21"/>
                <w:szCs w:val="21"/>
                <w:highlight w:val="none"/>
                <w:lang w:val="en-US" w:eastAsia="zh-CN"/>
              </w:rPr>
              <w:t>滁州市第一人民医院网（http://www.czdyrmyy.com/）</w:t>
            </w:r>
            <w:r>
              <w:rPr>
                <w:rFonts w:hint="eastAsia" w:ascii="宋体" w:hAnsi="宋体" w:eastAsia="宋体" w:cs="宋体"/>
                <w:color w:val="auto"/>
                <w:sz w:val="21"/>
                <w:szCs w:val="21"/>
                <w:highlight w:val="none"/>
              </w:rPr>
              <w:t>予以公告。</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最高投标限价</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hAnsi="宋体" w:eastAsia="宋体" w:cs="宋体"/>
                <w:b/>
                <w:bCs/>
                <w:color w:val="auto"/>
                <w:sz w:val="21"/>
                <w:szCs w:val="21"/>
                <w:highlight w:val="none"/>
                <w:u w:val="single"/>
                <w:lang w:eastAsia="zh-CN"/>
              </w:rPr>
            </w:pPr>
            <w:r>
              <w:rPr>
                <w:rFonts w:hint="eastAsia" w:ascii="宋体" w:hAnsi="宋体" w:eastAsia="宋体" w:cs="宋体"/>
                <w:color w:val="auto"/>
                <w:sz w:val="21"/>
                <w:szCs w:val="21"/>
                <w:highlight w:val="none"/>
              </w:rPr>
              <w:t>最高投标限价：</w:t>
            </w:r>
            <w:r>
              <w:rPr>
                <w:rFonts w:hint="eastAsia" w:hAnsi="宋体" w:eastAsia="宋体" w:cs="宋体"/>
                <w:b/>
                <w:bCs/>
                <w:color w:val="auto"/>
                <w:sz w:val="21"/>
                <w:szCs w:val="21"/>
                <w:highlight w:val="none"/>
                <w:u w:val="single"/>
                <w:lang w:val="en-US" w:eastAsia="zh-CN"/>
              </w:rPr>
              <w:t>50.70万元，高于最高限价的作无效标处理</w:t>
            </w:r>
            <w:r>
              <w:rPr>
                <w:rFonts w:hint="eastAsia" w:hAnsi="宋体" w:eastAsia="宋体" w:cs="宋体"/>
                <w:b/>
                <w:bCs/>
                <w:color w:val="auto"/>
                <w:sz w:val="21"/>
                <w:szCs w:val="21"/>
                <w:highlight w:val="none"/>
                <w:u w:val="single"/>
                <w:lang w:eastAsia="zh-CN"/>
              </w:rPr>
              <w:t>。</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注：130KWp为初步测算总容量，最终结算金额以直流侧并网总容量乘以中标单价计算。</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发布时间：</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hAnsi="宋体" w:eastAsia="宋体" w:cs="宋体"/>
                <w:color w:val="auto"/>
                <w:sz w:val="21"/>
                <w:szCs w:val="21"/>
                <w:highlight w:val="none"/>
                <w:u w:val="single"/>
                <w:lang w:val="en-US" w:eastAsia="zh-CN"/>
              </w:rPr>
              <w:t xml:space="preserve"> 11 </w:t>
            </w:r>
            <w:r>
              <w:rPr>
                <w:rFonts w:hint="eastAsia" w:ascii="宋体" w:hAnsi="宋体" w:eastAsia="宋体" w:cs="宋体"/>
                <w:color w:val="auto"/>
                <w:sz w:val="21"/>
                <w:szCs w:val="21"/>
                <w:highlight w:val="none"/>
              </w:rPr>
              <w:t>月</w:t>
            </w:r>
            <w:r>
              <w:rPr>
                <w:rFonts w:hint="eastAsia" w:hAnsi="宋体" w:eastAsia="宋体" w:cs="宋体"/>
                <w:color w:val="auto"/>
                <w:sz w:val="21"/>
                <w:szCs w:val="21"/>
                <w:highlight w:val="none"/>
                <w:u w:val="single"/>
                <w:lang w:val="en-US" w:eastAsia="zh-CN"/>
              </w:rPr>
              <w:t xml:space="preserve"> 21 </w:t>
            </w:r>
            <w:r>
              <w:rPr>
                <w:rFonts w:hint="eastAsia" w:ascii="宋体" w:hAnsi="宋体" w:eastAsia="宋体" w:cs="宋体"/>
                <w:color w:val="auto"/>
                <w:sz w:val="21"/>
                <w:szCs w:val="21"/>
                <w:highlight w:val="none"/>
              </w:rPr>
              <w:t>日</w:t>
            </w:r>
            <w:r>
              <w:rPr>
                <w:rFonts w:hint="eastAsia" w:hAnsi="宋体" w:eastAsia="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发布媒介：</w:t>
            </w:r>
            <w:r>
              <w:rPr>
                <w:rFonts w:hint="eastAsia" w:hAnsi="宋体" w:eastAsia="宋体" w:cs="宋体"/>
                <w:b/>
                <w:bCs/>
                <w:color w:val="auto"/>
                <w:kern w:val="0"/>
                <w:sz w:val="21"/>
                <w:szCs w:val="21"/>
                <w:highlight w:val="none"/>
                <w:lang w:val="en-US" w:eastAsia="zh-CN"/>
              </w:rPr>
              <w:t>滁州市第一人民医院</w:t>
            </w:r>
            <w:r>
              <w:rPr>
                <w:rFonts w:hint="eastAsia" w:ascii="宋体" w:hAnsi="宋体" w:eastAsia="宋体" w:cs="宋体"/>
                <w:b/>
                <w:bCs/>
                <w:color w:val="auto"/>
                <w:kern w:val="0"/>
                <w:sz w:val="21"/>
                <w:szCs w:val="21"/>
                <w:highlight w:val="none"/>
              </w:rPr>
              <w:t>网站</w:t>
            </w:r>
          </w:p>
        </w:tc>
      </w:tr>
      <w:tr>
        <w:tblPrEx>
          <w:tblLayout w:type="fixed"/>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174"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autoSpaceDE/>
              <w:autoSpaceDN/>
              <w:bidi w:val="0"/>
              <w:adjustRightInd w:val="0"/>
              <w:snapToGrid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日历天。在此期限内，凡符合本招标文件要求的投标文件均保持有效。</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3.5.8</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正副本不一致时，以正本为准。</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投标文件密封及装订要求</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default" w:ascii="宋体" w:hAnsi="宋体" w:eastAsia="宋体" w:cs="宋体"/>
                <w:b/>
                <w:color w:val="auto"/>
                <w:kern w:val="0"/>
                <w:sz w:val="21"/>
                <w:szCs w:val="21"/>
                <w:highlight w:val="none"/>
                <w:lang w:val="en-US" w:eastAsia="zh-CN"/>
              </w:rPr>
            </w:pPr>
            <w:r>
              <w:rPr>
                <w:rFonts w:hint="eastAsia" w:ascii="宋体" w:hAnsi="宋体" w:eastAsia="宋体" w:cs="宋体"/>
                <w:b/>
                <w:spacing w:val="-4"/>
                <w:kern w:val="0"/>
                <w:sz w:val="21"/>
                <w:szCs w:val="21"/>
                <w:highlight w:val="none"/>
                <w:lang w:val="en-US" w:eastAsia="zh-CN"/>
              </w:rPr>
              <w:t>一正两副装订成册，</w:t>
            </w:r>
            <w:r>
              <w:rPr>
                <w:rFonts w:hint="eastAsia" w:ascii="宋体" w:hAnsi="宋体" w:eastAsia="宋体" w:cs="宋体"/>
                <w:b/>
                <w:color w:val="auto"/>
                <w:kern w:val="0"/>
                <w:sz w:val="21"/>
                <w:szCs w:val="21"/>
                <w:highlight w:val="none"/>
                <w:lang w:val="en-US" w:eastAsia="zh-CN"/>
              </w:rPr>
              <w:t>资信、技术、商务</w:t>
            </w:r>
            <w:r>
              <w:rPr>
                <w:rFonts w:hint="eastAsia" w:ascii="宋体" w:hAnsi="宋体" w:eastAsia="宋体" w:cs="宋体"/>
                <w:b/>
                <w:color w:val="0000FF"/>
                <w:kern w:val="0"/>
                <w:sz w:val="21"/>
                <w:szCs w:val="21"/>
                <w:highlight w:val="none"/>
                <w:lang w:val="en-US" w:eastAsia="zh-CN"/>
              </w:rPr>
              <w:t>分别</w:t>
            </w:r>
            <w:r>
              <w:rPr>
                <w:rFonts w:hint="eastAsia" w:ascii="宋体" w:hAnsi="宋体" w:eastAsia="宋体" w:cs="宋体"/>
                <w:b/>
                <w:color w:val="auto"/>
                <w:kern w:val="0"/>
                <w:sz w:val="21"/>
                <w:szCs w:val="21"/>
                <w:highlight w:val="none"/>
                <w:lang w:val="en-US" w:eastAsia="zh-CN"/>
              </w:rPr>
              <w:t>密封，档案袋封面注明项目名称、单位、联系人及联系方式。</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Layout w:type="fixed"/>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投标文件报评审委员会，按顺序评审</w:t>
            </w:r>
          </w:p>
        </w:tc>
      </w:tr>
      <w:tr>
        <w:tblPrEx>
          <w:tblLayout w:type="fixed"/>
          <w:tblCellMar>
            <w:top w:w="0" w:type="dxa"/>
            <w:left w:w="108" w:type="dxa"/>
            <w:bottom w:w="0" w:type="dxa"/>
            <w:right w:w="108" w:type="dxa"/>
          </w:tblCellMar>
        </w:tblPrEx>
        <w:trPr>
          <w:trHeight w:val="488"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w:t>
            </w:r>
            <w:r>
              <w:rPr>
                <w:rFonts w:hint="eastAsia" w:ascii="宋体" w:hAnsi="宋体" w:eastAsia="宋体" w:cs="宋体"/>
                <w:color w:val="auto"/>
                <w:sz w:val="21"/>
                <w:szCs w:val="21"/>
                <w:highlight w:val="none"/>
                <w:lang w:val="en-US" w:eastAsia="zh-CN"/>
              </w:rPr>
              <w:t>依法组建</w:t>
            </w:r>
          </w:p>
        </w:tc>
      </w:tr>
      <w:tr>
        <w:tblPrEx>
          <w:tblLayout w:type="fixed"/>
          <w:tblCellMar>
            <w:top w:w="0" w:type="dxa"/>
            <w:left w:w="108" w:type="dxa"/>
            <w:bottom w:w="0" w:type="dxa"/>
            <w:right w:w="108" w:type="dxa"/>
          </w:tblCellMar>
        </w:tblPrEx>
        <w:trPr>
          <w:trHeight w:val="735"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评标委员会确定中标候选人的人数</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名，并标明排序。</w:t>
            </w:r>
          </w:p>
        </w:tc>
      </w:tr>
      <w:tr>
        <w:tblPrEx>
          <w:tblLayout w:type="fixed"/>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中标结果公示媒介</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val="0"/>
              <w:snapToGrid w:val="0"/>
              <w:spacing w:line="40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公示媒介：</w:t>
            </w:r>
            <w:r>
              <w:rPr>
                <w:rFonts w:hint="eastAsia" w:hAnsi="宋体" w:eastAsia="宋体" w:cs="宋体"/>
                <w:bCs/>
                <w:color w:val="auto"/>
                <w:sz w:val="21"/>
                <w:szCs w:val="21"/>
                <w:highlight w:val="none"/>
                <w:lang w:val="en-US" w:eastAsia="zh-CN"/>
              </w:rPr>
              <w:t>滁州市第一人民医院网（http://www.czdyrmyy.com/）</w:t>
            </w:r>
          </w:p>
          <w:p>
            <w:pPr>
              <w:keepNext w:val="0"/>
              <w:keepLines w:val="0"/>
              <w:pageBreakBefore w:val="0"/>
              <w:widowControl/>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公示期限：公示发布次日起3日（如公示第三日为休息日或节假日，则顺延至休息日或节假日后第一个工作日）</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是   </w:t>
            </w:r>
          </w:p>
        </w:tc>
      </w:tr>
      <w:tr>
        <w:tblPrEx>
          <w:tblLayout w:type="fixed"/>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198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中标通知书发出形式</w:t>
            </w:r>
          </w:p>
        </w:tc>
        <w:tc>
          <w:tcPr>
            <w:tcW w:w="717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中标通知书须加盖招标人及代理机构公章后方可发出。</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8</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w:t>
            </w:r>
          </w:p>
        </w:tc>
        <w:tc>
          <w:tcPr>
            <w:tcW w:w="71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中标通知书发出之日起</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tblPrEx>
          <w:tblLayout w:type="fixed"/>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10.需要补充的其他内容</w:t>
            </w:r>
          </w:p>
        </w:tc>
      </w:tr>
      <w:tr>
        <w:tblPrEx>
          <w:tblLayout w:type="fixed"/>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10.1招标代理服务费和专家评审劳务费</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代理服务费金额：2535.00元；</w:t>
            </w:r>
          </w:p>
          <w:p>
            <w:pPr>
              <w:keepNext w:val="0"/>
              <w:keepLines w:val="0"/>
              <w:pageBreakBefore w:val="0"/>
              <w:kinsoku/>
              <w:wordWrap/>
              <w:overflowPunct/>
              <w:autoSpaceDE/>
              <w:autoSpaceDN/>
              <w:bidi w:val="0"/>
              <w:adjustRightInd w:val="0"/>
              <w:snapToGrid w:val="0"/>
              <w:spacing w:line="400" w:lineRule="exact"/>
              <w:textAlignment w:val="auto"/>
              <w:rPr>
                <w:rFonts w:hint="default"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代理服务费支付主体：由中标人再领取中标通知书时一次性支付。</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专家评审劳务费</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费用或支付标准：</w:t>
            </w:r>
            <w:r>
              <w:rPr>
                <w:rFonts w:hint="eastAsia" w:ascii="宋体" w:hAnsi="宋体" w:eastAsia="宋体" w:cs="宋体"/>
                <w:b w:val="0"/>
                <w:bCs w:val="0"/>
                <w:color w:val="auto"/>
                <w:sz w:val="21"/>
                <w:szCs w:val="21"/>
                <w:highlight w:val="none"/>
                <w:lang w:val="en-US" w:eastAsia="zh-CN"/>
              </w:rPr>
              <w:t>另计，</w:t>
            </w:r>
            <w:r>
              <w:rPr>
                <w:rFonts w:hint="eastAsia" w:ascii="宋体" w:hAnsi="宋体" w:eastAsia="宋体" w:cs="宋体"/>
                <w:b w:val="0"/>
                <w:bCs w:val="0"/>
                <w:color w:val="auto"/>
                <w:sz w:val="21"/>
                <w:szCs w:val="21"/>
                <w:highlight w:val="none"/>
              </w:rPr>
              <w:t>以实际发生为准；</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支付主体：</w:t>
            </w:r>
            <w:r>
              <w:rPr>
                <w:rFonts w:hint="eastAsia" w:ascii="宋体" w:hAnsi="宋体" w:eastAsia="宋体" w:cs="宋体"/>
                <w:b w:val="0"/>
                <w:bCs w:val="0"/>
                <w:color w:val="auto"/>
                <w:spacing w:val="4"/>
                <w:sz w:val="21"/>
                <w:szCs w:val="21"/>
                <w:highlight w:val="none"/>
                <w:lang w:val="en-US" w:eastAsia="zh-CN"/>
              </w:rPr>
              <w:t>中标人</w:t>
            </w:r>
            <w:r>
              <w:rPr>
                <w:rFonts w:hint="eastAsia" w:ascii="宋体" w:hAnsi="宋体" w:eastAsia="宋体" w:cs="宋体"/>
                <w:b w:val="0"/>
                <w:bCs w:val="0"/>
                <w:color w:val="auto"/>
                <w:spacing w:val="4"/>
                <w:sz w:val="21"/>
                <w:szCs w:val="21"/>
                <w:highlight w:val="none"/>
              </w:rPr>
              <w:t>。</w:t>
            </w:r>
          </w:p>
        </w:tc>
      </w:tr>
      <w:tr>
        <w:tblPrEx>
          <w:tblLayout w:type="fixed"/>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color w:val="auto"/>
                <w:sz w:val="21"/>
                <w:szCs w:val="21"/>
                <w:highlight w:val="none"/>
              </w:rPr>
              <w:t>10.2 招标文件获取与通知</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lang w:val="en-US" w:eastAsia="zh-CN"/>
              </w:rPr>
              <w:t>1</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lang w:val="en-US" w:eastAsia="zh-CN"/>
              </w:rPr>
              <w:t>招标文件、</w:t>
            </w:r>
            <w:r>
              <w:rPr>
                <w:rFonts w:hint="eastAsia" w:ascii="宋体" w:hAnsi="宋体" w:eastAsia="宋体" w:cs="宋体"/>
                <w:bCs/>
                <w:snapToGrid w:val="0"/>
                <w:color w:val="auto"/>
                <w:kern w:val="0"/>
                <w:sz w:val="21"/>
                <w:szCs w:val="21"/>
                <w:highlight w:val="none"/>
              </w:rPr>
              <w:t>图纸获取说明</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hAnsi="宋体" w:eastAsia="宋体" w:cs="宋体"/>
                <w:bCs/>
                <w:color w:val="auto"/>
                <w:sz w:val="21"/>
                <w:szCs w:val="21"/>
                <w:highlight w:val="none"/>
                <w:lang w:val="en-US" w:eastAsia="zh-CN"/>
              </w:rPr>
              <w:t>滁州市第一人民医院网（http://www.czdyrmyy.com/）</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投标人应自行下载。</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lang w:val="en-US" w:eastAsia="zh-CN"/>
              </w:rPr>
              <w:t>2</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rPr>
              <w:t>获取与查看通知</w:t>
            </w:r>
          </w:p>
        </w:tc>
        <w:tc>
          <w:tcPr>
            <w:tcW w:w="7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rPr>
              <w:t>本项目的招标文件、工程量清单、最高投标限价、澄清及修改等相关资料均通过</w:t>
            </w:r>
            <w:r>
              <w:rPr>
                <w:rFonts w:hint="eastAsia" w:hAnsi="宋体" w:eastAsia="宋体" w:cs="宋体"/>
                <w:bCs/>
                <w:color w:val="auto"/>
                <w:sz w:val="21"/>
                <w:szCs w:val="21"/>
                <w:highlight w:val="none"/>
                <w:u w:val="single"/>
                <w:lang w:val="en-US" w:eastAsia="zh-CN"/>
              </w:rPr>
              <w:t>滁州市第一人民医院网（http://www.czdyrmyy.com/）</w:t>
            </w:r>
            <w:r>
              <w:rPr>
                <w:rFonts w:hint="eastAsia" w:ascii="宋体" w:hAnsi="宋体" w:eastAsia="宋体" w:cs="宋体"/>
                <w:bCs/>
                <w:snapToGrid w:val="0"/>
                <w:color w:val="auto"/>
                <w:kern w:val="0"/>
                <w:sz w:val="21"/>
                <w:szCs w:val="21"/>
                <w:highlight w:val="none"/>
              </w:rPr>
              <w:t>发布，投标人应自行下载。</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bookmarkStart w:id="83" w:name="_Toc283798422"/>
            <w:bookmarkStart w:id="84" w:name="_Toc95223335"/>
            <w:bookmarkStart w:id="85" w:name="_Toc38879323"/>
            <w:bookmarkStart w:id="86" w:name="_Toc25869"/>
            <w:r>
              <w:rPr>
                <w:rFonts w:hint="eastAsia" w:ascii="宋体" w:hAnsi="宋体" w:eastAsia="宋体" w:cs="宋体"/>
                <w:b/>
                <w:bCs/>
                <w:color w:val="auto"/>
                <w:sz w:val="21"/>
                <w:szCs w:val="21"/>
                <w:highlight w:val="none"/>
                <w:lang w:val="en-US" w:eastAsia="zh-CN"/>
              </w:rPr>
              <w:t>总包服务费</w:t>
            </w:r>
          </w:p>
        </w:tc>
        <w:tc>
          <w:tcPr>
            <w:tcW w:w="91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总包服务费按专业工程结算造价的3%计取（水、电 费另计，按实结算），由中标单位按照中标金额的3%缴纳给总包单位，投标单位在投标报价的时候须充分考虑该项费用。</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lang w:val="en-US" w:eastAsia="zh-CN"/>
              </w:rPr>
              <w:t>付款</w:t>
            </w:r>
          </w:p>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lang w:val="en-US" w:eastAsia="zh-CN"/>
              </w:rPr>
              <w:t>方式</w:t>
            </w:r>
          </w:p>
        </w:tc>
        <w:tc>
          <w:tcPr>
            <w:tcW w:w="91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程完工并经并网验收合格付至合同价款的85%，结算审核完成后付至结算价款的98%，剩余2%作为质量保证金，工程缺陷责任期（自竣工验收合格之日起满2年）满后付清余款（无息）。质量保证金支持保函（银行保函、担保机构担保、保证保险）使用（须为见索即付无条件保函）。采用保函的不再从工程进度款中扣留质量保证金，保函有效期须与工程缺陷责任期截止时间保持一致。</w:t>
            </w:r>
          </w:p>
        </w:tc>
      </w:tr>
      <w:tr>
        <w:tblPrEx>
          <w:tblLayout w:type="fixed"/>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default" w:hAnsi="宋体" w:eastAsia="宋体" w:cs="宋体"/>
                <w:b/>
                <w:bCs/>
                <w:color w:val="auto"/>
                <w:sz w:val="21"/>
                <w:szCs w:val="21"/>
                <w:highlight w:val="none"/>
                <w:lang w:val="en-US" w:eastAsia="zh-CN"/>
              </w:rPr>
            </w:pPr>
            <w:bookmarkStart w:id="87" w:name="_Toc83301688"/>
            <w:bookmarkStart w:id="88" w:name="_Toc95223336"/>
            <w:bookmarkStart w:id="89" w:name="_Toc60061433"/>
            <w:r>
              <w:rPr>
                <w:rFonts w:hint="eastAsia" w:hAnsi="宋体" w:eastAsia="宋体" w:cs="宋体"/>
                <w:b/>
                <w:bCs/>
                <w:color w:val="auto"/>
                <w:sz w:val="21"/>
                <w:szCs w:val="21"/>
                <w:highlight w:val="none"/>
                <w:lang w:val="en-US" w:eastAsia="zh-CN"/>
              </w:rPr>
              <w:t>重要说明</w:t>
            </w:r>
          </w:p>
        </w:tc>
        <w:tc>
          <w:tcPr>
            <w:tcW w:w="91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1.本工程为交钥匙工程，采用包总价的EPC总承包方式， 投标人需负责工程招标范围内的设计（拟采用混凝土屋面常规墩柱安装）、供货、施工和验收以及并网的所有工作内容，包括但不限于初步设计方案（中标后设计方案需报业主单位确认认可后方可实施）、发改委备案、施工图设计并提供竣工图纸、施工方案编制、设备和材料及备品备件购置、屋顶承载力复核验算及防水工作、设备电气及控制系统的安装、建筑工程施工、拆除修复工程、设备调试、电力系统并网、联合试运行、技术培训、运行人员培训和验收等达到项目正常稳定运行的所有内容，方案深化设计费、建筑物荷载测试费及质保均考虑在综合单价中。 </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夹具、常规支架、直流电缆、交流低压电缆、桥架、扁铁、接地线、水清洗系统、检修通道、视频监控、光伏并网柜等材料采购；项目光伏安装施工、逆变器安装调试、支架拼装、组件拼装、交直流电缆敷设、线槽敷设接线、并网柜安装等；配合发包人完成发改委备案、并网申请为全额上网模式、并网验收（发电能力需满足国家规定的标准）；本项目质保期2年，其中光伏组件质保25年，逆变器质保10年。</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3.安装、调试：场内所有光伏区建筑安装、施工、试验及调试等；配合整个项目的系统调试及安全稳定可靠性试运行，满足项目验收条件，以及试运行、考核验收、培训和最终转入正式运行交付使用等。</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工程协调与服务：协助发包人办理开工手续；负责处理工程建设中涉及的政策处理相关事宜，购买建设期工程一切险（含第三者责任险）、人身意外伤害险等保险；负责技术培训、生产移交、以及质保期内的相关服务等。</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工程施工和设备选型应满足当地环保、消防、城建规划、水保、防洪、国家电网公司、发包人、质量（安全）监督站、电力建设质量监督等验收要求（即便在招标范围内没有载明，但实际证明是确保项目发电运行、确保通过各方验收所必须的服务，则需纳入采购、安装及提供服务范围并最终由发包人确定）,工程交付前由承包方承担全部安全责任。</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6.配合试运行：移交前的试运行工作由承包人负责。</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7.验收：各专项验收、国家电网公司并网验收、项目公司组织的法人验收及政府主管部门的综合竣工验收等均由承包人负责。</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8.投标人应在投标文件中编制光伏施工方案及保证屋顶方企业正常生产的控制措施，屋顶翻修方案要得到屋顶资产方认可，配变安装区域审批和杂物清理。</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设备和材料采购：按照发包人的规划方案要求进行设计，完成所有变配电区设备、光伏区设备、控制室设备、全站电力及控制电缆、光缆及所有施工涉及到的相关材料的采购安装、运输、卸货、场内运输和管理及配合调试，且主要设备品牌须经发包人认可。接入电网工程包含在本工程范围内，承包人负责与当地电力部门联系并完成接入系统的施工，发包人负责协调配合承包人开展接入电网工程。</w:t>
            </w:r>
          </w:p>
          <w:p>
            <w:pPr>
              <w:keepNext w:val="0"/>
              <w:keepLines w:val="0"/>
              <w:pageBreakBefore w:val="0"/>
              <w:kinsoku/>
              <w:wordWrap/>
              <w:overflowPunct/>
              <w:autoSpaceDE/>
              <w:autoSpaceDN/>
              <w:bidi w:val="0"/>
              <w:adjustRightInd w:val="0"/>
              <w:snapToGrid w:val="0"/>
              <w:spacing w:line="4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10.拟派施工现场专职安全生产管理人员，具有“三类人员”C类证书,人数符合中华人民共和国住房和城乡建设部建质[2008]91号《建筑施工企业安全生产管理机构设置及专职安全生产管理人员配备办法》的规定。</w:t>
            </w:r>
          </w:p>
        </w:tc>
      </w:tr>
      <w:bookmarkEnd w:id="83"/>
      <w:bookmarkEnd w:id="84"/>
      <w:bookmarkEnd w:id="85"/>
      <w:bookmarkEnd w:id="86"/>
    </w:tbl>
    <w:p>
      <w:pPr>
        <w:pStyle w:val="4"/>
        <w:pageBreakBefore/>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cs="黑体"/>
          <w:color w:val="auto"/>
          <w:sz w:val="21"/>
          <w:szCs w:val="21"/>
          <w:highlight w:val="none"/>
        </w:rPr>
      </w:pPr>
      <w:r>
        <w:rPr>
          <w:rFonts w:hint="eastAsia" w:ascii="黑体" w:hAnsi="黑体" w:cs="黑体"/>
          <w:color w:val="auto"/>
          <w:sz w:val="21"/>
          <w:szCs w:val="21"/>
          <w:highlight w:val="none"/>
        </w:rPr>
        <w:t>1. 总则</w:t>
      </w:r>
      <w:bookmarkEnd w:id="73"/>
      <w:bookmarkEnd w:id="74"/>
      <w:bookmarkEnd w:id="75"/>
      <w:bookmarkEnd w:id="76"/>
      <w:bookmarkEnd w:id="77"/>
      <w:bookmarkEnd w:id="78"/>
      <w:bookmarkEnd w:id="79"/>
      <w:bookmarkEnd w:id="80"/>
      <w:bookmarkEnd w:id="81"/>
      <w:bookmarkEnd w:id="82"/>
      <w:bookmarkEnd w:id="87"/>
      <w:bookmarkEnd w:id="88"/>
      <w:bookmarkEnd w:id="89"/>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90" w:name="_Toc506107270"/>
      <w:bookmarkStart w:id="91" w:name="_Toc296602421"/>
      <w:bookmarkStart w:id="92" w:name="_Toc324404816"/>
      <w:bookmarkStart w:id="93" w:name="_Toc144974498"/>
      <w:bookmarkStart w:id="94" w:name="_Toc246996919"/>
      <w:bookmarkStart w:id="95" w:name="_Toc95223337"/>
      <w:bookmarkStart w:id="96" w:name="_Toc15058847"/>
      <w:bookmarkStart w:id="97" w:name="_Toc152045530"/>
      <w:bookmarkStart w:id="98" w:name="_Toc246996176"/>
      <w:bookmarkStart w:id="99" w:name="_Toc60061434"/>
      <w:bookmarkStart w:id="100" w:name="_Toc247085690"/>
      <w:bookmarkStart w:id="101" w:name="_Toc83301689"/>
      <w:bookmarkStart w:id="102" w:name="_Toc179632547"/>
      <w:bookmarkStart w:id="103" w:name="_Toc152042306"/>
      <w:r>
        <w:rPr>
          <w:rFonts w:hint="eastAsia" w:ascii="黑体" w:hAnsi="黑体" w:eastAsia="黑体" w:cs="黑体"/>
          <w:color w:val="auto"/>
          <w:sz w:val="21"/>
          <w:szCs w:val="21"/>
          <w:highlight w:val="none"/>
        </w:rPr>
        <w:t>1.1 项目概况</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1.1.1根据《中华人民共和国招标投标法》《中华人民共和国招标投标法实施条例》等有关法律、法规和规章的规定，本招标项目已具备招标条件，现对本项目施工进行招标。</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1.1.2本招标项目估算金额：约50.70万元</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本招标项目名称：</w:t>
      </w:r>
      <w:r>
        <w:rPr>
          <w:rFonts w:hint="eastAsia" w:ascii="宋体" w:hAnsi="宋体" w:eastAsia="宋体" w:cs="宋体"/>
          <w:color w:val="auto"/>
          <w:sz w:val="21"/>
          <w:szCs w:val="21"/>
          <w:highlight w:val="none"/>
          <w:lang w:val="en-US" w:eastAsia="zh-CN"/>
        </w:rPr>
        <w:t>滁州市第一人民医院北区扩建项目分布式光伏发电EPC总承包工程</w:t>
      </w:r>
      <w:r>
        <w:rPr>
          <w:rFonts w:hint="eastAsia" w:ascii="宋体" w:hAnsi="宋体" w:eastAsia="宋体" w:cs="宋体"/>
          <w:color w:val="auto"/>
          <w:sz w:val="21"/>
          <w:szCs w:val="21"/>
          <w:highlight w:val="none"/>
        </w:rPr>
        <w:t>。</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本招标项目建设地点：</w:t>
      </w:r>
      <w:r>
        <w:rPr>
          <w:rFonts w:hint="eastAsia" w:ascii="宋体" w:hAnsi="宋体" w:eastAsia="宋体" w:cs="宋体"/>
          <w:color w:val="auto"/>
          <w:sz w:val="21"/>
          <w:szCs w:val="21"/>
          <w:highlight w:val="none"/>
          <w:lang w:val="en-US" w:eastAsia="zh-CN"/>
        </w:rPr>
        <w:t>滁州市第一人民医院</w:t>
      </w:r>
      <w:r>
        <w:rPr>
          <w:rFonts w:hint="eastAsia" w:ascii="宋体" w:hAnsi="宋体" w:eastAsia="宋体" w:cs="宋体"/>
          <w:color w:val="auto"/>
          <w:sz w:val="21"/>
          <w:szCs w:val="21"/>
          <w:highlight w:val="none"/>
        </w:rPr>
        <w:t>。</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default" w:ascii="宋体" w:hAnsi="宋体" w:eastAsia="宋体" w:cs="宋体"/>
          <w:color w:val="auto"/>
          <w:sz w:val="21"/>
          <w:szCs w:val="21"/>
          <w:highlight w:val="none"/>
          <w:lang w:val="en-US" w:eastAsia="zh-CN"/>
        </w:rPr>
      </w:pPr>
      <w:bookmarkStart w:id="104" w:name="_Toc296602422"/>
      <w:bookmarkStart w:id="105" w:name="_Toc95223338"/>
      <w:bookmarkStart w:id="106" w:name="_Toc506107271"/>
      <w:bookmarkStart w:id="107" w:name="_Toc247085691"/>
      <w:bookmarkStart w:id="108" w:name="_Toc246996177"/>
      <w:bookmarkStart w:id="109" w:name="_Toc15058848"/>
      <w:bookmarkStart w:id="110" w:name="_Toc83301690"/>
      <w:bookmarkStart w:id="111" w:name="_Toc152045531"/>
      <w:bookmarkStart w:id="112" w:name="_Toc60061435"/>
      <w:bookmarkStart w:id="113" w:name="_Toc246996920"/>
      <w:bookmarkStart w:id="114" w:name="_Toc144974499"/>
      <w:bookmarkStart w:id="115" w:name="_Toc179632548"/>
      <w:bookmarkStart w:id="116" w:name="_Toc324404817"/>
      <w:bookmarkStart w:id="117" w:name="_Toc152042307"/>
      <w:r>
        <w:rPr>
          <w:rFonts w:hint="eastAsia" w:ascii="宋体" w:hAnsi="宋体" w:eastAsia="宋体" w:cs="宋体"/>
          <w:color w:val="auto"/>
          <w:sz w:val="21"/>
          <w:szCs w:val="21"/>
          <w:highlight w:val="none"/>
        </w:rPr>
        <w:t>1.2 资金来源和落实情况</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财政资金，已落实</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118" w:name="_Toc95223339"/>
      <w:bookmarkStart w:id="119" w:name="_Toc15058849"/>
      <w:bookmarkStart w:id="120" w:name="_Toc246996178"/>
      <w:bookmarkStart w:id="121" w:name="_Toc506107272"/>
      <w:bookmarkStart w:id="122" w:name="_Toc246996921"/>
      <w:bookmarkStart w:id="123" w:name="_Toc152042308"/>
      <w:bookmarkStart w:id="124" w:name="_Toc60061436"/>
      <w:bookmarkStart w:id="125" w:name="_Toc144974500"/>
      <w:bookmarkStart w:id="126" w:name="_Toc296602423"/>
      <w:bookmarkStart w:id="127" w:name="_Toc152045532"/>
      <w:bookmarkStart w:id="128" w:name="_Toc324404818"/>
      <w:bookmarkStart w:id="129" w:name="_Toc247085692"/>
      <w:bookmarkStart w:id="130" w:name="_Toc83301691"/>
      <w:bookmarkStart w:id="131" w:name="_Toc179632549"/>
      <w:r>
        <w:rPr>
          <w:rFonts w:hint="eastAsia" w:ascii="黑体" w:hAnsi="黑体" w:eastAsia="黑体" w:cs="黑体"/>
          <w:color w:val="auto"/>
          <w:sz w:val="21"/>
          <w:szCs w:val="21"/>
          <w:highlight w:val="none"/>
        </w:rPr>
        <w:t>1.3 招标范围、计划工期、质量要求</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本次招标范围：</w:t>
      </w:r>
      <w:r>
        <w:rPr>
          <w:rFonts w:hint="eastAsia" w:ascii="宋体" w:hAnsi="宋体" w:eastAsia="宋体" w:cs="宋体"/>
          <w:color w:val="auto"/>
          <w:sz w:val="21"/>
          <w:szCs w:val="21"/>
          <w:highlight w:val="none"/>
          <w:lang w:val="en-US" w:eastAsia="zh-CN"/>
        </w:rPr>
        <w:t>本工程为交钥匙工程，采用包总价的EPC总承包方式， 投标人需负责工程招标范围内的设计（拟采用混凝土屋面常规墩柱安装）、供货、施工和验收以及并网的所有工作内容，包括但不限于初步设计方案（中标后设计方案需报业主单位确认认可后方可实施）、发改委备案、施工图设计并提供竣工图纸、施工方案编制、设备和材料及备品备件购置、屋顶承载力复核验算及防水工作、设备电气及控制系统的安装、建筑工程施工、拆除修复工程、设备调试、电力系统并网、联合试运行、技术培训、运行人员培训和验收等达到项目正常稳定运行的所有内容，方案深化设计费、建筑物荷载测试费及质保均考虑在综合单价中。</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 本招标项目的计划工期：不高于100个日历天。</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 本招标项目的质量要求：（1）本工程质量应达到国家、地方或行业的质量检验标准、设计标准等有关规定，达到国家电网公司优质工程标准。工程“标准工艺”应用率≥95%；工程“零缺陷”投运；工程使用寿命满足公司质量要求；不发生因工程建设原因造成的六级及以上工程质量事件；（2）施工过程中双方对工程质量发生争议，承包人同意发包人有权委托有资质的工程所在地（市、省）的第三方工程质量检测机构鉴定。经检验工程质量不符合合同约定的标准，检验所需相关费用由承包人负担，经检验工程质量符合约定的标准，检验所需费用由发包人负担；（3）所投产品制造商必须具有生产所需的生产场地、生产设备、生产人员、产品及元器件检测能力。本采购活动不接受贴牌代工、分包（采购文件中规定的允许外购外协的除外）、转包等行为。</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default" w:ascii="黑体" w:hAnsi="黑体" w:eastAsia="黑体" w:cs="黑体"/>
          <w:color w:val="auto"/>
          <w:sz w:val="21"/>
          <w:szCs w:val="21"/>
          <w:highlight w:val="none"/>
          <w:lang w:val="en-US" w:eastAsia="zh-CN"/>
        </w:rPr>
      </w:pPr>
      <w:bookmarkStart w:id="132" w:name="_Toc296602424"/>
      <w:bookmarkStart w:id="133" w:name="_Toc152042310"/>
      <w:bookmarkStart w:id="134" w:name="_Toc324404819"/>
      <w:bookmarkStart w:id="135" w:name="_Toc60061437"/>
      <w:bookmarkStart w:id="136" w:name="_Toc144974502"/>
      <w:bookmarkStart w:id="137" w:name="_Toc83301692"/>
      <w:bookmarkStart w:id="138" w:name="_Toc246996922"/>
      <w:bookmarkStart w:id="139" w:name="_Toc15058850"/>
      <w:bookmarkStart w:id="140" w:name="_Toc247085693"/>
      <w:bookmarkStart w:id="141" w:name="_Toc506107273"/>
      <w:bookmarkStart w:id="142" w:name="_Toc179632551"/>
      <w:bookmarkStart w:id="143" w:name="_Toc95223340"/>
      <w:bookmarkStart w:id="144" w:name="_Toc152045534"/>
      <w:bookmarkStart w:id="145" w:name="_Toc246996179"/>
      <w:r>
        <w:rPr>
          <w:rFonts w:hint="eastAsia" w:ascii="黑体" w:hAnsi="黑体" w:eastAsia="黑体" w:cs="黑体"/>
          <w:color w:val="auto"/>
          <w:sz w:val="21"/>
          <w:szCs w:val="21"/>
          <w:highlight w:val="none"/>
        </w:rPr>
        <w:t>1.4 投标人资格要求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见招标公告</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1.4.1 投标人应具备承担本项目施工的资质条件、能力和信誉</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见招标公告</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1.4.</w:t>
      </w:r>
      <w:bookmarkStart w:id="146" w:name="_Toc246996923"/>
      <w:bookmarkStart w:id="147" w:name="_Toc60061438"/>
      <w:bookmarkStart w:id="148" w:name="_Toc324404820"/>
      <w:bookmarkStart w:id="149" w:name="_Toc95223341"/>
      <w:bookmarkStart w:id="150" w:name="_Toc144974503"/>
      <w:bookmarkStart w:id="151" w:name="_Toc296602425"/>
      <w:bookmarkStart w:id="152" w:name="_Toc83301693"/>
      <w:bookmarkStart w:id="153" w:name="_Toc152042311"/>
      <w:bookmarkStart w:id="154" w:name="_Toc246996180"/>
      <w:bookmarkStart w:id="155" w:name="_Toc247085694"/>
      <w:bookmarkStart w:id="156" w:name="_Toc152045535"/>
      <w:bookmarkStart w:id="157" w:name="_Toc506107274"/>
      <w:bookmarkStart w:id="158" w:name="_Toc179632552"/>
      <w:bookmarkStart w:id="159" w:name="_Toc15058851"/>
      <w:r>
        <w:rPr>
          <w:rFonts w:hint="eastAsia" w:hAnsi="宋体" w:cs="宋体"/>
          <w:color w:val="auto"/>
          <w:sz w:val="21"/>
          <w:szCs w:val="21"/>
          <w:highlight w:val="none"/>
          <w:lang w:val="en-US" w:eastAsia="zh-CN"/>
        </w:rPr>
        <w:t>2</w:t>
      </w:r>
      <w:r>
        <w:rPr>
          <w:rFonts w:hint="eastAsia" w:ascii="宋体" w:hAnsi="宋体" w:cs="宋体"/>
          <w:color w:val="auto"/>
          <w:sz w:val="21"/>
          <w:szCs w:val="21"/>
          <w:highlight w:val="none"/>
        </w:rPr>
        <w:t>投标人不得与本标段相关单位存在下列关联关系：</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（1）为招标人不具有独立法人资格的附属机构（单位）；</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（2）与招标人存在利害关系且可能影响招标公正性；</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（3）与本标段的其他投标人同为一个单位负责人；</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（4）与本标段的其他投标人存在控股、管理关系；</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（5）为本标段前期准备提供设计或咨询服务的法人或其任何附属机构（单位）</w:t>
      </w:r>
      <w:r>
        <w:rPr>
          <w:rFonts w:hint="eastAsia" w:ascii="宋体" w:hAnsi="宋体" w:cs="宋体"/>
          <w:b/>
          <w:color w:val="auto"/>
          <w:sz w:val="21"/>
          <w:szCs w:val="21"/>
          <w:highlight w:val="none"/>
        </w:rPr>
        <w:t>(工程总承包项目本目不采用)</w:t>
      </w:r>
      <w:r>
        <w:rPr>
          <w:rFonts w:hint="eastAsia" w:ascii="宋体" w:hAnsi="宋体" w:cs="宋体"/>
          <w:color w:val="auto"/>
          <w:sz w:val="21"/>
          <w:szCs w:val="21"/>
          <w:highlight w:val="none"/>
        </w:rPr>
        <w:t>；</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（6）为本标段的监理人；</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（7）为本标段的代建人；</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（8）为本标段的招标代理机构；</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（9）与本标段的监理人或代建人或招标代理机构同为一个法定代表人；</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（10）与本标段的监理人或代建人或招标代理机构存在控股或参股关系；</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（11）法律法规或投标人须知前附表规定的其他情形。</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1.5 费用承担</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投标人准备和参加投标活动发生的费用自理。</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160" w:name="_Toc95223342"/>
      <w:bookmarkStart w:id="161" w:name="_Toc246996924"/>
      <w:bookmarkStart w:id="162" w:name="_Toc152045536"/>
      <w:bookmarkStart w:id="163" w:name="_Toc179632553"/>
      <w:bookmarkStart w:id="164" w:name="_Toc246996181"/>
      <w:bookmarkStart w:id="165" w:name="_Toc60061439"/>
      <w:bookmarkStart w:id="166" w:name="_Toc296602426"/>
      <w:bookmarkStart w:id="167" w:name="_Toc324404821"/>
      <w:bookmarkStart w:id="168" w:name="_Toc506107275"/>
      <w:bookmarkStart w:id="169" w:name="_Toc15058852"/>
      <w:bookmarkStart w:id="170" w:name="_Toc247085695"/>
      <w:bookmarkStart w:id="171" w:name="_Toc152042312"/>
      <w:bookmarkStart w:id="172" w:name="_Toc83301694"/>
      <w:bookmarkStart w:id="173" w:name="_Toc144974504"/>
      <w:r>
        <w:rPr>
          <w:rFonts w:hint="eastAsia" w:ascii="黑体" w:hAnsi="黑体" w:eastAsia="黑体" w:cs="黑体"/>
          <w:color w:val="auto"/>
          <w:sz w:val="21"/>
          <w:szCs w:val="21"/>
          <w:highlight w:val="none"/>
        </w:rPr>
        <w:t>1.6 保密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174" w:name="_Toc144974505"/>
      <w:bookmarkStart w:id="175" w:name="_Toc246996925"/>
      <w:bookmarkStart w:id="176" w:name="_Toc506107276"/>
      <w:bookmarkStart w:id="177" w:name="_Toc60061440"/>
      <w:bookmarkStart w:id="178" w:name="_Toc247085696"/>
      <w:bookmarkStart w:id="179" w:name="_Toc152042313"/>
      <w:bookmarkStart w:id="180" w:name="_Toc83301695"/>
      <w:bookmarkStart w:id="181" w:name="_Toc296602427"/>
      <w:bookmarkStart w:id="182" w:name="_Toc15058853"/>
      <w:bookmarkStart w:id="183" w:name="_Toc324404822"/>
      <w:bookmarkStart w:id="184" w:name="_Toc179632554"/>
      <w:bookmarkStart w:id="185" w:name="_Toc246996182"/>
      <w:bookmarkStart w:id="186" w:name="_Toc95223343"/>
      <w:bookmarkStart w:id="187" w:name="_Toc152045537"/>
      <w:r>
        <w:rPr>
          <w:rFonts w:hint="eastAsia" w:ascii="黑体" w:hAnsi="黑体" w:eastAsia="黑体" w:cs="黑体"/>
          <w:color w:val="auto"/>
          <w:sz w:val="21"/>
          <w:szCs w:val="21"/>
          <w:highlight w:val="none"/>
        </w:rPr>
        <w:t>1.7 语言</w:t>
      </w:r>
      <w:bookmarkEnd w:id="174"/>
      <w:r>
        <w:rPr>
          <w:rFonts w:hint="eastAsia" w:ascii="黑体" w:hAnsi="黑体" w:eastAsia="黑体" w:cs="黑体"/>
          <w:color w:val="auto"/>
          <w:sz w:val="21"/>
          <w:szCs w:val="21"/>
          <w:highlight w:val="none"/>
        </w:rPr>
        <w:t>文字</w:t>
      </w:r>
      <w:bookmarkEnd w:id="175"/>
      <w:bookmarkEnd w:id="176"/>
      <w:bookmarkEnd w:id="177"/>
      <w:bookmarkEnd w:id="178"/>
      <w:bookmarkEnd w:id="179"/>
      <w:bookmarkEnd w:id="180"/>
      <w:bookmarkEnd w:id="181"/>
      <w:bookmarkEnd w:id="182"/>
      <w:bookmarkEnd w:id="183"/>
      <w:bookmarkEnd w:id="184"/>
      <w:bookmarkEnd w:id="185"/>
      <w:bookmarkEnd w:id="186"/>
      <w:bookmarkEnd w:id="187"/>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bookmarkStart w:id="188" w:name="_Toc246996183"/>
      <w:bookmarkStart w:id="189" w:name="_Toc179632555"/>
      <w:bookmarkStart w:id="190" w:name="_Toc152045538"/>
      <w:bookmarkStart w:id="191" w:name="_Toc246996926"/>
      <w:bookmarkStart w:id="192" w:name="_Toc247085697"/>
      <w:bookmarkStart w:id="193" w:name="_Toc144974506"/>
      <w:bookmarkStart w:id="194" w:name="_Toc152042314"/>
      <w:r>
        <w:rPr>
          <w:rFonts w:hint="eastAsia" w:ascii="宋体" w:hAnsi="宋体" w:cs="宋体"/>
          <w:color w:val="auto"/>
          <w:sz w:val="21"/>
          <w:szCs w:val="21"/>
          <w:highlight w:val="none"/>
        </w:rPr>
        <w:t>招标投标文件使用的语言文字为中文。专用术语使用外文的，应附有中文注释。</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195" w:name="_Toc60061441"/>
      <w:bookmarkStart w:id="196" w:name="_Toc506107277"/>
      <w:bookmarkStart w:id="197" w:name="_Toc95223344"/>
      <w:bookmarkStart w:id="198" w:name="_Toc83301696"/>
      <w:bookmarkStart w:id="199" w:name="_Toc296602428"/>
      <w:bookmarkStart w:id="200" w:name="_Toc324404823"/>
      <w:bookmarkStart w:id="201" w:name="_Toc15058854"/>
      <w:r>
        <w:rPr>
          <w:rFonts w:hint="eastAsia" w:ascii="黑体" w:hAnsi="黑体" w:eastAsia="黑体" w:cs="黑体"/>
          <w:color w:val="auto"/>
          <w:sz w:val="21"/>
          <w:szCs w:val="21"/>
          <w:highlight w:val="none"/>
        </w:rPr>
        <w:t>1.8 计量单位</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所有计量均采用中华人民共和国法定计量单位。</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202" w:name="_Toc152042315"/>
      <w:bookmarkStart w:id="203" w:name="_Toc144974507"/>
      <w:bookmarkStart w:id="204" w:name="_Toc247513962"/>
      <w:bookmarkStart w:id="205" w:name="_Toc95223345"/>
      <w:bookmarkStart w:id="206" w:name="_Toc60061442"/>
      <w:bookmarkStart w:id="207" w:name="_Toc247527563"/>
      <w:bookmarkStart w:id="208" w:name="_Toc247592876"/>
      <w:bookmarkStart w:id="209" w:name="_Toc15058855"/>
      <w:bookmarkStart w:id="210" w:name="_Toc506107278"/>
      <w:bookmarkStart w:id="211" w:name="_Toc152045539"/>
      <w:bookmarkStart w:id="212" w:name="_Toc296602429"/>
      <w:bookmarkStart w:id="213" w:name="_Toc83301697"/>
      <w:bookmarkStart w:id="214" w:name="_Toc324404824"/>
      <w:r>
        <w:rPr>
          <w:rFonts w:hint="eastAsia" w:ascii="黑体" w:hAnsi="黑体" w:eastAsia="黑体" w:cs="黑体"/>
          <w:color w:val="auto"/>
          <w:sz w:val="21"/>
          <w:szCs w:val="21"/>
          <w:highlight w:val="none"/>
        </w:rPr>
        <w:t>1.9 踏勘现场</w:t>
      </w:r>
      <w:bookmarkEnd w:id="202"/>
      <w:bookmarkEnd w:id="203"/>
      <w:bookmarkEnd w:id="204"/>
      <w:bookmarkEnd w:id="205"/>
      <w:bookmarkEnd w:id="206"/>
      <w:bookmarkEnd w:id="207"/>
      <w:bookmarkEnd w:id="208"/>
      <w:bookmarkEnd w:id="209"/>
      <w:bookmarkEnd w:id="210"/>
      <w:bookmarkEnd w:id="211"/>
      <w:bookmarkEnd w:id="212"/>
      <w:bookmarkEnd w:id="213"/>
      <w:bookmarkEnd w:id="214"/>
    </w:p>
    <w:p>
      <w:pPr>
        <w:widowControl w:val="0"/>
        <w:kinsoku/>
        <w:wordWrap/>
        <w:overflowPunct/>
        <w:topLinePunct w:val="0"/>
        <w:autoSpaceDE/>
        <w:autoSpaceDN/>
        <w:bidi w:val="0"/>
        <w:adjustRightInd w:val="0"/>
        <w:snapToGrid w:val="0"/>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招标人不组织</w:t>
      </w:r>
      <w:bookmarkStart w:id="215" w:name="_Toc247592877"/>
      <w:bookmarkStart w:id="216" w:name="_Toc324404825"/>
      <w:bookmarkStart w:id="217" w:name="_Toc152042316"/>
      <w:bookmarkStart w:id="218" w:name="_Toc95223346"/>
      <w:bookmarkStart w:id="219" w:name="_Toc83301698"/>
      <w:bookmarkStart w:id="220" w:name="_Toc60061443"/>
      <w:bookmarkStart w:id="221" w:name="_Toc506107279"/>
      <w:bookmarkStart w:id="222" w:name="_Toc247527564"/>
      <w:bookmarkStart w:id="223" w:name="_Toc247513963"/>
      <w:bookmarkStart w:id="224" w:name="_Toc152045540"/>
      <w:bookmarkStart w:id="225" w:name="_Toc144974508"/>
      <w:bookmarkStart w:id="226" w:name="_Toc15058856"/>
      <w:bookmarkStart w:id="227" w:name="_Toc296602430"/>
      <w:r>
        <w:rPr>
          <w:rFonts w:hint="eastAsia" w:ascii="宋体" w:hAnsi="宋体" w:eastAsia="宋体" w:cs="宋体"/>
          <w:color w:val="auto"/>
          <w:sz w:val="21"/>
          <w:szCs w:val="21"/>
          <w:highlight w:val="none"/>
          <w:lang w:val="en-US" w:eastAsia="zh-CN"/>
        </w:rPr>
        <w:t>踏勘现场</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b/>
          <w:bCs/>
          <w:color w:val="auto"/>
          <w:sz w:val="21"/>
          <w:szCs w:val="21"/>
          <w:highlight w:val="none"/>
          <w:lang w:eastAsia="zh-CN"/>
        </w:rPr>
      </w:pPr>
      <w:r>
        <w:rPr>
          <w:rFonts w:hint="eastAsia" w:ascii="黑体" w:hAnsi="黑体" w:eastAsia="黑体" w:cs="黑体"/>
          <w:b/>
          <w:bCs/>
          <w:color w:val="auto"/>
          <w:sz w:val="21"/>
          <w:szCs w:val="21"/>
          <w:highlight w:val="none"/>
        </w:rPr>
        <w:t>1.10 投标预备会</w:t>
      </w:r>
      <w:bookmarkEnd w:id="215"/>
      <w:bookmarkEnd w:id="216"/>
      <w:bookmarkEnd w:id="217"/>
      <w:bookmarkEnd w:id="218"/>
      <w:bookmarkEnd w:id="219"/>
      <w:bookmarkEnd w:id="220"/>
      <w:bookmarkEnd w:id="221"/>
      <w:bookmarkEnd w:id="222"/>
      <w:bookmarkEnd w:id="223"/>
      <w:bookmarkEnd w:id="224"/>
      <w:bookmarkEnd w:id="225"/>
      <w:bookmarkEnd w:id="226"/>
      <w:bookmarkEnd w:id="227"/>
      <w:r>
        <w:rPr>
          <w:rFonts w:hint="eastAsia" w:ascii="黑体" w:hAnsi="黑体" w:eastAsia="黑体" w:cs="黑体"/>
          <w:b/>
          <w:bCs/>
          <w:color w:val="auto"/>
          <w:sz w:val="21"/>
          <w:szCs w:val="21"/>
          <w:highlight w:val="none"/>
          <w:lang w:eastAsia="zh-CN"/>
        </w:rPr>
        <w:t>（</w:t>
      </w:r>
      <w:r>
        <w:rPr>
          <w:rFonts w:hint="eastAsia" w:ascii="黑体" w:hAnsi="黑体" w:eastAsia="黑体" w:cs="黑体"/>
          <w:b/>
          <w:bCs/>
          <w:color w:val="auto"/>
          <w:sz w:val="21"/>
          <w:szCs w:val="21"/>
          <w:highlight w:val="none"/>
          <w:lang w:val="en-US" w:eastAsia="zh-CN"/>
        </w:rPr>
        <w:t>本项目不采用</w:t>
      </w:r>
      <w:r>
        <w:rPr>
          <w:rFonts w:hint="eastAsia" w:ascii="黑体" w:hAnsi="黑体" w:eastAsia="黑体" w:cs="黑体"/>
          <w:b/>
          <w:bCs/>
          <w:color w:val="auto"/>
          <w:sz w:val="21"/>
          <w:szCs w:val="21"/>
          <w:highlight w:val="none"/>
          <w:lang w:eastAsia="zh-CN"/>
        </w:rPr>
        <w:t>）</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228" w:name="_Toc296602431"/>
      <w:bookmarkStart w:id="229" w:name="_Toc506107280"/>
      <w:bookmarkStart w:id="230" w:name="_Toc15058857"/>
      <w:bookmarkStart w:id="231" w:name="_Toc324404826"/>
      <w:bookmarkStart w:id="232" w:name="_Toc83301699"/>
      <w:bookmarkStart w:id="233" w:name="_Toc60061444"/>
      <w:bookmarkStart w:id="234" w:name="_Toc95223347"/>
      <w:r>
        <w:rPr>
          <w:rFonts w:hint="eastAsia" w:ascii="黑体" w:hAnsi="黑体" w:eastAsia="黑体" w:cs="黑体"/>
          <w:color w:val="auto"/>
          <w:sz w:val="21"/>
          <w:szCs w:val="21"/>
          <w:highlight w:val="none"/>
        </w:rPr>
        <w:t xml:space="preserve">1.11 </w:t>
      </w:r>
      <w:bookmarkEnd w:id="228"/>
      <w:bookmarkEnd w:id="229"/>
      <w:bookmarkEnd w:id="230"/>
      <w:bookmarkEnd w:id="231"/>
      <w:r>
        <w:rPr>
          <w:rFonts w:hint="eastAsia" w:ascii="黑体" w:hAnsi="黑体" w:eastAsia="黑体" w:cs="黑体"/>
          <w:color w:val="auto"/>
          <w:sz w:val="21"/>
          <w:szCs w:val="21"/>
          <w:highlight w:val="none"/>
        </w:rPr>
        <w:t>分包</w:t>
      </w:r>
      <w:bookmarkEnd w:id="232"/>
      <w:bookmarkEnd w:id="233"/>
      <w:bookmarkEnd w:id="234"/>
    </w:p>
    <w:p>
      <w:pPr>
        <w:widowControl w:val="0"/>
        <w:kinsoku/>
        <w:wordWrap/>
        <w:overflowPunct/>
        <w:topLinePunct w:val="0"/>
        <w:autoSpaceDE/>
        <w:autoSpaceDN/>
        <w:bidi w:val="0"/>
        <w:adjustRightInd w:val="0"/>
        <w:snapToGrid w:val="0"/>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本项目不允许分包</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235" w:name="_Toc95223348"/>
      <w:bookmarkStart w:id="236" w:name="_Toc83301700"/>
      <w:bookmarkStart w:id="237" w:name="_Toc60061445"/>
      <w:r>
        <w:rPr>
          <w:rFonts w:hint="eastAsia" w:ascii="黑体" w:hAnsi="黑体" w:eastAsia="黑体" w:cs="黑体"/>
          <w:color w:val="auto"/>
          <w:sz w:val="21"/>
          <w:szCs w:val="21"/>
          <w:highlight w:val="none"/>
        </w:rPr>
        <w:t>1.12 偏离</w:t>
      </w:r>
      <w:bookmarkEnd w:id="235"/>
      <w:bookmarkEnd w:id="236"/>
      <w:bookmarkEnd w:id="237"/>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1.12.1投标文件偏离招标文件某些要求，视为投标文件存在偏差。偏差包括重大偏差和细微偏差。</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1.12.2投标文件应对招标文件的实质性要求和条件作出满足性或更有利于招标人的响应，否则，视为投标文件存在重大偏差，投标人的投标将被否决。</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投标文件存在第四章“评标办法”中所列任一无效投标情形的，均属于存在重大偏差。</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1.12.3投标文件中的下列偏差为细微偏差：</w:t>
      </w:r>
    </w:p>
    <w:p>
      <w:pPr>
        <w:widowControl w:val="0"/>
        <w:tabs>
          <w:tab w:val="left" w:pos="1014"/>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pPr>
        <w:widowControl w:val="0"/>
        <w:tabs>
          <w:tab w:val="left" w:pos="1014"/>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rPr>
        <w:t>（2）投标文件个别文字有遗漏错误等不影响投标文件实质性内容的偏差。</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1.12.4评标委员会对投标文件中的细微偏差按如下规定处理：</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对于本章第 1.12.3 项（1）目所述的细微偏差，按照第四章“评标办法”的规定予以修正并要求投标人进行澄清；</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对于本章第 1.12.3 项（2）目所述的细微偏差，可要求投标人对细微偏差进行澄清。</w:t>
      </w:r>
    </w:p>
    <w:p>
      <w:pPr>
        <w:pStyle w:val="4"/>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cs="黑体"/>
          <w:color w:val="auto"/>
          <w:sz w:val="21"/>
          <w:szCs w:val="21"/>
          <w:highlight w:val="none"/>
        </w:rPr>
      </w:pPr>
      <w:bookmarkStart w:id="238" w:name="_Toc247085701"/>
      <w:bookmarkStart w:id="239" w:name="_Toc152045542"/>
      <w:bookmarkStart w:id="240" w:name="_Toc83301701"/>
      <w:bookmarkStart w:id="241" w:name="_Toc179632560"/>
      <w:bookmarkStart w:id="242" w:name="_Toc152042318"/>
      <w:bookmarkStart w:id="243" w:name="_Toc246996187"/>
      <w:bookmarkStart w:id="244" w:name="_Toc60061446"/>
      <w:bookmarkStart w:id="245" w:name="_Toc15058858"/>
      <w:bookmarkStart w:id="246" w:name="_Toc506107281"/>
      <w:bookmarkStart w:id="247" w:name="_Toc246996930"/>
      <w:bookmarkStart w:id="248" w:name="_Toc144974510"/>
      <w:bookmarkStart w:id="249" w:name="_Toc95223349"/>
      <w:bookmarkStart w:id="250" w:name="_Toc324404827"/>
      <w:r>
        <w:rPr>
          <w:rFonts w:hint="eastAsia" w:ascii="黑体" w:hAnsi="黑体" w:cs="黑体"/>
          <w:color w:val="auto"/>
          <w:sz w:val="21"/>
          <w:szCs w:val="21"/>
          <w:highlight w:val="none"/>
        </w:rPr>
        <w:t>2. 招标文件</w:t>
      </w:r>
      <w:bookmarkEnd w:id="238"/>
      <w:bookmarkEnd w:id="239"/>
      <w:bookmarkEnd w:id="240"/>
      <w:bookmarkEnd w:id="241"/>
      <w:bookmarkEnd w:id="242"/>
      <w:bookmarkEnd w:id="243"/>
      <w:bookmarkEnd w:id="244"/>
      <w:bookmarkEnd w:id="245"/>
      <w:bookmarkEnd w:id="246"/>
      <w:bookmarkEnd w:id="247"/>
      <w:bookmarkEnd w:id="248"/>
      <w:bookmarkEnd w:id="249"/>
      <w:bookmarkEnd w:id="250"/>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251" w:name="_Toc506107282"/>
      <w:bookmarkStart w:id="252" w:name="_Toc246996188"/>
      <w:bookmarkStart w:id="253" w:name="_Toc324404828"/>
      <w:bookmarkStart w:id="254" w:name="_Toc60061447"/>
      <w:bookmarkStart w:id="255" w:name="_Toc95223350"/>
      <w:bookmarkStart w:id="256" w:name="_Toc152042319"/>
      <w:bookmarkStart w:id="257" w:name="_Toc179632561"/>
      <w:bookmarkStart w:id="258" w:name="_Toc83301702"/>
      <w:bookmarkStart w:id="259" w:name="_Toc152045543"/>
      <w:bookmarkStart w:id="260" w:name="_Toc15058859"/>
      <w:bookmarkStart w:id="261" w:name="_Toc296602433"/>
      <w:bookmarkStart w:id="262" w:name="_Toc247085702"/>
      <w:bookmarkStart w:id="263" w:name="_Toc246996931"/>
      <w:bookmarkStart w:id="264" w:name="_Toc144974511"/>
      <w:r>
        <w:rPr>
          <w:rFonts w:hint="eastAsia" w:ascii="黑体" w:hAnsi="黑体" w:eastAsia="黑体" w:cs="黑体"/>
          <w:color w:val="auto"/>
          <w:sz w:val="21"/>
          <w:szCs w:val="21"/>
          <w:highlight w:val="none"/>
        </w:rPr>
        <w:t>2.1 招标文件的组成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2.1.1 本招标文件包括：</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（1）招标公告；</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（2）投标人须知；</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（3）资格审查办法</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（4）评标办法；</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（5）合同条款及格式；</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（6）工程量清单； </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（7）图纸；</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（8）技术标准和要求； </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（9）投标文件格式；</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（10）投标人须知前附表规定的其他材料。</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2.1.2 根据本章第1.10款、第2.2款和第2.3款对招标文件所作的澄清、修改，构成招标文件的组成部分。</w:t>
      </w:r>
    </w:p>
    <w:p>
      <w:pPr>
        <w:pStyle w:val="2"/>
        <w:widowControl w:val="0"/>
        <w:kinsoku/>
        <w:wordWrap/>
        <w:overflowPunct/>
        <w:topLinePunct w:val="0"/>
        <w:autoSpaceDE/>
        <w:autoSpaceDN/>
        <w:bidi w:val="0"/>
        <w:adjustRightInd w:val="0"/>
        <w:snapToGrid w:val="0"/>
        <w:spacing w:after="0" w:afterLines="0"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2.1.3当招标文件、招标文件的澄清或修改等在同一内容的表述上不一致时，以最后发出的文件为准。</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265" w:name="_Toc144974512"/>
      <w:bookmarkStart w:id="266" w:name="_Toc83301703"/>
      <w:bookmarkStart w:id="267" w:name="_Toc15058860"/>
      <w:bookmarkStart w:id="268" w:name="_Toc246996189"/>
      <w:bookmarkStart w:id="269" w:name="_Toc246996932"/>
      <w:bookmarkStart w:id="270" w:name="_Toc152042320"/>
      <w:bookmarkStart w:id="271" w:name="_Toc95223351"/>
      <w:bookmarkStart w:id="272" w:name="_Toc179632562"/>
      <w:bookmarkStart w:id="273" w:name="_Toc152045544"/>
      <w:bookmarkStart w:id="274" w:name="_Toc324404829"/>
      <w:bookmarkStart w:id="275" w:name="_Toc60061448"/>
      <w:bookmarkStart w:id="276" w:name="_Toc296602434"/>
      <w:bookmarkStart w:id="277" w:name="_Toc247085703"/>
      <w:bookmarkStart w:id="278" w:name="_Toc506107283"/>
      <w:bookmarkStart w:id="279" w:name="_Toc144974514"/>
      <w:bookmarkStart w:id="280" w:name="_Toc506107285"/>
      <w:bookmarkStart w:id="281" w:name="_Toc246996934"/>
      <w:bookmarkStart w:id="282" w:name="_Toc60061451"/>
      <w:bookmarkStart w:id="283" w:name="_Toc15058863"/>
      <w:bookmarkStart w:id="284" w:name="_Toc247085705"/>
      <w:bookmarkStart w:id="285" w:name="_Toc246996191"/>
      <w:bookmarkStart w:id="286" w:name="_Toc83301706"/>
      <w:bookmarkStart w:id="287" w:name="_Toc324404832"/>
      <w:bookmarkStart w:id="288" w:name="_Toc179632564"/>
      <w:bookmarkStart w:id="289" w:name="_Toc152045546"/>
      <w:bookmarkStart w:id="290" w:name="_Toc152042322"/>
      <w:bookmarkStart w:id="291" w:name="_Toc95223354"/>
      <w:r>
        <w:rPr>
          <w:rFonts w:hint="eastAsia" w:ascii="黑体" w:hAnsi="黑体" w:eastAsia="黑体" w:cs="黑体"/>
          <w:color w:val="auto"/>
          <w:sz w:val="21"/>
          <w:szCs w:val="21"/>
          <w:highlight w:val="none"/>
        </w:rPr>
        <w:t>2.2招标文件的异议</w:t>
      </w:r>
    </w:p>
    <w:p>
      <w:pPr>
        <w:pStyle w:val="36"/>
        <w:widowControl w:val="0"/>
        <w:kinsoku/>
        <w:wordWrap/>
        <w:overflowPunct/>
        <w:topLinePunct w:val="0"/>
        <w:autoSpaceDE/>
        <w:autoSpaceDN/>
        <w:bidi w:val="0"/>
        <w:adjustRightInd w:val="0"/>
        <w:snapToGrid w:val="0"/>
        <w:spacing w:after="0" w:afterLines="0" w:line="500" w:lineRule="exact"/>
        <w:ind w:left="0" w:leftChars="0" w:firstLine="0" w:firstLineChars="0"/>
        <w:textAlignment w:val="auto"/>
        <w:rPr>
          <w:rFonts w:hint="eastAsia"/>
          <w:color w:val="auto"/>
          <w:sz w:val="21"/>
          <w:szCs w:val="21"/>
          <w:highlight w:val="none"/>
        </w:rPr>
      </w:pP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r>
        <w:rPr>
          <w:rFonts w:hint="eastAsia"/>
          <w:color w:val="auto"/>
          <w:sz w:val="21"/>
          <w:szCs w:val="21"/>
          <w:highlight w:val="none"/>
        </w:rPr>
        <w:t>投标人或其他利害关系人投标人应仔细阅读和检查招标文件的全部内容，对招标文件有异议的，应在</w:t>
      </w:r>
      <w:r>
        <w:rPr>
          <w:rFonts w:hint="eastAsia"/>
          <w:color w:val="auto"/>
          <w:sz w:val="21"/>
          <w:szCs w:val="21"/>
          <w:highlight w:val="none"/>
          <w:lang w:val="en-US" w:eastAsia="zh-CN"/>
        </w:rPr>
        <w:t>递交</w:t>
      </w:r>
      <w:r>
        <w:rPr>
          <w:rFonts w:hint="eastAsia"/>
          <w:color w:val="auto"/>
          <w:sz w:val="21"/>
          <w:szCs w:val="21"/>
          <w:highlight w:val="none"/>
        </w:rPr>
        <w:t>投标</w:t>
      </w:r>
      <w:r>
        <w:rPr>
          <w:rFonts w:hint="eastAsia"/>
          <w:color w:val="auto"/>
          <w:sz w:val="21"/>
          <w:szCs w:val="21"/>
          <w:highlight w:val="none"/>
          <w:lang w:val="en-US" w:eastAsia="zh-CN"/>
        </w:rPr>
        <w:t>文件</w:t>
      </w:r>
      <w:r>
        <w:rPr>
          <w:rFonts w:hint="eastAsia"/>
          <w:color w:val="auto"/>
          <w:sz w:val="21"/>
          <w:szCs w:val="21"/>
          <w:highlight w:val="none"/>
        </w:rPr>
        <w:t>截止时间前</w:t>
      </w:r>
      <w:r>
        <w:rPr>
          <w:rFonts w:hint="eastAsia" w:ascii="宋体" w:hAnsi="宋体" w:cs="宋体"/>
          <w:color w:val="auto"/>
          <w:sz w:val="21"/>
          <w:szCs w:val="21"/>
          <w:highlight w:val="none"/>
        </w:rPr>
        <w:t>以投标人</w:t>
      </w:r>
      <w:r>
        <w:rPr>
          <w:rFonts w:hint="eastAsia"/>
          <w:color w:val="auto"/>
          <w:sz w:val="21"/>
          <w:szCs w:val="21"/>
          <w:highlight w:val="none"/>
        </w:rPr>
        <w:t>提出。</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hint="eastAsia" w:ascii="黑体" w:hAnsi="黑体" w:eastAsia="黑体" w:cs="黑体"/>
          <w:color w:val="auto"/>
          <w:sz w:val="21"/>
          <w:szCs w:val="21"/>
          <w:highlight w:val="none"/>
        </w:rPr>
        <w:t xml:space="preserve"> </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color w:val="auto"/>
          <w:sz w:val="21"/>
          <w:szCs w:val="21"/>
          <w:highlight w:val="none"/>
        </w:rPr>
      </w:pPr>
      <w:r>
        <w:rPr>
          <w:rFonts w:hint="eastAsia" w:ascii="宋体" w:hAnsi="宋体" w:cs="宋体"/>
          <w:color w:val="auto"/>
          <w:sz w:val="21"/>
          <w:szCs w:val="21"/>
          <w:highlight w:val="none"/>
        </w:rPr>
        <w:t>招标人可以澄清招标文件，并以投标人须知前附表规定澄清的方式在</w:t>
      </w:r>
      <w:r>
        <w:rPr>
          <w:rFonts w:hint="eastAsia" w:hAnsi="宋体" w:cs="宋体"/>
          <w:color w:val="auto"/>
          <w:sz w:val="21"/>
          <w:szCs w:val="21"/>
          <w:highlight w:val="none"/>
          <w:lang w:val="en-US" w:eastAsia="zh-CN"/>
        </w:rPr>
        <w:t>滁州市第一人民医院网（http://www.czdyrmyy.com/）</w:t>
      </w:r>
      <w:r>
        <w:rPr>
          <w:rFonts w:hint="eastAsia" w:ascii="宋体" w:hAnsi="宋体" w:cs="宋体"/>
          <w:color w:val="auto"/>
          <w:sz w:val="21"/>
          <w:szCs w:val="21"/>
          <w:highlight w:val="none"/>
        </w:rPr>
        <w:t>发布。</w:t>
      </w:r>
    </w:p>
    <w:p>
      <w:pPr>
        <w:pStyle w:val="4"/>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cs="黑体"/>
          <w:color w:val="auto"/>
          <w:sz w:val="21"/>
          <w:szCs w:val="21"/>
          <w:highlight w:val="none"/>
        </w:rPr>
      </w:pPr>
      <w:r>
        <w:rPr>
          <w:rFonts w:hint="eastAsia" w:ascii="黑体" w:hAnsi="黑体" w:cs="黑体"/>
          <w:color w:val="auto"/>
          <w:sz w:val="21"/>
          <w:szCs w:val="21"/>
          <w:highlight w:val="none"/>
        </w:rPr>
        <w:t>3. 投标文件</w:t>
      </w:r>
      <w:bookmarkEnd w:id="279"/>
      <w:bookmarkEnd w:id="280"/>
      <w:bookmarkEnd w:id="281"/>
      <w:bookmarkEnd w:id="282"/>
      <w:bookmarkEnd w:id="283"/>
      <w:bookmarkEnd w:id="284"/>
      <w:bookmarkEnd w:id="285"/>
      <w:bookmarkEnd w:id="286"/>
      <w:bookmarkEnd w:id="287"/>
      <w:bookmarkEnd w:id="288"/>
      <w:bookmarkEnd w:id="289"/>
      <w:bookmarkEnd w:id="290"/>
      <w:bookmarkEnd w:id="291"/>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292" w:name="_Toc506107286"/>
      <w:bookmarkStart w:id="293" w:name="_Toc152042323"/>
      <w:bookmarkStart w:id="294" w:name="_Toc144974515"/>
      <w:bookmarkStart w:id="295" w:name="_Toc95223355"/>
      <w:bookmarkStart w:id="296" w:name="_Toc152045547"/>
      <w:bookmarkStart w:id="297" w:name="_Toc83301707"/>
      <w:bookmarkStart w:id="298" w:name="_Toc247085706"/>
      <w:bookmarkStart w:id="299" w:name="_Toc296602437"/>
      <w:bookmarkStart w:id="300" w:name="_Toc324404833"/>
      <w:bookmarkStart w:id="301" w:name="_Toc15058864"/>
      <w:bookmarkStart w:id="302" w:name="_Toc179632565"/>
      <w:bookmarkStart w:id="303" w:name="_Toc60061452"/>
      <w:bookmarkStart w:id="304" w:name="_Toc246996935"/>
      <w:bookmarkStart w:id="305" w:name="_Toc246996192"/>
      <w:r>
        <w:rPr>
          <w:rFonts w:hint="eastAsia" w:ascii="黑体" w:hAnsi="黑体" w:eastAsia="黑体" w:cs="黑体"/>
          <w:color w:val="auto"/>
          <w:sz w:val="21"/>
          <w:szCs w:val="21"/>
          <w:highlight w:val="none"/>
        </w:rPr>
        <w:t>3.1 投标文件的组成</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bookmarkStart w:id="306" w:name="_Toc247085707"/>
      <w:bookmarkStart w:id="307" w:name="_Toc506107287"/>
      <w:bookmarkStart w:id="308" w:name="_Toc324404834"/>
      <w:bookmarkStart w:id="309" w:name="_Toc246996193"/>
      <w:bookmarkStart w:id="310" w:name="_Toc152042324"/>
      <w:bookmarkStart w:id="311" w:name="_Toc179632566"/>
      <w:bookmarkStart w:id="312" w:name="_Toc246996936"/>
      <w:bookmarkStart w:id="313" w:name="_Toc296602438"/>
      <w:bookmarkStart w:id="314" w:name="_Toc83301708"/>
      <w:bookmarkStart w:id="315" w:name="_Toc15058865"/>
      <w:bookmarkStart w:id="316" w:name="_Toc152045548"/>
      <w:bookmarkStart w:id="317" w:name="_Toc60061453"/>
      <w:bookmarkStart w:id="318" w:name="_Toc144974516"/>
      <w:bookmarkStart w:id="319" w:name="_Toc95223356"/>
      <w:r>
        <w:rPr>
          <w:rFonts w:hint="eastAsia" w:ascii="宋体" w:hAnsi="宋体" w:cs="宋体"/>
          <w:color w:val="auto"/>
          <w:sz w:val="21"/>
          <w:szCs w:val="21"/>
          <w:highlight w:val="none"/>
        </w:rPr>
        <w:t>3.1.1 投标文件应包括下列内容：</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资信证明文件：</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（1）投标人基本情况表；</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）项目管理机构；</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hAnsi="宋体" w:cs="宋体"/>
          <w:color w:val="auto"/>
          <w:sz w:val="21"/>
          <w:szCs w:val="21"/>
          <w:highlight w:val="none"/>
          <w:lang w:val="en-US" w:eastAsia="zh-CN"/>
        </w:rPr>
        <w:t>资信评审需要或其他证明材料。</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技术标文件：</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（1）施工组织设计；</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（2）技术标评审所需其他材料。</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商务标文件：</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（1）投标函；</w:t>
      </w:r>
    </w:p>
    <w:p>
      <w:pPr>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（2）工程量清单报价书；</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（3）商务标评审所需其他材料。</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3.2 投标报价</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bookmarkStart w:id="320" w:name="_Toc296602439"/>
      <w:bookmarkStart w:id="321" w:name="_Toc179632567"/>
      <w:bookmarkStart w:id="322" w:name="_Toc152045549"/>
      <w:bookmarkStart w:id="323" w:name="_Toc247085708"/>
      <w:bookmarkStart w:id="324" w:name="_Toc324404835"/>
      <w:bookmarkStart w:id="325" w:name="_Toc246996937"/>
      <w:bookmarkStart w:id="326" w:name="_Toc152042325"/>
      <w:bookmarkStart w:id="327" w:name="_Toc246996194"/>
      <w:bookmarkStart w:id="328" w:name="_Toc144974517"/>
      <w:r>
        <w:rPr>
          <w:rFonts w:hint="eastAsia" w:ascii="宋体" w:hAnsi="宋体" w:cs="宋体"/>
          <w:color w:val="auto"/>
          <w:sz w:val="21"/>
          <w:szCs w:val="21"/>
          <w:highlight w:val="none"/>
        </w:rPr>
        <w:t>3.2.1投标报价应包括国家规定的增值税税金，除投标人须知前附表另有规定外，增值税税金按一般计税方法计算。投标人应按“投标文件格式”的要求在投标函中进行报价并填写工程量清单相应表格。</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3.2.2投标人应充分了解本项目的总体情况以及影响投标报价的其他要素。</w:t>
      </w:r>
    </w:p>
    <w:p>
      <w:pPr>
        <w:pStyle w:val="36"/>
        <w:widowControl w:val="0"/>
        <w:kinsoku/>
        <w:wordWrap/>
        <w:overflowPunct/>
        <w:topLinePunct w:val="0"/>
        <w:autoSpaceDE/>
        <w:autoSpaceDN/>
        <w:bidi w:val="0"/>
        <w:adjustRightInd w:val="0"/>
        <w:snapToGrid w:val="0"/>
        <w:spacing w:after="0" w:afterLines="0" w:line="500" w:lineRule="exact"/>
        <w:ind w:left="0" w:leftChars="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3.2.3投标人在投标截止时间前修改投标函中的投标报价总额，应同时修改“已标价工程量清单”中的相应报价，投标报价总额为各分项金额之和。此修改须符合本章第4.4款的有关要求。</w:t>
      </w:r>
    </w:p>
    <w:p>
      <w:pPr>
        <w:widowControl w:val="0"/>
        <w:kinsoku/>
        <w:wordWrap/>
        <w:overflowPunct/>
        <w:topLinePunct w:val="0"/>
        <w:autoSpaceDE/>
        <w:autoSpaceDN/>
        <w:bidi w:val="0"/>
        <w:adjustRightInd w:val="0"/>
        <w:snapToGrid w:val="0"/>
        <w:spacing w:line="500" w:lineRule="exact"/>
        <w:ind w:firstLine="420"/>
        <w:textAlignment w:val="auto"/>
        <w:rPr>
          <w:rFonts w:hint="eastAsia"/>
          <w:color w:val="auto"/>
          <w:sz w:val="21"/>
          <w:szCs w:val="21"/>
          <w:highlight w:val="none"/>
        </w:rPr>
      </w:pPr>
      <w:r>
        <w:rPr>
          <w:rFonts w:hint="eastAsia" w:ascii="宋体" w:hAnsi="宋体" w:cs="宋体"/>
          <w:color w:val="auto"/>
          <w:sz w:val="21"/>
          <w:szCs w:val="21"/>
          <w:highlight w:val="none"/>
        </w:rPr>
        <w:t>3.2.4招</w:t>
      </w:r>
      <w:r>
        <w:rPr>
          <w:rFonts w:hint="eastAsia"/>
          <w:color w:val="auto"/>
          <w:sz w:val="21"/>
          <w:szCs w:val="21"/>
          <w:highlight w:val="none"/>
        </w:rPr>
        <w:t>标人设有最高投标限价的，投标人的投标报价不得超过最高投标限价，最高投标限价在投标人须知前附表中载明。</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 w:val="21"/>
          <w:szCs w:val="21"/>
          <w:highlight w:val="none"/>
        </w:rPr>
      </w:pPr>
      <w:r>
        <w:rPr>
          <w:rFonts w:hint="eastAsia" w:ascii="宋体" w:hAnsi="宋体" w:cs="宋体"/>
          <w:color w:val="auto"/>
          <w:sz w:val="21"/>
          <w:szCs w:val="21"/>
          <w:highlight w:val="none"/>
        </w:rPr>
        <w:t xml:space="preserve">3.2.5 </w:t>
      </w:r>
      <w:r>
        <w:rPr>
          <w:rFonts w:hint="eastAsia" w:ascii="宋体" w:hAnsi="宋体" w:cs="宋体"/>
          <w:bCs/>
          <w:snapToGrid w:val="0"/>
          <w:color w:val="auto"/>
          <w:kern w:val="0"/>
          <w:sz w:val="21"/>
          <w:szCs w:val="21"/>
          <w:highlight w:val="none"/>
        </w:rPr>
        <w:t>投标报价的其他要求见投标人须知前附表。</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329" w:name="_Toc83301709"/>
      <w:bookmarkStart w:id="330" w:name="_Toc60061454"/>
      <w:bookmarkStart w:id="331" w:name="_Toc506107288"/>
      <w:bookmarkStart w:id="332" w:name="_Toc95223357"/>
      <w:bookmarkStart w:id="333" w:name="_Toc15058866"/>
      <w:r>
        <w:rPr>
          <w:rFonts w:hint="eastAsia" w:ascii="黑体" w:hAnsi="黑体" w:eastAsia="黑体" w:cs="黑体"/>
          <w:color w:val="auto"/>
          <w:sz w:val="21"/>
          <w:szCs w:val="21"/>
          <w:highlight w:val="none"/>
        </w:rPr>
        <w:t>3.3 投标有效期</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除投标人须知前附表另有规定外，投标有效期为</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天。</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3.3.2在投标有效期内，投标人撤销或修改其投标文件的，应承担招标文件和法律规定的责任。</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3.3.3出现特殊情况需要延长投标有效期的，招标人以书面形式通知所有投标人延长投标有效期。投标人同意延长的，不得要求或被允许修改或撤销其投标文件；投标人拒绝延长的，其投标失效。</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bookmarkStart w:id="334" w:name="_Toc324404836"/>
      <w:bookmarkStart w:id="335" w:name="_Toc144974518"/>
      <w:bookmarkStart w:id="336" w:name="_Toc506107289"/>
      <w:bookmarkStart w:id="337" w:name="_Toc179632568"/>
      <w:bookmarkStart w:id="338" w:name="_Toc246996938"/>
      <w:bookmarkStart w:id="339" w:name="_Toc246996195"/>
      <w:bookmarkStart w:id="340" w:name="_Toc83301710"/>
      <w:bookmarkStart w:id="341" w:name="_Toc152045550"/>
      <w:bookmarkStart w:id="342" w:name="_Toc15058867"/>
      <w:bookmarkStart w:id="343" w:name="_Toc95223358"/>
      <w:bookmarkStart w:id="344" w:name="_Toc296602440"/>
      <w:bookmarkStart w:id="345" w:name="_Toc247085709"/>
      <w:bookmarkStart w:id="346" w:name="_Toc152042326"/>
      <w:bookmarkStart w:id="347" w:name="_Toc60061455"/>
      <w:r>
        <w:rPr>
          <w:rFonts w:hint="eastAsia" w:ascii="宋体" w:hAnsi="宋体" w:eastAsia="宋体" w:cs="宋体"/>
          <w:color w:val="auto"/>
          <w:sz w:val="21"/>
          <w:szCs w:val="21"/>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widowControl w:val="0"/>
        <w:kinsoku/>
        <w:wordWrap/>
        <w:overflowPunct/>
        <w:topLinePunct w:val="0"/>
        <w:autoSpaceDE/>
        <w:autoSpaceDN/>
        <w:bidi w:val="0"/>
        <w:adjustRightInd w:val="0"/>
        <w:snapToGrid w:val="0"/>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本项目不缴纳投标保证金</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b/>
          <w:bCs/>
          <w:color w:val="auto"/>
          <w:sz w:val="21"/>
          <w:szCs w:val="21"/>
          <w:highlight w:val="none"/>
        </w:rPr>
      </w:pPr>
      <w:bookmarkStart w:id="348" w:name="_Toc296602442"/>
      <w:bookmarkStart w:id="349" w:name="_Toc83301711"/>
      <w:bookmarkStart w:id="350" w:name="_Toc506107290"/>
      <w:bookmarkStart w:id="351" w:name="_Toc95223359"/>
      <w:bookmarkStart w:id="352" w:name="_Toc60061456"/>
      <w:bookmarkStart w:id="353" w:name="_Toc324404837"/>
      <w:bookmarkStart w:id="354" w:name="_Toc15058868"/>
      <w:bookmarkStart w:id="355" w:name="_Toc179632571"/>
      <w:bookmarkStart w:id="356" w:name="_Toc144974521"/>
      <w:bookmarkStart w:id="357" w:name="_Toc152045553"/>
      <w:bookmarkStart w:id="358" w:name="_Toc246996940"/>
      <w:bookmarkStart w:id="359" w:name="_Toc247085711"/>
      <w:bookmarkStart w:id="360" w:name="_Toc246996197"/>
      <w:bookmarkStart w:id="361" w:name="_Toc152042329"/>
      <w:r>
        <w:rPr>
          <w:rFonts w:hint="eastAsia" w:ascii="黑体" w:hAnsi="黑体" w:eastAsia="黑体" w:cs="黑体"/>
          <w:b/>
          <w:bCs/>
          <w:color w:val="auto"/>
          <w:sz w:val="21"/>
          <w:szCs w:val="21"/>
          <w:highlight w:val="none"/>
        </w:rPr>
        <w:t>3.5投标文件的编制</w:t>
      </w:r>
      <w:bookmarkEnd w:id="348"/>
      <w:bookmarkEnd w:id="349"/>
      <w:bookmarkEnd w:id="350"/>
      <w:bookmarkEnd w:id="351"/>
      <w:bookmarkEnd w:id="352"/>
      <w:bookmarkEnd w:id="353"/>
      <w:bookmarkEnd w:id="354"/>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投标文件应按“投标文件格式”进行编写，如有必要，可以增加附页，作为投标文件的组成部分。其中，投标函在满足招标文件实质性要求的基础上，可以提出比招标文件要求更有利于招标人的承诺。</w:t>
      </w:r>
    </w:p>
    <w:bookmarkEnd w:id="355"/>
    <w:bookmarkEnd w:id="356"/>
    <w:bookmarkEnd w:id="357"/>
    <w:bookmarkEnd w:id="358"/>
    <w:bookmarkEnd w:id="359"/>
    <w:bookmarkEnd w:id="360"/>
    <w:bookmarkEnd w:id="361"/>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 w:val="21"/>
          <w:szCs w:val="21"/>
          <w:highlight w:val="none"/>
        </w:rPr>
      </w:pPr>
      <w:bookmarkStart w:id="362" w:name="_Toc246996942"/>
      <w:bookmarkStart w:id="363" w:name="_Toc247085713"/>
      <w:bookmarkStart w:id="364" w:name="_Toc144974523"/>
      <w:bookmarkStart w:id="365" w:name="_Toc246996199"/>
      <w:bookmarkStart w:id="366" w:name="_Toc324404838"/>
      <w:bookmarkStart w:id="367" w:name="_Toc152045555"/>
      <w:bookmarkStart w:id="368" w:name="_Toc179632573"/>
      <w:bookmarkStart w:id="369" w:name="_Toc152042331"/>
      <w:r>
        <w:rPr>
          <w:rFonts w:hint="eastAsia" w:ascii="宋体" w:hAnsi="宋体" w:cs="宋体"/>
          <w:bCs/>
          <w:snapToGrid w:val="0"/>
          <w:color w:val="auto"/>
          <w:kern w:val="0"/>
          <w:sz w:val="21"/>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cs="宋体"/>
          <w:b/>
          <w:snapToGrid w:val="0"/>
          <w:color w:val="auto"/>
          <w:kern w:val="0"/>
          <w:sz w:val="21"/>
          <w:szCs w:val="21"/>
          <w:highlight w:val="none"/>
        </w:rPr>
        <w:t>如果签订合同后发现中标人提供了虚假材料，招标人有权解除合同</w:t>
      </w:r>
      <w:r>
        <w:rPr>
          <w:rFonts w:hint="eastAsia" w:ascii="宋体" w:hAnsi="宋体" w:cs="宋体"/>
          <w:bCs/>
          <w:snapToGrid w:val="0"/>
          <w:color w:val="auto"/>
          <w:kern w:val="0"/>
          <w:sz w:val="21"/>
          <w:szCs w:val="21"/>
          <w:highlight w:val="none"/>
        </w:rPr>
        <w:t>。</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3.6 备选投标方案</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不允许</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lang w:val="en-US" w:eastAsia="zh-CN"/>
        </w:rPr>
      </w:pPr>
      <w:bookmarkStart w:id="370" w:name="_Toc246996944"/>
      <w:bookmarkStart w:id="371" w:name="_Toc144974525"/>
      <w:bookmarkStart w:id="372" w:name="_Toc247085715"/>
      <w:bookmarkStart w:id="373" w:name="_Toc246996201"/>
      <w:bookmarkStart w:id="374" w:name="_Toc60061460"/>
      <w:bookmarkStart w:id="375" w:name="_Toc152045557"/>
      <w:bookmarkStart w:id="376" w:name="_Toc296602445"/>
      <w:bookmarkStart w:id="377" w:name="_Toc83301715"/>
      <w:bookmarkStart w:id="378" w:name="_Toc15058872"/>
      <w:bookmarkStart w:id="379" w:name="_Toc324404840"/>
      <w:bookmarkStart w:id="380" w:name="_Toc95223363"/>
      <w:bookmarkStart w:id="381" w:name="_Toc152042333"/>
      <w:bookmarkStart w:id="382" w:name="_Toc179632575"/>
      <w:bookmarkStart w:id="383" w:name="_Toc506107293"/>
      <w:r>
        <w:rPr>
          <w:rFonts w:hint="eastAsia" w:ascii="黑体" w:hAnsi="黑体" w:eastAsia="黑体" w:cs="黑体"/>
          <w:color w:val="auto"/>
          <w:sz w:val="21"/>
          <w:szCs w:val="21"/>
          <w:highlight w:val="none"/>
        </w:rPr>
        <w:t xml:space="preserve">4 </w:t>
      </w:r>
      <w:r>
        <w:rPr>
          <w:rFonts w:hint="eastAsia" w:ascii="黑体" w:hAnsi="黑体" w:eastAsia="黑体" w:cs="黑体"/>
          <w:color w:val="auto"/>
          <w:sz w:val="21"/>
          <w:szCs w:val="21"/>
          <w:highlight w:val="none"/>
          <w:lang w:val="en-US" w:eastAsia="zh-CN"/>
        </w:rPr>
        <w:t>投标</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4.1</w:t>
      </w:r>
      <w:r>
        <w:rPr>
          <w:rFonts w:hint="eastAsia" w:ascii="黑体" w:hAnsi="黑体" w:eastAsia="黑体" w:cs="黑体"/>
          <w:color w:val="auto"/>
          <w:sz w:val="21"/>
          <w:szCs w:val="21"/>
          <w:highlight w:val="none"/>
        </w:rPr>
        <w:t>投标文件的递交</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bookmarkStart w:id="384" w:name="_Toc247085716"/>
      <w:bookmarkStart w:id="385" w:name="_Toc15058873"/>
      <w:bookmarkStart w:id="386" w:name="_Toc60061461"/>
      <w:bookmarkStart w:id="387" w:name="_Toc246996945"/>
      <w:bookmarkStart w:id="388" w:name="_Toc179632576"/>
      <w:bookmarkStart w:id="389" w:name="_Toc152045558"/>
      <w:bookmarkStart w:id="390" w:name="_Toc152042334"/>
      <w:bookmarkStart w:id="391" w:name="_Toc144974526"/>
      <w:bookmarkStart w:id="392" w:name="_Toc506107294"/>
      <w:bookmarkStart w:id="393" w:name="_Toc324404841"/>
      <w:bookmarkStart w:id="394" w:name="_Toc246996202"/>
      <w:bookmarkStart w:id="395" w:name="_Toc95223364"/>
      <w:bookmarkStart w:id="396" w:name="_Toc83301716"/>
      <w:bookmarkStart w:id="397" w:name="_Toc296602446"/>
      <w:r>
        <w:rPr>
          <w:rFonts w:hint="eastAsia" w:ascii="宋体" w:hAnsi="宋体" w:eastAsia="宋体" w:cs="宋体"/>
          <w:color w:val="auto"/>
          <w:sz w:val="21"/>
          <w:szCs w:val="21"/>
          <w:highlight w:val="none"/>
        </w:rPr>
        <w:t>投标人应在投标人须知前附表规定的投标截止时间前在递交投标文件。未在</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截止时间前递交有效投标文件的，不予接收，投标将被拒绝。</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4.2</w:t>
      </w:r>
      <w:r>
        <w:rPr>
          <w:rFonts w:hint="eastAsia" w:ascii="黑体" w:hAnsi="黑体" w:eastAsia="黑体" w:cs="黑体"/>
          <w:color w:val="auto"/>
          <w:sz w:val="21"/>
          <w:szCs w:val="21"/>
          <w:highlight w:val="none"/>
        </w:rPr>
        <w:t xml:space="preserve"> 投标文件的修改与撤回</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color w:val="auto"/>
          <w:sz w:val="21"/>
          <w:szCs w:val="21"/>
          <w:highlight w:val="none"/>
        </w:rPr>
        <w:t>在规定的投标</w:t>
      </w:r>
      <w:r>
        <w:rPr>
          <w:rFonts w:hint="eastAsia"/>
          <w:color w:val="auto"/>
          <w:sz w:val="21"/>
          <w:szCs w:val="21"/>
          <w:highlight w:val="none"/>
          <w:lang w:val="en-US" w:eastAsia="zh-CN"/>
        </w:rPr>
        <w:t>文件递交</w:t>
      </w:r>
      <w:r>
        <w:rPr>
          <w:rFonts w:hint="eastAsia"/>
          <w:color w:val="auto"/>
          <w:sz w:val="21"/>
          <w:szCs w:val="21"/>
          <w:highlight w:val="none"/>
        </w:rPr>
        <w:t>截止时间前，投标人可以自行撤回已递交的投标文件，并可修改后重新</w:t>
      </w:r>
      <w:r>
        <w:rPr>
          <w:rFonts w:hint="eastAsia"/>
          <w:color w:val="auto"/>
          <w:sz w:val="21"/>
          <w:szCs w:val="21"/>
          <w:highlight w:val="none"/>
          <w:lang w:val="en-US" w:eastAsia="zh-CN"/>
        </w:rPr>
        <w:t>递交</w:t>
      </w:r>
      <w:r>
        <w:rPr>
          <w:rFonts w:hint="eastAsia"/>
          <w:color w:val="auto"/>
          <w:sz w:val="21"/>
          <w:szCs w:val="21"/>
          <w:highlight w:val="none"/>
        </w:rPr>
        <w:t>，开标时以投标截止时间前投标人最终</w:t>
      </w:r>
      <w:r>
        <w:rPr>
          <w:rFonts w:hint="eastAsia"/>
          <w:color w:val="auto"/>
          <w:sz w:val="21"/>
          <w:szCs w:val="21"/>
          <w:highlight w:val="none"/>
          <w:lang w:val="en-US" w:eastAsia="zh-CN"/>
        </w:rPr>
        <w:t>递交</w:t>
      </w:r>
      <w:r>
        <w:rPr>
          <w:rFonts w:hint="eastAsia"/>
          <w:color w:val="auto"/>
          <w:sz w:val="21"/>
          <w:szCs w:val="21"/>
          <w:highlight w:val="none"/>
        </w:rPr>
        <w:t>的投标文件为准。</w:t>
      </w:r>
    </w:p>
    <w:p>
      <w:pPr>
        <w:pStyle w:val="4"/>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cs="黑体"/>
          <w:color w:val="auto"/>
          <w:sz w:val="21"/>
          <w:szCs w:val="21"/>
          <w:highlight w:val="none"/>
        </w:rPr>
      </w:pPr>
      <w:bookmarkStart w:id="398" w:name="_Toc179632577"/>
      <w:bookmarkStart w:id="399" w:name="_Toc144974527"/>
      <w:bookmarkStart w:id="400" w:name="_Toc152045559"/>
      <w:bookmarkStart w:id="401" w:name="_Toc15058874"/>
      <w:bookmarkStart w:id="402" w:name="_Toc246996203"/>
      <w:bookmarkStart w:id="403" w:name="_Toc152042335"/>
      <w:bookmarkStart w:id="404" w:name="_Toc95223365"/>
      <w:bookmarkStart w:id="405" w:name="_Toc506107295"/>
      <w:bookmarkStart w:id="406" w:name="_Toc246996946"/>
      <w:bookmarkStart w:id="407" w:name="_Toc83301717"/>
      <w:bookmarkStart w:id="408" w:name="_Toc324404842"/>
      <w:bookmarkStart w:id="409" w:name="_Toc60061462"/>
      <w:bookmarkStart w:id="410" w:name="_Toc247085717"/>
      <w:r>
        <w:rPr>
          <w:rFonts w:hint="eastAsia" w:ascii="黑体" w:hAnsi="黑体" w:cs="黑体"/>
          <w:color w:val="auto"/>
          <w:sz w:val="21"/>
          <w:szCs w:val="21"/>
          <w:highlight w:val="none"/>
          <w:lang w:val="en-US" w:eastAsia="zh-CN"/>
        </w:rPr>
        <w:t>5</w:t>
      </w:r>
      <w:r>
        <w:rPr>
          <w:rFonts w:hint="eastAsia" w:ascii="黑体" w:hAnsi="黑体" w:cs="黑体"/>
          <w:color w:val="auto"/>
          <w:sz w:val="21"/>
          <w:szCs w:val="21"/>
          <w:highlight w:val="none"/>
        </w:rPr>
        <w:t>. 开标</w:t>
      </w:r>
      <w:bookmarkEnd w:id="398"/>
      <w:bookmarkEnd w:id="399"/>
      <w:bookmarkEnd w:id="400"/>
      <w:bookmarkEnd w:id="401"/>
      <w:bookmarkEnd w:id="402"/>
      <w:bookmarkEnd w:id="403"/>
      <w:bookmarkEnd w:id="404"/>
      <w:bookmarkEnd w:id="405"/>
      <w:bookmarkEnd w:id="406"/>
      <w:bookmarkEnd w:id="407"/>
      <w:bookmarkEnd w:id="408"/>
      <w:bookmarkEnd w:id="409"/>
      <w:bookmarkEnd w:id="410"/>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default" w:ascii="黑体" w:hAnsi="黑体" w:eastAsia="黑体" w:cs="黑体"/>
          <w:color w:val="auto"/>
          <w:sz w:val="21"/>
          <w:szCs w:val="21"/>
          <w:highlight w:val="none"/>
          <w:lang w:val="en-US" w:eastAsia="zh-CN"/>
        </w:rPr>
      </w:pPr>
      <w:bookmarkStart w:id="411" w:name="_Toc144974528"/>
      <w:bookmarkStart w:id="412" w:name="_Toc83301718"/>
      <w:bookmarkStart w:id="413" w:name="_Toc179632578"/>
      <w:bookmarkStart w:id="414" w:name="_Toc15058875"/>
      <w:bookmarkStart w:id="415" w:name="_Toc60061463"/>
      <w:bookmarkStart w:id="416" w:name="_Toc247085718"/>
      <w:bookmarkStart w:id="417" w:name="_Toc506107296"/>
      <w:bookmarkStart w:id="418" w:name="_Toc95223366"/>
      <w:bookmarkStart w:id="419" w:name="_Toc324404843"/>
      <w:bookmarkStart w:id="420" w:name="_Toc152045560"/>
      <w:bookmarkStart w:id="421" w:name="_Toc296602448"/>
      <w:bookmarkStart w:id="422" w:name="_Toc152042336"/>
      <w:bookmarkStart w:id="423" w:name="_Toc246996204"/>
      <w:bookmarkStart w:id="424" w:name="_Toc246996947"/>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.1 开标时间和地点</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详见招标公告</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425" w:name="_Toc246996205"/>
      <w:bookmarkStart w:id="426" w:name="_Toc60061464"/>
      <w:bookmarkStart w:id="427" w:name="_Toc83301719"/>
      <w:bookmarkStart w:id="428" w:name="_Toc152042337"/>
      <w:bookmarkStart w:id="429" w:name="_Toc15058876"/>
      <w:bookmarkStart w:id="430" w:name="_Toc179632579"/>
      <w:bookmarkStart w:id="431" w:name="_Toc296602449"/>
      <w:bookmarkStart w:id="432" w:name="_Toc246996948"/>
      <w:bookmarkStart w:id="433" w:name="_Toc247085719"/>
      <w:bookmarkStart w:id="434" w:name="_Toc152045561"/>
      <w:bookmarkStart w:id="435" w:name="_Toc144974529"/>
      <w:bookmarkStart w:id="436" w:name="_Toc95223367"/>
      <w:bookmarkStart w:id="437" w:name="_Toc506107297"/>
      <w:bookmarkStart w:id="438" w:name="_Toc324404844"/>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.2 开标程序</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主持人按下列程序进行开标：</w:t>
      </w:r>
    </w:p>
    <w:p>
      <w:pPr>
        <w:widowControl w:val="0"/>
        <w:kinsoku/>
        <w:wordWrap/>
        <w:overflowPunct/>
        <w:topLinePunct w:val="0"/>
        <w:autoSpaceDE/>
        <w:autoSpaceDN/>
        <w:bidi w:val="0"/>
        <w:spacing w:line="50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、代理机构主持人、</w:t>
      </w:r>
      <w:r>
        <w:rPr>
          <w:rFonts w:hint="eastAsia" w:ascii="宋体" w:hAnsi="宋体" w:eastAsia="宋体" w:cs="宋体"/>
          <w:color w:val="auto"/>
          <w:sz w:val="21"/>
          <w:szCs w:val="21"/>
          <w:highlight w:val="none"/>
          <w:lang w:val="en-US" w:eastAsia="zh-CN"/>
        </w:rPr>
        <w:t>监督人</w:t>
      </w:r>
      <w:r>
        <w:rPr>
          <w:rFonts w:hint="eastAsia" w:ascii="宋体" w:hAnsi="宋体" w:eastAsia="宋体" w:cs="宋体"/>
          <w:color w:val="auto"/>
          <w:sz w:val="21"/>
          <w:szCs w:val="21"/>
          <w:highlight w:val="none"/>
        </w:rPr>
        <w:t>等；</w:t>
      </w:r>
    </w:p>
    <w:p>
      <w:pPr>
        <w:widowControl w:val="0"/>
        <w:kinsoku/>
        <w:wordWrap/>
        <w:overflowPunct/>
        <w:topLinePunct w:val="0"/>
        <w:autoSpaceDE/>
        <w:autoSpaceDN/>
        <w:bidi w:val="0"/>
        <w:spacing w:line="50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）公布投标截止时间前，递交投标文件的投标人名称；</w:t>
      </w:r>
    </w:p>
    <w:p>
      <w:pPr>
        <w:widowControl w:val="0"/>
        <w:kinsoku/>
        <w:wordWrap/>
        <w:overflowPunct/>
        <w:topLinePunct w:val="0"/>
        <w:autoSpaceDE/>
        <w:autoSpaceDN/>
        <w:bidi w:val="0"/>
        <w:spacing w:line="50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按顺序进行评审并记录在案</w:t>
      </w:r>
      <w:r>
        <w:rPr>
          <w:rFonts w:hint="eastAsia" w:ascii="宋体" w:hAnsi="宋体" w:eastAsia="宋体" w:cs="宋体"/>
          <w:color w:val="auto"/>
          <w:sz w:val="21"/>
          <w:szCs w:val="21"/>
          <w:highlight w:val="none"/>
        </w:rPr>
        <w:t>；</w:t>
      </w:r>
    </w:p>
    <w:p>
      <w:pPr>
        <w:widowControl w:val="0"/>
        <w:kinsoku/>
        <w:wordWrap/>
        <w:overflowPunct/>
        <w:topLinePunct w:val="0"/>
        <w:autoSpaceDE/>
        <w:autoSpaceDN/>
        <w:bidi w:val="0"/>
        <w:spacing w:line="50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）开标结束。</w:t>
      </w:r>
    </w:p>
    <w:p>
      <w:pPr>
        <w:widowControl w:val="0"/>
        <w:kinsoku/>
        <w:wordWrap/>
        <w:overflowPunct/>
        <w:topLinePunct w:val="0"/>
        <w:autoSpaceDE/>
        <w:autoSpaceDN/>
        <w:bidi w:val="0"/>
        <w:spacing w:line="50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多标包项目按照标包顺序按以上程序依次开标。</w:t>
      </w:r>
    </w:p>
    <w:bookmarkEnd w:id="362"/>
    <w:bookmarkEnd w:id="363"/>
    <w:bookmarkEnd w:id="364"/>
    <w:bookmarkEnd w:id="365"/>
    <w:bookmarkEnd w:id="366"/>
    <w:bookmarkEnd w:id="367"/>
    <w:bookmarkEnd w:id="368"/>
    <w:bookmarkEnd w:id="369"/>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439" w:name="_Toc296602450"/>
      <w:bookmarkStart w:id="440" w:name="_Toc95223368"/>
      <w:bookmarkStart w:id="441" w:name="_Toc324404845"/>
      <w:bookmarkStart w:id="442" w:name="_Toc15058883"/>
      <w:bookmarkStart w:id="443" w:name="_Toc506107298"/>
      <w:bookmarkStart w:id="444" w:name="_Toc60061465"/>
      <w:bookmarkStart w:id="445" w:name="_Toc83301720"/>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.3 开标异议</w:t>
      </w:r>
      <w:bookmarkEnd w:id="439"/>
      <w:bookmarkEnd w:id="440"/>
      <w:bookmarkEnd w:id="441"/>
      <w:bookmarkEnd w:id="442"/>
      <w:bookmarkEnd w:id="443"/>
      <w:bookmarkEnd w:id="444"/>
      <w:bookmarkEnd w:id="445"/>
    </w:p>
    <w:p>
      <w:pPr>
        <w:widowControl w:val="0"/>
        <w:kinsoku/>
        <w:wordWrap/>
        <w:overflowPunct/>
        <w:topLinePunct w:val="0"/>
        <w:autoSpaceDE/>
        <w:autoSpaceDN/>
        <w:bidi w:val="0"/>
        <w:adjustRightInd w:val="0"/>
        <w:snapToGrid w:val="0"/>
        <w:spacing w:line="500" w:lineRule="exact"/>
        <w:ind w:left="418" w:leftChars="174" w:firstLine="0" w:firstLineChars="0"/>
        <w:textAlignment w:val="auto"/>
        <w:rPr>
          <w:rFonts w:hint="eastAsia" w:ascii="黑体" w:hAnsi="黑体" w:eastAsia="黑体" w:cs="黑体"/>
          <w:b/>
          <w:bCs/>
          <w:color w:val="auto"/>
          <w:kern w:val="0"/>
          <w:sz w:val="21"/>
          <w:szCs w:val="21"/>
          <w:highlight w:val="none"/>
          <w:lang w:val="en-US" w:eastAsia="zh-CN" w:bidi="ar-SA"/>
        </w:rPr>
      </w:pPr>
      <w:r>
        <w:rPr>
          <w:rFonts w:hint="eastAsia" w:ascii="宋体" w:hAnsi="宋体" w:cs="宋体"/>
          <w:color w:val="auto"/>
          <w:sz w:val="21"/>
          <w:szCs w:val="21"/>
          <w:highlight w:val="none"/>
        </w:rPr>
        <w:t>投标人对开标有异议的，应当在开标过程中提出，招标人在开标过程中作出答复，并制作记录。</w:t>
      </w:r>
      <w:bookmarkStart w:id="446" w:name="_Toc246996206"/>
      <w:bookmarkStart w:id="447" w:name="_Toc324404846"/>
      <w:bookmarkStart w:id="448" w:name="_Toc60061466"/>
      <w:bookmarkStart w:id="449" w:name="_Toc246996949"/>
      <w:bookmarkStart w:id="450" w:name="_Toc144974530"/>
      <w:bookmarkStart w:id="451" w:name="_Toc247085720"/>
      <w:bookmarkStart w:id="452" w:name="_Toc95223369"/>
      <w:bookmarkStart w:id="453" w:name="_Toc15058884"/>
      <w:bookmarkStart w:id="454" w:name="_Toc179632580"/>
      <w:bookmarkStart w:id="455" w:name="_Toc152045562"/>
      <w:bookmarkStart w:id="456" w:name="_Toc152042338"/>
      <w:bookmarkStart w:id="457" w:name="_Toc83301721"/>
      <w:bookmarkStart w:id="458" w:name="_Toc506107299"/>
      <w:r>
        <w:rPr>
          <w:rFonts w:hint="eastAsia" w:ascii="黑体" w:hAnsi="黑体" w:eastAsia="黑体" w:cs="黑体"/>
          <w:b/>
          <w:bCs/>
          <w:color w:val="auto"/>
          <w:kern w:val="0"/>
          <w:sz w:val="21"/>
          <w:szCs w:val="21"/>
          <w:highlight w:val="none"/>
          <w:lang w:val="en-US" w:eastAsia="zh-CN" w:bidi="ar-SA"/>
        </w:rPr>
        <w:t>6. 评标</w:t>
      </w:r>
      <w:bookmarkEnd w:id="446"/>
      <w:bookmarkEnd w:id="447"/>
      <w:bookmarkEnd w:id="448"/>
      <w:bookmarkEnd w:id="449"/>
      <w:bookmarkEnd w:id="450"/>
      <w:bookmarkEnd w:id="451"/>
      <w:bookmarkEnd w:id="452"/>
      <w:bookmarkEnd w:id="453"/>
      <w:bookmarkEnd w:id="454"/>
      <w:bookmarkEnd w:id="455"/>
      <w:bookmarkEnd w:id="456"/>
      <w:bookmarkEnd w:id="457"/>
      <w:bookmarkEnd w:id="458"/>
      <w:bookmarkStart w:id="459" w:name="_Toc83301722"/>
      <w:bookmarkStart w:id="460" w:name="_Toc324404847"/>
      <w:bookmarkStart w:id="461" w:name="_Toc506107300"/>
      <w:bookmarkStart w:id="462" w:name="_Toc15058885"/>
      <w:bookmarkStart w:id="463" w:name="_Toc152042339"/>
      <w:bookmarkStart w:id="464" w:name="_Toc247085721"/>
      <w:bookmarkStart w:id="465" w:name="_Toc152045563"/>
      <w:bookmarkStart w:id="466" w:name="_Toc246996950"/>
      <w:bookmarkStart w:id="467" w:name="_Toc95223370"/>
      <w:bookmarkStart w:id="468" w:name="_Toc144974531"/>
      <w:bookmarkStart w:id="469" w:name="_Toc296602452"/>
      <w:bookmarkStart w:id="470" w:name="_Toc246996207"/>
      <w:bookmarkStart w:id="471" w:name="_Toc60061467"/>
      <w:bookmarkStart w:id="472" w:name="_Toc179632581"/>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.1 评标委员会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cs="宋体"/>
          <w:color w:val="auto"/>
          <w:sz w:val="21"/>
          <w:szCs w:val="21"/>
          <w:highlight w:val="none"/>
        </w:rPr>
        <w:t>.1.1 评标由招标人依法组建的评标委员会负责。评标委员会由招标人或其委托的招标代理机构熟悉相关业务的代表，以及有关技术、经济等方面的专家组成。</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cs="宋体"/>
          <w:color w:val="auto"/>
          <w:sz w:val="21"/>
          <w:szCs w:val="21"/>
          <w:highlight w:val="none"/>
        </w:rPr>
        <w:t>.1.2 评标委员会成员有下列情形之一的，应当回避：</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（1）投标人或投标人主要负责人的近亲属；</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（2）项目主管部门或者行政监督部门的人员；</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（3）与投标人有经济利益关系；</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（4）曾因在招标、评标以及其他与招标投标有关活动中从事违法行为而受过行政处罚或刑事处罚的；</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（5）与投标人有其他利害关系。</w:t>
      </w:r>
    </w:p>
    <w:p>
      <w:pPr>
        <w:pStyle w:val="36"/>
        <w:widowControl w:val="0"/>
        <w:kinsoku/>
        <w:wordWrap/>
        <w:overflowPunct/>
        <w:topLinePunct w:val="0"/>
        <w:autoSpaceDE/>
        <w:autoSpaceDN/>
        <w:bidi w:val="0"/>
        <w:adjustRightInd w:val="0"/>
        <w:snapToGrid w:val="0"/>
        <w:spacing w:after="0" w:afterLines="0" w:line="500" w:lineRule="exact"/>
        <w:ind w:left="0" w:leftChars="0"/>
        <w:textAlignment w:val="auto"/>
        <w:rPr>
          <w:rFonts w:hint="eastAsia"/>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cs="宋体"/>
          <w:color w:val="auto"/>
          <w:sz w:val="21"/>
          <w:szCs w:val="21"/>
          <w:highlight w:val="none"/>
        </w:rPr>
        <w:t>.1.3评标过程中，评标委员会成员有回避事由、擅离职守或因健康等原因不能继续评标的， 招标人有权更换。被更换的评标委员会成员作出的评审结论无效，由更换后的评标委员会成员重新进行评审。</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473" w:name="_Toc15058886"/>
      <w:bookmarkStart w:id="474" w:name="_Toc324404848"/>
      <w:bookmarkStart w:id="475" w:name="_Toc506107301"/>
      <w:bookmarkStart w:id="476" w:name="_Toc60061468"/>
      <w:bookmarkStart w:id="477" w:name="_Toc246996208"/>
      <w:bookmarkStart w:id="478" w:name="_Toc83301723"/>
      <w:bookmarkStart w:id="479" w:name="_Toc152042340"/>
      <w:bookmarkStart w:id="480" w:name="_Toc95223371"/>
      <w:bookmarkStart w:id="481" w:name="_Toc152045564"/>
      <w:bookmarkStart w:id="482" w:name="_Toc144974532"/>
      <w:bookmarkStart w:id="483" w:name="_Toc296602453"/>
      <w:bookmarkStart w:id="484" w:name="_Toc246996951"/>
      <w:bookmarkStart w:id="485" w:name="_Toc247085722"/>
      <w:bookmarkStart w:id="486" w:name="_Toc179632582"/>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.2 评标原则</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评标活动遵循公平、公正、科学和择优的原则。</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487" w:name="_Toc296602454"/>
      <w:bookmarkStart w:id="488" w:name="_Toc15058887"/>
      <w:bookmarkStart w:id="489" w:name="_Toc152045565"/>
      <w:bookmarkStart w:id="490" w:name="_Toc246996209"/>
      <w:bookmarkStart w:id="491" w:name="_Toc324404849"/>
      <w:bookmarkStart w:id="492" w:name="_Toc152042341"/>
      <w:bookmarkStart w:id="493" w:name="_Toc506107302"/>
      <w:bookmarkStart w:id="494" w:name="_Toc60061469"/>
      <w:bookmarkStart w:id="495" w:name="_Toc247085723"/>
      <w:bookmarkStart w:id="496" w:name="_Toc83301724"/>
      <w:bookmarkStart w:id="497" w:name="_Toc144974533"/>
      <w:bookmarkStart w:id="498" w:name="_Toc95223372"/>
      <w:bookmarkStart w:id="499" w:name="_Toc246996952"/>
      <w:bookmarkStart w:id="500" w:name="_Toc179632583"/>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.3 评标</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Start w:id="501" w:name="_Toc60061470"/>
      <w:bookmarkStart w:id="502" w:name="_Toc246996953"/>
      <w:bookmarkStart w:id="503" w:name="_Toc246996210"/>
      <w:bookmarkStart w:id="504" w:name="_Toc152042342"/>
      <w:bookmarkStart w:id="505" w:name="_Toc324404850"/>
      <w:bookmarkStart w:id="506" w:name="_Toc247085724"/>
      <w:bookmarkStart w:id="507" w:name="_Toc506107303"/>
      <w:bookmarkStart w:id="508" w:name="_Toc144974534"/>
      <w:bookmarkStart w:id="509" w:name="_Toc152045566"/>
      <w:bookmarkStart w:id="510" w:name="_Toc179632584"/>
      <w:bookmarkStart w:id="511" w:name="_Toc15058888"/>
      <w:r>
        <w:rPr>
          <w:rFonts w:hint="eastAsia" w:ascii="黑体" w:hAnsi="黑体" w:eastAsia="黑体" w:cs="黑体"/>
          <w:color w:val="auto"/>
          <w:sz w:val="21"/>
          <w:szCs w:val="21"/>
          <w:highlight w:val="none"/>
        </w:rPr>
        <w:t xml:space="preserve">    </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cs="宋体"/>
          <w:color w:val="auto"/>
          <w:sz w:val="21"/>
          <w:szCs w:val="21"/>
          <w:highlight w:val="none"/>
        </w:rPr>
        <w:t>.3.1评标委员会按照第四章“评标办法”规定的方法、评审因素、标准和程序对投标文件进行评审。第四章“评标办法”没有规定的方法、评审因素和标准，不作为评标依据。</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cs="宋体"/>
          <w:color w:val="auto"/>
          <w:sz w:val="21"/>
          <w:szCs w:val="21"/>
          <w:highlight w:val="none"/>
        </w:rPr>
        <w:t>3.2评标完成后，评标委员会应向招标人提交书面评标报告和中标候选人名单。评标委员会推荐中标候选人的人数见投标人须知前附表。</w:t>
      </w:r>
    </w:p>
    <w:p>
      <w:pPr>
        <w:pStyle w:val="4"/>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cs="黑体"/>
          <w:color w:val="auto"/>
          <w:sz w:val="21"/>
          <w:szCs w:val="21"/>
          <w:highlight w:val="none"/>
        </w:rPr>
      </w:pPr>
      <w:bookmarkStart w:id="512" w:name="_Toc83301725"/>
      <w:bookmarkStart w:id="513" w:name="_Toc95223373"/>
      <w:r>
        <w:rPr>
          <w:rFonts w:hint="eastAsia" w:ascii="黑体" w:hAnsi="黑体" w:cs="黑体"/>
          <w:color w:val="auto"/>
          <w:sz w:val="21"/>
          <w:szCs w:val="21"/>
          <w:highlight w:val="none"/>
          <w:lang w:val="en-US" w:eastAsia="zh-CN"/>
        </w:rPr>
        <w:t>7</w:t>
      </w:r>
      <w:r>
        <w:rPr>
          <w:rFonts w:hint="eastAsia" w:ascii="黑体" w:hAnsi="黑体" w:cs="黑体"/>
          <w:color w:val="auto"/>
          <w:sz w:val="21"/>
          <w:szCs w:val="21"/>
          <w:highlight w:val="none"/>
        </w:rPr>
        <w:t>. 合同授予</w:t>
      </w:r>
      <w:bookmarkEnd w:id="501"/>
      <w:bookmarkEnd w:id="502"/>
      <w:bookmarkEnd w:id="503"/>
      <w:bookmarkEnd w:id="504"/>
      <w:bookmarkEnd w:id="505"/>
      <w:bookmarkEnd w:id="506"/>
      <w:bookmarkEnd w:id="507"/>
      <w:bookmarkEnd w:id="508"/>
      <w:bookmarkEnd w:id="509"/>
      <w:bookmarkEnd w:id="510"/>
      <w:bookmarkEnd w:id="511"/>
      <w:bookmarkEnd w:id="512"/>
      <w:bookmarkEnd w:id="513"/>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514" w:name="_Toc15058890"/>
      <w:bookmarkStart w:id="515" w:name="_Toc324404852"/>
      <w:bookmarkStart w:id="516" w:name="_Toc506107305"/>
      <w:bookmarkStart w:id="517" w:name="_Toc296602457"/>
      <w:bookmarkStart w:id="518" w:name="_Toc60061472"/>
      <w:bookmarkStart w:id="519" w:name="_Toc95223374"/>
      <w:bookmarkStart w:id="520" w:name="_Toc83301726"/>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.1 中标</w:t>
      </w:r>
      <w:r>
        <w:rPr>
          <w:rFonts w:hint="eastAsia" w:ascii="黑体" w:hAnsi="黑体" w:eastAsia="黑体" w:cs="黑体"/>
          <w:color w:val="auto"/>
          <w:sz w:val="21"/>
          <w:szCs w:val="21"/>
          <w:highlight w:val="none"/>
          <w:lang w:val="en-US" w:eastAsia="zh-CN"/>
        </w:rPr>
        <w:t>结果</w:t>
      </w:r>
      <w:r>
        <w:rPr>
          <w:rFonts w:hint="eastAsia" w:ascii="黑体" w:hAnsi="黑体" w:eastAsia="黑体" w:cs="黑体"/>
          <w:color w:val="auto"/>
          <w:sz w:val="21"/>
          <w:szCs w:val="21"/>
          <w:highlight w:val="none"/>
        </w:rPr>
        <w:t>公示</w:t>
      </w:r>
      <w:bookmarkEnd w:id="514"/>
      <w:bookmarkEnd w:id="515"/>
      <w:bookmarkEnd w:id="516"/>
      <w:bookmarkEnd w:id="517"/>
      <w:bookmarkEnd w:id="518"/>
      <w:bookmarkEnd w:id="519"/>
      <w:bookmarkEnd w:id="520"/>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bookmarkStart w:id="521" w:name="_Toc60061473"/>
      <w:bookmarkStart w:id="522" w:name="_Toc179632586"/>
      <w:bookmarkStart w:id="523" w:name="_Toc152042344"/>
      <w:bookmarkStart w:id="524" w:name="_Toc324404853"/>
      <w:bookmarkStart w:id="525" w:name="_Toc246996212"/>
      <w:bookmarkStart w:id="526" w:name="_Toc144974536"/>
      <w:bookmarkStart w:id="527" w:name="_Toc246996955"/>
      <w:bookmarkStart w:id="528" w:name="_Toc296602458"/>
      <w:bookmarkStart w:id="529" w:name="_Toc152045568"/>
      <w:bookmarkStart w:id="530" w:name="_Toc247085726"/>
      <w:r>
        <w:rPr>
          <w:rFonts w:hint="eastAsia" w:ascii="宋体" w:hAnsi="宋体" w:cs="宋体"/>
          <w:color w:val="auto"/>
          <w:sz w:val="21"/>
          <w:szCs w:val="21"/>
          <w:highlight w:val="none"/>
        </w:rPr>
        <w:t>中标候选人公示期不少于3 日。</w:t>
      </w:r>
    </w:p>
    <w:p>
      <w:pPr>
        <w:widowControl w:val="0"/>
        <w:kinsoku/>
        <w:wordWrap/>
        <w:overflowPunct/>
        <w:topLinePunct w:val="0"/>
        <w:autoSpaceDE/>
        <w:autoSpaceDN/>
        <w:bidi w:val="0"/>
        <w:adjustRightInd w:val="0"/>
        <w:snapToGrid w:val="0"/>
        <w:spacing w:line="500" w:lineRule="exact"/>
        <w:ind w:firstLine="422" w:firstLineChars="200"/>
        <w:textAlignment w:val="auto"/>
        <w:rPr>
          <w:rFonts w:hint="eastAsia" w:ascii="黑体" w:hAnsi="黑体" w:eastAsia="黑体" w:cs="黑体"/>
          <w:b/>
          <w:bCs/>
          <w:color w:val="auto"/>
          <w:kern w:val="0"/>
          <w:sz w:val="21"/>
          <w:szCs w:val="21"/>
          <w:highlight w:val="none"/>
        </w:rPr>
      </w:pPr>
      <w:r>
        <w:rPr>
          <w:rFonts w:hint="eastAsia" w:ascii="黑体" w:hAnsi="黑体" w:eastAsia="黑体" w:cs="黑体"/>
          <w:b/>
          <w:bCs/>
          <w:color w:val="auto"/>
          <w:kern w:val="0"/>
          <w:sz w:val="21"/>
          <w:szCs w:val="21"/>
          <w:highlight w:val="none"/>
          <w:lang w:val="en-US" w:eastAsia="zh-CN"/>
        </w:rPr>
        <w:t>7</w:t>
      </w:r>
      <w:r>
        <w:rPr>
          <w:rFonts w:hint="eastAsia" w:ascii="黑体" w:hAnsi="黑体" w:eastAsia="黑体" w:cs="黑体"/>
          <w:b/>
          <w:bCs/>
          <w:color w:val="auto"/>
          <w:kern w:val="0"/>
          <w:sz w:val="21"/>
          <w:szCs w:val="21"/>
          <w:highlight w:val="none"/>
        </w:rPr>
        <w:t>.</w:t>
      </w:r>
      <w:r>
        <w:rPr>
          <w:rFonts w:hint="eastAsia" w:ascii="黑体" w:hAnsi="黑体" w:eastAsia="黑体" w:cs="黑体"/>
          <w:b/>
          <w:bCs/>
          <w:color w:val="auto"/>
          <w:kern w:val="0"/>
          <w:sz w:val="21"/>
          <w:szCs w:val="21"/>
          <w:highlight w:val="none"/>
          <w:lang w:val="en-US" w:eastAsia="zh-CN"/>
        </w:rPr>
        <w:t>2</w:t>
      </w:r>
      <w:r>
        <w:rPr>
          <w:rFonts w:hint="eastAsia" w:ascii="黑体" w:hAnsi="黑体" w:eastAsia="黑体" w:cs="黑体"/>
          <w:b/>
          <w:bCs/>
          <w:color w:val="auto"/>
          <w:kern w:val="0"/>
          <w:sz w:val="21"/>
          <w:szCs w:val="21"/>
          <w:highlight w:val="none"/>
        </w:rPr>
        <w:t xml:space="preserve"> 中标候选人履约能力审查</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中标候选人的经营、财务状况发生较大变化或者存在违法行为，招标人认为可能影响其履约能力的，应当在发出中标通知书前由原评标委员会按照招标文件规定的标准和方法审查确认。</w:t>
      </w:r>
      <w:bookmarkEnd w:id="521"/>
      <w:bookmarkStart w:id="531" w:name="_Toc95223375"/>
      <w:bookmarkStart w:id="532" w:name="_Toc83301727"/>
      <w:bookmarkStart w:id="533" w:name="_Toc60061474"/>
      <w:bookmarkStart w:id="534" w:name="_Toc506107306"/>
      <w:bookmarkStart w:id="535" w:name="_Toc15058891"/>
    </w:p>
    <w:p>
      <w:pPr>
        <w:widowControl w:val="0"/>
        <w:kinsoku/>
        <w:wordWrap/>
        <w:overflowPunct/>
        <w:topLinePunct w:val="0"/>
        <w:autoSpaceDE/>
        <w:autoSpaceDN/>
        <w:bidi w:val="0"/>
        <w:adjustRightInd w:val="0"/>
        <w:snapToGrid w:val="0"/>
        <w:spacing w:line="500" w:lineRule="exact"/>
        <w:ind w:firstLine="422" w:firstLineChars="200"/>
        <w:textAlignment w:val="auto"/>
        <w:rPr>
          <w:rFonts w:hint="eastAsia" w:ascii="黑体" w:hAnsi="黑体" w:eastAsia="黑体" w:cs="黑体"/>
          <w:b/>
          <w:bCs/>
          <w:color w:val="auto"/>
          <w:kern w:val="0"/>
          <w:sz w:val="21"/>
          <w:szCs w:val="21"/>
          <w:highlight w:val="none"/>
        </w:rPr>
      </w:pPr>
      <w:r>
        <w:rPr>
          <w:rFonts w:hint="eastAsia" w:ascii="黑体" w:hAnsi="黑体" w:eastAsia="黑体" w:cs="黑体"/>
          <w:b/>
          <w:bCs/>
          <w:color w:val="auto"/>
          <w:kern w:val="0"/>
          <w:sz w:val="21"/>
          <w:szCs w:val="21"/>
          <w:highlight w:val="none"/>
          <w:lang w:val="en-US" w:eastAsia="zh-CN"/>
        </w:rPr>
        <w:t>7</w:t>
      </w:r>
      <w:r>
        <w:rPr>
          <w:rFonts w:hint="eastAsia" w:ascii="黑体" w:hAnsi="黑体" w:eastAsia="黑体" w:cs="黑体"/>
          <w:b/>
          <w:bCs/>
          <w:color w:val="auto"/>
          <w:kern w:val="0"/>
          <w:sz w:val="21"/>
          <w:szCs w:val="21"/>
          <w:highlight w:val="none"/>
        </w:rPr>
        <w:t>.</w:t>
      </w:r>
      <w:r>
        <w:rPr>
          <w:rFonts w:hint="eastAsia" w:ascii="黑体" w:hAnsi="黑体" w:eastAsia="黑体" w:cs="黑体"/>
          <w:b/>
          <w:bCs/>
          <w:color w:val="auto"/>
          <w:kern w:val="0"/>
          <w:sz w:val="21"/>
          <w:szCs w:val="21"/>
          <w:highlight w:val="none"/>
          <w:lang w:val="en-US" w:eastAsia="zh-CN"/>
        </w:rPr>
        <w:t>3</w:t>
      </w:r>
      <w:r>
        <w:rPr>
          <w:rFonts w:hint="eastAsia" w:ascii="黑体" w:hAnsi="黑体" w:eastAsia="黑体" w:cs="黑体"/>
          <w:b/>
          <w:bCs/>
          <w:color w:val="auto"/>
          <w:kern w:val="0"/>
          <w:sz w:val="21"/>
          <w:szCs w:val="21"/>
          <w:highlight w:val="none"/>
        </w:rPr>
        <w:t xml:space="preserve"> 定标</w:t>
      </w:r>
      <w:bookmarkEnd w:id="531"/>
      <w:bookmarkEnd w:id="532"/>
      <w:bookmarkStart w:id="536" w:name="_Toc83301728"/>
      <w:bookmarkStart w:id="537" w:name="_Toc95223376"/>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投标人须知前附表的规定，招标人或招标人授权的评标委员会依法确定中标人。排名第一的中标候选人放弃中标、招标人可以按照评标委员会提出的中标候选人名单排序依次确定其他中标候选人为中标人，也可以重新招标。</w:t>
      </w:r>
    </w:p>
    <w:bookmarkEnd w:id="522"/>
    <w:bookmarkEnd w:id="523"/>
    <w:bookmarkEnd w:id="524"/>
    <w:bookmarkEnd w:id="525"/>
    <w:bookmarkEnd w:id="526"/>
    <w:bookmarkEnd w:id="527"/>
    <w:bookmarkEnd w:id="528"/>
    <w:bookmarkEnd w:id="529"/>
    <w:bookmarkEnd w:id="530"/>
    <w:bookmarkEnd w:id="533"/>
    <w:bookmarkEnd w:id="534"/>
    <w:bookmarkEnd w:id="535"/>
    <w:bookmarkEnd w:id="536"/>
    <w:bookmarkEnd w:id="537"/>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538" w:name="_Toc247085728"/>
      <w:bookmarkStart w:id="539" w:name="_Toc60061477"/>
      <w:bookmarkStart w:id="540" w:name="_Toc506107308"/>
      <w:bookmarkStart w:id="541" w:name="_Toc83301731"/>
      <w:bookmarkStart w:id="542" w:name="_Toc15058893"/>
      <w:bookmarkStart w:id="543" w:name="_Toc246996957"/>
      <w:bookmarkStart w:id="544" w:name="_Toc152045570"/>
      <w:bookmarkStart w:id="545" w:name="_Toc144974538"/>
      <w:bookmarkStart w:id="546" w:name="_Toc324404855"/>
      <w:bookmarkStart w:id="547" w:name="_Toc296602460"/>
      <w:bookmarkStart w:id="548" w:name="_Toc179632588"/>
      <w:bookmarkStart w:id="549" w:name="_Toc95223379"/>
      <w:bookmarkStart w:id="550" w:name="_Toc246996214"/>
      <w:bookmarkStart w:id="551" w:name="_Toc152042346"/>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 xml:space="preserve"> 签订合同</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 w:val="21"/>
          <w:szCs w:val="21"/>
          <w:highlight w:val="none"/>
        </w:rPr>
      </w:pPr>
      <w:r>
        <w:rPr>
          <w:rFonts w:hint="eastAsia" w:hAnsi="宋体" w:cs="宋体"/>
          <w:bCs/>
          <w:color w:val="auto"/>
          <w:sz w:val="21"/>
          <w:szCs w:val="21"/>
          <w:highlight w:val="none"/>
          <w:lang w:val="en-US" w:eastAsia="zh-CN"/>
        </w:rPr>
        <w:t>7</w:t>
      </w:r>
      <w:r>
        <w:rPr>
          <w:rFonts w:hint="eastAsia" w:ascii="宋体" w:hAnsi="宋体" w:cs="宋体"/>
          <w:bCs/>
          <w:color w:val="auto"/>
          <w:sz w:val="21"/>
          <w:szCs w:val="21"/>
          <w:highlight w:val="none"/>
        </w:rPr>
        <w:t>.</w:t>
      </w:r>
      <w:r>
        <w:rPr>
          <w:rFonts w:hint="eastAsia" w:hAnsi="宋体" w:cs="宋体"/>
          <w:bCs/>
          <w:color w:val="auto"/>
          <w:sz w:val="21"/>
          <w:szCs w:val="21"/>
          <w:highlight w:val="none"/>
          <w:lang w:val="en-US" w:eastAsia="zh-CN"/>
        </w:rPr>
        <w:t>4</w:t>
      </w:r>
      <w:r>
        <w:rPr>
          <w:rFonts w:hint="eastAsia" w:ascii="宋体" w:hAnsi="宋体" w:cs="宋体"/>
          <w:bCs/>
          <w:color w:val="auto"/>
          <w:sz w:val="21"/>
          <w:szCs w:val="21"/>
          <w:highlight w:val="none"/>
        </w:rPr>
        <w:t>.1本招标工程的施工合同将授予按本须知第7.6款规定所确定的中标人。</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 w:val="21"/>
          <w:szCs w:val="21"/>
          <w:highlight w:val="none"/>
        </w:rPr>
      </w:pPr>
      <w:bookmarkStart w:id="552" w:name="_Toc324404856"/>
      <w:r>
        <w:rPr>
          <w:rFonts w:hint="eastAsia" w:hAnsi="宋体" w:cs="宋体"/>
          <w:bCs/>
          <w:color w:val="auto"/>
          <w:sz w:val="21"/>
          <w:szCs w:val="21"/>
          <w:highlight w:val="none"/>
          <w:lang w:val="en-US" w:eastAsia="zh-CN"/>
        </w:rPr>
        <w:t>7</w:t>
      </w:r>
      <w:r>
        <w:rPr>
          <w:rFonts w:hint="eastAsia" w:hAnsi="宋体" w:cs="宋体"/>
          <w:bCs/>
          <w:color w:val="auto"/>
          <w:sz w:val="21"/>
          <w:szCs w:val="21"/>
          <w:highlight w:val="none"/>
          <w:lang w:val="en-US" w:eastAsia="zh-CN"/>
        </w:rPr>
        <w:t>.4</w:t>
      </w:r>
      <w:r>
        <w:rPr>
          <w:rFonts w:hint="eastAsia" w:ascii="宋体" w:hAnsi="宋体" w:cs="宋体"/>
          <w:bCs/>
          <w:color w:val="auto"/>
          <w:sz w:val="21"/>
          <w:szCs w:val="21"/>
          <w:highlight w:val="none"/>
        </w:rPr>
        <w:t>.2招标人和中标人应当自中标通知书发出之日起30天内，根据招标文件和中标人的投标文件订立书面合同。</w:t>
      </w:r>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 w:val="21"/>
          <w:szCs w:val="21"/>
          <w:highlight w:val="none"/>
        </w:rPr>
      </w:pPr>
      <w:r>
        <w:rPr>
          <w:rFonts w:hint="eastAsia" w:hAnsi="宋体" w:cs="宋体"/>
          <w:bCs/>
          <w:color w:val="auto"/>
          <w:sz w:val="21"/>
          <w:szCs w:val="21"/>
          <w:highlight w:val="none"/>
          <w:lang w:val="en-US" w:eastAsia="zh-CN"/>
        </w:rPr>
        <w:t>7</w:t>
      </w:r>
      <w:r>
        <w:rPr>
          <w:rFonts w:hint="eastAsia" w:hAnsi="宋体" w:cs="宋体"/>
          <w:bCs/>
          <w:color w:val="auto"/>
          <w:sz w:val="21"/>
          <w:szCs w:val="21"/>
          <w:highlight w:val="none"/>
          <w:lang w:val="en-US" w:eastAsia="zh-CN"/>
        </w:rPr>
        <w:t>.4</w:t>
      </w:r>
      <w:r>
        <w:rPr>
          <w:rFonts w:hint="eastAsia" w:ascii="宋体" w:hAnsi="宋体" w:cs="宋体"/>
          <w:bCs/>
          <w:color w:val="auto"/>
          <w:sz w:val="21"/>
          <w:szCs w:val="21"/>
          <w:highlight w:val="none"/>
        </w:rPr>
        <w:t>.</w:t>
      </w:r>
      <w:r>
        <w:rPr>
          <w:rFonts w:hint="eastAsia" w:hAnsi="宋体" w:cs="宋体"/>
          <w:bCs/>
          <w:color w:val="auto"/>
          <w:sz w:val="21"/>
          <w:szCs w:val="21"/>
          <w:highlight w:val="none"/>
          <w:lang w:val="en-US" w:eastAsia="zh-CN"/>
        </w:rPr>
        <w:t>3</w:t>
      </w:r>
      <w:r>
        <w:rPr>
          <w:rFonts w:hint="eastAsia" w:ascii="宋体" w:hAnsi="宋体" w:cs="宋体"/>
          <w:bCs/>
          <w:color w:val="auto"/>
          <w:sz w:val="21"/>
          <w:szCs w:val="21"/>
          <w:highlight w:val="none"/>
        </w:rPr>
        <w:t>除法定情形外，建设工程合同履行期间项目经理（建造师）不得更换。项目经理（建造师）确需变更的，应根据招标文件要求，变更后的项目经理（建造师）不低于投标文件中拟派项目经理（建造师）的资格条件。</w:t>
      </w:r>
    </w:p>
    <w:p>
      <w:pPr>
        <w:pStyle w:val="4"/>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color w:val="auto"/>
          <w:sz w:val="21"/>
          <w:szCs w:val="21"/>
          <w:highlight w:val="none"/>
        </w:rPr>
      </w:pPr>
      <w:bookmarkStart w:id="553" w:name="_Toc60061478"/>
      <w:bookmarkStart w:id="554" w:name="_Toc95223381"/>
      <w:bookmarkStart w:id="555" w:name="_Toc179632589"/>
      <w:bookmarkStart w:id="556" w:name="_Toc152045571"/>
      <w:bookmarkStart w:id="557" w:name="_Toc83301732"/>
      <w:bookmarkStart w:id="558" w:name="_Toc144974539"/>
      <w:bookmarkStart w:id="559" w:name="_Toc152042347"/>
      <w:r>
        <w:rPr>
          <w:rFonts w:hint="eastAsia" w:ascii="黑体" w:hAnsi="黑体" w:cs="黑体"/>
          <w:color w:val="auto"/>
          <w:sz w:val="21"/>
          <w:szCs w:val="21"/>
          <w:highlight w:val="none"/>
          <w:lang w:val="en-US" w:eastAsia="zh-CN"/>
        </w:rPr>
        <w:t>8</w:t>
      </w:r>
      <w:r>
        <w:rPr>
          <w:rFonts w:hint="eastAsia" w:ascii="黑体" w:hAnsi="黑体" w:cs="黑体"/>
          <w:color w:val="auto"/>
          <w:sz w:val="21"/>
          <w:szCs w:val="21"/>
          <w:highlight w:val="none"/>
        </w:rPr>
        <w:t>. 重新招标</w:t>
      </w:r>
      <w:bookmarkEnd w:id="553"/>
      <w:bookmarkEnd w:id="554"/>
      <w:bookmarkEnd w:id="555"/>
      <w:bookmarkEnd w:id="556"/>
      <w:bookmarkEnd w:id="557"/>
      <w:bookmarkEnd w:id="558"/>
      <w:bookmarkEnd w:id="559"/>
    </w:p>
    <w:p>
      <w:pPr>
        <w:widowControl w:val="0"/>
        <w:kinsoku/>
        <w:wordWrap/>
        <w:overflowPunct/>
        <w:topLinePunct w:val="0"/>
        <w:autoSpaceDE/>
        <w:autoSpaceDN/>
        <w:bidi w:val="0"/>
        <w:adjustRightInd w:val="0"/>
        <w:snapToGrid w:val="0"/>
        <w:spacing w:line="500" w:lineRule="exact"/>
        <w:ind w:firstLine="359" w:firstLineChars="171"/>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依法必须招标的项目有下列情形之一的，招标人将重新招标：</w:t>
      </w:r>
    </w:p>
    <w:p>
      <w:pPr>
        <w:widowControl w:val="0"/>
        <w:kinsoku/>
        <w:wordWrap/>
        <w:overflowPunct/>
        <w:topLinePunct w:val="0"/>
        <w:autoSpaceDE/>
        <w:autoSpaceDN/>
        <w:bidi w:val="0"/>
        <w:adjustRightInd w:val="0"/>
        <w:snapToGrid w:val="0"/>
        <w:spacing w:line="500" w:lineRule="exact"/>
        <w:ind w:firstLine="359" w:firstLineChars="171"/>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（1）投标截止时间止，投标人少于3个的；</w:t>
      </w:r>
    </w:p>
    <w:p>
      <w:pPr>
        <w:widowControl w:val="0"/>
        <w:kinsoku/>
        <w:wordWrap/>
        <w:overflowPunct/>
        <w:topLinePunct w:val="0"/>
        <w:autoSpaceDE/>
        <w:autoSpaceDN/>
        <w:bidi w:val="0"/>
        <w:adjustRightInd w:val="0"/>
        <w:snapToGrid w:val="0"/>
        <w:spacing w:line="500" w:lineRule="exact"/>
        <w:ind w:firstLine="359" w:firstLineChars="171"/>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（2）经评标委员会评审后否决所有投标的；</w:t>
      </w:r>
    </w:p>
    <w:p>
      <w:pPr>
        <w:widowControl w:val="0"/>
        <w:kinsoku/>
        <w:wordWrap/>
        <w:overflowPunct/>
        <w:topLinePunct w:val="0"/>
        <w:autoSpaceDE/>
        <w:autoSpaceDN/>
        <w:bidi w:val="0"/>
        <w:adjustRightInd w:val="0"/>
        <w:snapToGrid w:val="0"/>
        <w:spacing w:line="500" w:lineRule="exact"/>
        <w:ind w:firstLine="359" w:firstLineChars="171"/>
        <w:textAlignment w:val="auto"/>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rPr>
        <w:t>（3）中标候选人均未与招标人签订合同的；</w:t>
      </w:r>
    </w:p>
    <w:p>
      <w:pPr>
        <w:widowControl w:val="0"/>
        <w:kinsoku/>
        <w:wordWrap/>
        <w:overflowPunct/>
        <w:topLinePunct w:val="0"/>
        <w:autoSpaceDE/>
        <w:autoSpaceDN/>
        <w:bidi w:val="0"/>
        <w:adjustRightInd w:val="0"/>
        <w:snapToGrid w:val="0"/>
        <w:spacing w:line="500" w:lineRule="exact"/>
        <w:ind w:firstLine="359" w:firstLineChars="171"/>
        <w:textAlignment w:val="auto"/>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rPr>
        <w:t>（4）法律、法规规定的其他情形。</w:t>
      </w:r>
    </w:p>
    <w:p>
      <w:pPr>
        <w:pStyle w:val="4"/>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cs="黑体"/>
          <w:color w:val="auto"/>
          <w:sz w:val="21"/>
          <w:szCs w:val="21"/>
          <w:highlight w:val="none"/>
        </w:rPr>
      </w:pPr>
      <w:bookmarkStart w:id="560" w:name="_Toc60061481"/>
      <w:bookmarkStart w:id="561" w:name="_Toc15058894"/>
      <w:bookmarkStart w:id="562" w:name="_Toc83301735"/>
      <w:bookmarkStart w:id="563" w:name="_Toc506107309"/>
      <w:bookmarkStart w:id="564" w:name="_Toc95223384"/>
      <w:r>
        <w:rPr>
          <w:rFonts w:hint="eastAsia" w:ascii="黑体" w:hAnsi="黑体" w:cs="黑体"/>
          <w:color w:val="auto"/>
          <w:sz w:val="21"/>
          <w:szCs w:val="21"/>
          <w:highlight w:val="none"/>
          <w:lang w:val="en-US" w:eastAsia="zh-CN"/>
        </w:rPr>
        <w:t>9</w:t>
      </w:r>
      <w:r>
        <w:rPr>
          <w:rFonts w:hint="eastAsia" w:ascii="黑体" w:hAnsi="黑体" w:cs="黑体"/>
          <w:color w:val="auto"/>
          <w:sz w:val="21"/>
          <w:szCs w:val="21"/>
          <w:highlight w:val="none"/>
        </w:rPr>
        <w:t>. 纪律和监督</w:t>
      </w:r>
      <w:bookmarkEnd w:id="552"/>
      <w:bookmarkEnd w:id="560"/>
      <w:bookmarkEnd w:id="561"/>
      <w:bookmarkEnd w:id="562"/>
      <w:bookmarkEnd w:id="563"/>
      <w:bookmarkEnd w:id="564"/>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565" w:name="_Toc296590983"/>
      <w:bookmarkStart w:id="566" w:name="_Toc152045575"/>
      <w:bookmarkStart w:id="567" w:name="_Toc506107310"/>
      <w:bookmarkStart w:id="568" w:name="_Toc144974543"/>
      <w:bookmarkStart w:id="569" w:name="_Toc246996219"/>
      <w:bookmarkStart w:id="570" w:name="_Toc247085733"/>
      <w:bookmarkStart w:id="571" w:name="_Toc60061482"/>
      <w:bookmarkStart w:id="572" w:name="_Toc296602462"/>
      <w:bookmarkStart w:id="573" w:name="_Toc15058895"/>
      <w:bookmarkStart w:id="574" w:name="_Toc246996962"/>
      <w:bookmarkStart w:id="575" w:name="_Toc95223385"/>
      <w:bookmarkStart w:id="576" w:name="_Toc179632593"/>
      <w:bookmarkStart w:id="577" w:name="_Toc152042351"/>
      <w:bookmarkStart w:id="578" w:name="_Toc83301736"/>
      <w:bookmarkStart w:id="579" w:name="_Toc324404857"/>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 w:val="21"/>
          <w:szCs w:val="21"/>
          <w:highlight w:val="none"/>
        </w:rPr>
        <w:t>.1 对招标人的纪律要求</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招标人不得泄漏招标投标活动中应当保密的情况和资料，不得与投标人串通损害国家利益、社会公共利益或者他人合法权益。</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580" w:name="_Toc247085734"/>
      <w:bookmarkStart w:id="581" w:name="_Toc152042352"/>
      <w:bookmarkStart w:id="582" w:name="_Toc296602463"/>
      <w:bookmarkStart w:id="583" w:name="_Toc15058896"/>
      <w:bookmarkStart w:id="584" w:name="_Toc83301737"/>
      <w:bookmarkStart w:id="585" w:name="_Toc179632594"/>
      <w:bookmarkStart w:id="586" w:name="_Toc60061483"/>
      <w:bookmarkStart w:id="587" w:name="_Toc246996220"/>
      <w:bookmarkStart w:id="588" w:name="_Toc246996963"/>
      <w:bookmarkStart w:id="589" w:name="_Toc144974544"/>
      <w:bookmarkStart w:id="590" w:name="_Toc95223386"/>
      <w:bookmarkStart w:id="591" w:name="_Toc506107311"/>
      <w:bookmarkStart w:id="592" w:name="_Toc152045576"/>
      <w:bookmarkStart w:id="593" w:name="_Toc324404858"/>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 w:val="21"/>
          <w:szCs w:val="21"/>
          <w:highlight w:val="none"/>
        </w:rPr>
        <w:t>.2 对投标人的纪律要求</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594" w:name="_Toc246996221"/>
      <w:bookmarkStart w:id="595" w:name="_Toc152045577"/>
      <w:bookmarkStart w:id="596" w:name="_Toc83301738"/>
      <w:bookmarkStart w:id="597" w:name="_Toc247085735"/>
      <w:bookmarkStart w:id="598" w:name="_Toc179632595"/>
      <w:bookmarkStart w:id="599" w:name="_Toc95223387"/>
      <w:bookmarkStart w:id="600" w:name="_Toc324404859"/>
      <w:bookmarkStart w:id="601" w:name="_Toc144974545"/>
      <w:bookmarkStart w:id="602" w:name="_Toc60061484"/>
      <w:bookmarkStart w:id="603" w:name="_Toc506107312"/>
      <w:bookmarkStart w:id="604" w:name="_Toc152042353"/>
      <w:bookmarkStart w:id="605" w:name="_Toc15058897"/>
      <w:bookmarkStart w:id="606" w:name="_Toc246996964"/>
      <w:bookmarkStart w:id="607" w:name="_Toc296602464"/>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 w:val="21"/>
          <w:szCs w:val="21"/>
          <w:highlight w:val="none"/>
        </w:rPr>
        <w:t>.3 对评标委员会成员的纪律要求</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pPr>
        <w:pStyle w:val="5"/>
        <w:widowControl w:val="0"/>
        <w:kinsoku/>
        <w:wordWrap/>
        <w:overflowPunct/>
        <w:topLinePunct w:val="0"/>
        <w:autoSpaceDE/>
        <w:autoSpaceDN/>
        <w:bidi w:val="0"/>
        <w:adjustRightInd w:val="0"/>
        <w:snapToGrid w:val="0"/>
        <w:spacing w:before="0" w:beforeLines="0" w:after="0" w:afterLines="0" w:line="500" w:lineRule="exact"/>
        <w:ind w:firstLine="422" w:firstLineChars="200"/>
        <w:textAlignment w:val="auto"/>
        <w:rPr>
          <w:rFonts w:hint="eastAsia" w:ascii="黑体" w:hAnsi="黑体" w:eastAsia="黑体" w:cs="黑体"/>
          <w:color w:val="auto"/>
          <w:sz w:val="21"/>
          <w:szCs w:val="21"/>
          <w:highlight w:val="none"/>
        </w:rPr>
      </w:pPr>
      <w:bookmarkStart w:id="608" w:name="_Toc152042354"/>
      <w:bookmarkStart w:id="609" w:name="_Toc324404860"/>
      <w:bookmarkStart w:id="610" w:name="_Toc60061485"/>
      <w:bookmarkStart w:id="611" w:name="_Toc247085736"/>
      <w:bookmarkStart w:id="612" w:name="_Toc15058898"/>
      <w:bookmarkStart w:id="613" w:name="_Toc506107313"/>
      <w:bookmarkStart w:id="614" w:name="_Toc83301739"/>
      <w:bookmarkStart w:id="615" w:name="_Toc95223388"/>
      <w:bookmarkStart w:id="616" w:name="_Toc246996222"/>
      <w:bookmarkStart w:id="617" w:name="_Toc246996965"/>
      <w:bookmarkStart w:id="618" w:name="_Toc152045578"/>
      <w:bookmarkStart w:id="619" w:name="_Toc179632596"/>
      <w:bookmarkStart w:id="620" w:name="_Toc296602465"/>
      <w:bookmarkStart w:id="621" w:name="_Toc144974546"/>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 w:val="21"/>
          <w:szCs w:val="21"/>
          <w:highlight w:val="none"/>
        </w:rPr>
        <w:t>.4 对与评标活动有关的工作人员的纪律要求</w:t>
      </w:r>
      <w:bookmarkEnd w:id="608"/>
      <w:bookmarkEnd w:id="609"/>
      <w:bookmarkEnd w:id="610"/>
      <w:bookmarkEnd w:id="611"/>
      <w:bookmarkEnd w:id="612"/>
      <w:bookmarkEnd w:id="613"/>
      <w:bookmarkEnd w:id="614"/>
      <w:bookmarkEnd w:id="615"/>
      <w:bookmarkEnd w:id="616"/>
      <w:bookmarkEnd w:id="617"/>
      <w:bookmarkEnd w:id="618"/>
      <w:bookmarkEnd w:id="619"/>
      <w:bookmarkEnd w:id="620"/>
    </w:p>
    <w:p>
      <w:pPr>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highlight w:val="none"/>
        </w:rPr>
      </w:pPr>
      <w:bookmarkStart w:id="622" w:name="_Toc152042355"/>
      <w:r>
        <w:rPr>
          <w:rFonts w:hint="eastAsia" w:ascii="宋体" w:hAnsi="宋体" w:cs="宋体"/>
          <w:color w:val="auto"/>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22"/>
    </w:p>
    <w:bookmarkEnd w:id="621"/>
    <w:p>
      <w:pPr>
        <w:pStyle w:val="3"/>
        <w:pageBreakBefore/>
        <w:adjustRightInd w:val="0"/>
        <w:snapToGrid w:val="0"/>
        <w:spacing w:before="0" w:after="0" w:line="560" w:lineRule="exact"/>
        <w:jc w:val="center"/>
        <w:rPr>
          <w:rFonts w:hint="eastAsia"/>
          <w:color w:val="auto"/>
          <w:highlight w:val="none"/>
        </w:rPr>
      </w:pPr>
      <w:bookmarkStart w:id="623" w:name="_Toc324404864"/>
      <w:bookmarkStart w:id="624" w:name="_Toc506107317"/>
      <w:bookmarkStart w:id="625" w:name="_Toc60061489"/>
      <w:bookmarkStart w:id="626" w:name="_Toc15058902"/>
      <w:bookmarkStart w:id="627" w:name="_Toc296602475"/>
      <w:bookmarkStart w:id="628" w:name="_Toc95223391"/>
      <w:r>
        <w:rPr>
          <w:rFonts w:hint="eastAsia"/>
          <w:color w:val="auto"/>
          <w:highlight w:val="none"/>
        </w:rPr>
        <w:t>第三章 资格审查</w:t>
      </w:r>
      <w:bookmarkEnd w:id="623"/>
      <w:r>
        <w:rPr>
          <w:rFonts w:hint="eastAsia"/>
          <w:color w:val="auto"/>
          <w:highlight w:val="none"/>
        </w:rPr>
        <w:t>办法</w:t>
      </w:r>
      <w:bookmarkEnd w:id="624"/>
      <w:bookmarkEnd w:id="625"/>
      <w:bookmarkEnd w:id="626"/>
      <w:bookmarkEnd w:id="627"/>
      <w:bookmarkEnd w:id="628"/>
      <w:bookmarkStart w:id="629" w:name="_Toc152045590"/>
      <w:bookmarkStart w:id="630" w:name="_Toc152042367"/>
      <w:bookmarkStart w:id="631" w:name="_Toc247085748"/>
      <w:bookmarkStart w:id="632" w:name="_Toc246996233"/>
      <w:bookmarkStart w:id="633" w:name="_Toc246996976"/>
      <w:bookmarkStart w:id="634" w:name="_Toc179632608"/>
      <w:bookmarkStart w:id="635" w:name="_Toc144974557"/>
      <w:bookmarkStart w:id="636" w:name="_Toc296602478"/>
      <w:r>
        <w:rPr>
          <w:rFonts w:hint="eastAsia"/>
          <w:color w:val="auto"/>
          <w:highlight w:val="none"/>
        </w:rPr>
        <w:t xml:space="preserve"> </w:t>
      </w:r>
    </w:p>
    <w:p>
      <w:pPr>
        <w:pStyle w:val="4"/>
        <w:tabs>
          <w:tab w:val="left" w:pos="2796"/>
          <w:tab w:val="center" w:pos="4479"/>
        </w:tabs>
        <w:adjustRightInd w:val="0"/>
        <w:snapToGrid w:val="0"/>
        <w:spacing w:before="0" w:after="0" w:line="560" w:lineRule="exact"/>
        <w:jc w:val="center"/>
        <w:rPr>
          <w:rFonts w:hint="eastAsia"/>
          <w:color w:val="auto"/>
          <w:sz w:val="28"/>
          <w:szCs w:val="28"/>
          <w:highlight w:val="none"/>
        </w:rPr>
      </w:pPr>
      <w:r>
        <w:rPr>
          <w:rFonts w:hint="eastAsia"/>
          <w:color w:val="auto"/>
          <w:sz w:val="28"/>
          <w:szCs w:val="28"/>
          <w:highlight w:val="none"/>
        </w:rPr>
        <w:t>资格审查办法前附表</w:t>
      </w:r>
    </w:p>
    <w:tbl>
      <w:tblPr>
        <w:tblStyle w:val="73"/>
        <w:tblW w:w="10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2023" w:type="dxa"/>
            <w:gridSpan w:val="2"/>
            <w:vAlign w:val="center"/>
          </w:tcPr>
          <w:p>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vAlign w:val="center"/>
          </w:tcPr>
          <w:p>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vAlign w:val="center"/>
          </w:tcPr>
          <w:p>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65" w:type="dxa"/>
            <w:vMerge w:val="restart"/>
            <w:vAlign w:val="center"/>
          </w:tcPr>
          <w:p>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vAlign w:val="center"/>
          </w:tcPr>
          <w:p>
            <w:pPr>
              <w:adjustRightInd w:val="0"/>
              <w:snapToGrid w:val="0"/>
              <w:spacing w:line="5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vAlign w:val="top"/>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Align w:val="center"/>
          </w:tcPr>
          <w:p>
            <w:pPr>
              <w:adjustRightInd w:val="0"/>
              <w:snapToGrid w:val="0"/>
              <w:spacing w:line="560" w:lineRule="exact"/>
              <w:jc w:val="center"/>
              <w:rPr>
                <w:rFonts w:hint="eastAsia" w:ascii="宋体" w:hAnsi="宋体" w:cs="宋体"/>
                <w:b/>
                <w:color w:val="auto"/>
                <w:szCs w:val="21"/>
                <w:highlight w:val="none"/>
              </w:rPr>
            </w:pPr>
            <w:r>
              <w:rPr>
                <w:rFonts w:hint="eastAsia"/>
                <w:color w:val="auto"/>
                <w:highlight w:val="none"/>
                <w:lang w:val="en-US" w:eastAsia="zh-CN"/>
              </w:rPr>
              <w:t>密封或手持均视为携带</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65"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c>
          <w:tcPr>
            <w:tcW w:w="1258" w:type="dxa"/>
            <w:vMerge w:val="continue"/>
            <w:vAlign w:val="center"/>
          </w:tcPr>
          <w:p>
            <w:pPr>
              <w:adjustRightInd w:val="0"/>
              <w:snapToGrid w:val="0"/>
              <w:spacing w:line="560" w:lineRule="exact"/>
              <w:jc w:val="center"/>
              <w:rPr>
                <w:rFonts w:hint="eastAsia" w:ascii="宋体" w:hAnsi="宋体" w:cs="宋体"/>
                <w:b/>
                <w:bCs/>
                <w:color w:val="auto"/>
                <w:szCs w:val="21"/>
                <w:highlight w:val="none"/>
              </w:rPr>
            </w:pPr>
          </w:p>
        </w:tc>
        <w:tc>
          <w:tcPr>
            <w:tcW w:w="6044" w:type="dxa"/>
            <w:vAlign w:val="top"/>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999" w:type="dxa"/>
            <w:vMerge w:val="restart"/>
            <w:vAlign w:val="center"/>
          </w:tcPr>
          <w:p>
            <w:pPr>
              <w:adjustRightInd w:val="0"/>
              <w:snapToGrid w:val="0"/>
              <w:spacing w:line="560" w:lineRule="exact"/>
              <w:jc w:val="center"/>
              <w:rPr>
                <w:rFonts w:hint="eastAsia" w:ascii="宋体" w:hAnsi="宋体" w:cs="宋体"/>
                <w:b/>
                <w:color w:val="auto"/>
                <w:szCs w:val="21"/>
                <w:highlight w:val="none"/>
              </w:rPr>
            </w:pPr>
            <w:r>
              <w:rPr>
                <w:rFonts w:hint="eastAsia"/>
                <w:color w:val="auto"/>
                <w:highlight w:val="none"/>
              </w:rPr>
              <w:t>检验标书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65"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c>
          <w:tcPr>
            <w:tcW w:w="1258" w:type="dxa"/>
            <w:vMerge w:val="continue"/>
            <w:vAlign w:val="center"/>
          </w:tcPr>
          <w:p>
            <w:pPr>
              <w:adjustRightInd w:val="0"/>
              <w:snapToGrid w:val="0"/>
              <w:spacing w:line="560" w:lineRule="exact"/>
              <w:jc w:val="center"/>
              <w:rPr>
                <w:rFonts w:hint="eastAsia" w:ascii="宋体" w:hAnsi="宋体" w:cs="宋体"/>
                <w:b/>
                <w:bCs/>
                <w:color w:val="auto"/>
                <w:szCs w:val="21"/>
                <w:highlight w:val="none"/>
              </w:rPr>
            </w:pPr>
          </w:p>
        </w:tc>
        <w:tc>
          <w:tcPr>
            <w:tcW w:w="6044" w:type="dxa"/>
            <w:vAlign w:val="top"/>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vAlign w:val="center"/>
          </w:tcPr>
          <w:p>
            <w:pPr>
              <w:adjustRightInd w:val="0"/>
              <w:snapToGrid w:val="0"/>
              <w:spacing w:line="56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765"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c>
          <w:tcPr>
            <w:tcW w:w="1258" w:type="dxa"/>
            <w:vMerge w:val="continue"/>
            <w:vAlign w:val="center"/>
          </w:tcPr>
          <w:p>
            <w:pPr>
              <w:adjustRightInd w:val="0"/>
              <w:snapToGrid w:val="0"/>
              <w:spacing w:line="560" w:lineRule="exact"/>
              <w:jc w:val="center"/>
              <w:rPr>
                <w:rFonts w:hint="eastAsia" w:ascii="宋体" w:hAnsi="宋体" w:cs="宋体"/>
                <w:b/>
                <w:bCs/>
                <w:color w:val="auto"/>
                <w:szCs w:val="21"/>
                <w:highlight w:val="none"/>
              </w:rPr>
            </w:pPr>
          </w:p>
        </w:tc>
        <w:tc>
          <w:tcPr>
            <w:tcW w:w="6044" w:type="dxa"/>
            <w:vAlign w:val="top"/>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65"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c>
          <w:tcPr>
            <w:tcW w:w="1258" w:type="dxa"/>
            <w:vMerge w:val="continue"/>
            <w:vAlign w:val="center"/>
          </w:tcPr>
          <w:p>
            <w:pPr>
              <w:adjustRightInd w:val="0"/>
              <w:snapToGrid w:val="0"/>
              <w:spacing w:line="560" w:lineRule="exact"/>
              <w:jc w:val="center"/>
              <w:rPr>
                <w:rFonts w:hint="eastAsia" w:ascii="宋体" w:hAnsi="宋体" w:cs="宋体"/>
                <w:b/>
                <w:bCs/>
                <w:color w:val="auto"/>
                <w:szCs w:val="21"/>
                <w:highlight w:val="none"/>
              </w:rPr>
            </w:pPr>
          </w:p>
        </w:tc>
        <w:tc>
          <w:tcPr>
            <w:tcW w:w="6044" w:type="dxa"/>
            <w:vAlign w:val="top"/>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999"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65"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c>
          <w:tcPr>
            <w:tcW w:w="1258" w:type="dxa"/>
            <w:vMerge w:val="continue"/>
            <w:vAlign w:val="center"/>
          </w:tcPr>
          <w:p>
            <w:pPr>
              <w:adjustRightInd w:val="0"/>
              <w:snapToGrid w:val="0"/>
              <w:spacing w:line="560" w:lineRule="exact"/>
              <w:jc w:val="center"/>
              <w:rPr>
                <w:rFonts w:hint="eastAsia" w:ascii="宋体" w:hAnsi="宋体" w:cs="宋体"/>
                <w:b/>
                <w:bCs/>
                <w:color w:val="auto"/>
                <w:szCs w:val="21"/>
                <w:highlight w:val="none"/>
              </w:rPr>
            </w:pPr>
          </w:p>
        </w:tc>
        <w:tc>
          <w:tcPr>
            <w:tcW w:w="6044" w:type="dxa"/>
            <w:vAlign w:val="top"/>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999"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65"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c>
          <w:tcPr>
            <w:tcW w:w="1258" w:type="dxa"/>
            <w:vMerge w:val="continue"/>
            <w:vAlign w:val="center"/>
          </w:tcPr>
          <w:p>
            <w:pPr>
              <w:adjustRightInd w:val="0"/>
              <w:snapToGrid w:val="0"/>
              <w:spacing w:line="560" w:lineRule="exact"/>
              <w:jc w:val="center"/>
              <w:rPr>
                <w:rFonts w:hint="eastAsia" w:ascii="宋体" w:hAnsi="宋体" w:cs="宋体"/>
                <w:b/>
                <w:bCs/>
                <w:color w:val="auto"/>
                <w:szCs w:val="21"/>
                <w:highlight w:val="none"/>
              </w:rPr>
            </w:pPr>
          </w:p>
        </w:tc>
        <w:tc>
          <w:tcPr>
            <w:tcW w:w="6044" w:type="dxa"/>
            <w:vAlign w:val="top"/>
          </w:tcPr>
          <w:p>
            <w:pPr>
              <w:adjustRightInd w:val="0"/>
              <w:snapToGrid w:val="0"/>
              <w:spacing w:line="5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w:t>
            </w:r>
            <w:r>
              <w:rPr>
                <w:rFonts w:hint="eastAsia" w:hAnsi="宋体" w:cs="宋体"/>
                <w:color w:val="auto"/>
                <w:szCs w:val="21"/>
                <w:highlight w:val="none"/>
                <w:lang w:eastAsia="zh-CN"/>
              </w:rPr>
              <w:t>。</w:t>
            </w:r>
          </w:p>
        </w:tc>
        <w:tc>
          <w:tcPr>
            <w:tcW w:w="1999" w:type="dxa"/>
            <w:vMerge w:val="continue"/>
            <w:vAlign w:val="center"/>
          </w:tcPr>
          <w:p>
            <w:pPr>
              <w:adjustRightInd w:val="0"/>
              <w:snapToGrid w:val="0"/>
              <w:spacing w:line="560" w:lineRule="exact"/>
              <w:jc w:val="center"/>
              <w:rPr>
                <w:rFonts w:hint="eastAsia" w:ascii="宋体" w:hAnsi="宋体" w:cs="宋体"/>
                <w:color w:val="auto"/>
                <w:szCs w:val="21"/>
                <w:highlight w:val="none"/>
              </w:rPr>
            </w:pPr>
          </w:p>
        </w:tc>
      </w:tr>
    </w:tbl>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1.审查资料</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（4）企业资质证书；</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pPr>
        <w:widowControl/>
        <w:adjustRightInd w:val="0"/>
        <w:snapToGrid w:val="0"/>
        <w:spacing w:line="560" w:lineRule="exact"/>
        <w:ind w:firstLine="48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（7）投标人的法定代表人(或委托代理人)和项目经理（建造师）须持有社保部门出具的本单位为其缴纳的投标前近三个月连续的养老保险证明</w:t>
      </w:r>
      <w:r>
        <w:rPr>
          <w:rFonts w:hint="eastAsia" w:hAnsi="宋体" w:cs="宋体"/>
          <w:color w:val="auto"/>
          <w:szCs w:val="21"/>
          <w:highlight w:val="none"/>
          <w:lang w:eastAsia="zh-CN"/>
        </w:rPr>
        <w:t>。</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2.审查办法</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3.资格审查委员会和审查标准</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4.审查结果</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pPr>
        <w:spacing w:line="560" w:lineRule="exact"/>
        <w:jc w:val="both"/>
        <w:rPr>
          <w:rFonts w:hint="eastAsia"/>
          <w:b/>
          <w:color w:val="auto"/>
          <w:sz w:val="28"/>
          <w:szCs w:val="21"/>
          <w:highlight w:val="none"/>
        </w:rPr>
      </w:pPr>
    </w:p>
    <w:bookmarkEnd w:id="629"/>
    <w:bookmarkEnd w:id="630"/>
    <w:bookmarkEnd w:id="631"/>
    <w:bookmarkEnd w:id="632"/>
    <w:bookmarkEnd w:id="633"/>
    <w:bookmarkEnd w:id="634"/>
    <w:bookmarkEnd w:id="635"/>
    <w:bookmarkEnd w:id="636"/>
    <w:p>
      <w:pPr>
        <w:pStyle w:val="36"/>
        <w:rPr>
          <w:rFonts w:hint="eastAsia" w:ascii="宋体" w:hAnsi="宋体" w:cs="宋体"/>
          <w:color w:val="auto"/>
          <w:szCs w:val="21"/>
          <w:highlight w:val="none"/>
        </w:rPr>
      </w:pPr>
    </w:p>
    <w:p>
      <w:pPr>
        <w:rPr>
          <w:rFonts w:hint="eastAsia" w:ascii="宋体" w:hAnsi="宋体" w:cs="宋体"/>
          <w:color w:val="auto"/>
          <w:szCs w:val="21"/>
          <w:highlight w:val="none"/>
        </w:rPr>
      </w:pPr>
    </w:p>
    <w:p>
      <w:pPr>
        <w:pStyle w:val="36"/>
        <w:rPr>
          <w:rFonts w:hint="eastAsia" w:ascii="宋体" w:hAnsi="宋体" w:cs="宋体"/>
          <w:color w:val="auto"/>
          <w:szCs w:val="21"/>
          <w:highlight w:val="none"/>
        </w:rPr>
      </w:pPr>
    </w:p>
    <w:p>
      <w:pPr>
        <w:rPr>
          <w:rFonts w:hint="eastAsia" w:ascii="宋体" w:hAnsi="宋体" w:cs="宋体"/>
          <w:color w:val="auto"/>
          <w:szCs w:val="21"/>
          <w:highlight w:val="none"/>
        </w:rPr>
      </w:pPr>
    </w:p>
    <w:p>
      <w:pPr>
        <w:pStyle w:val="36"/>
        <w:rPr>
          <w:rFonts w:hint="eastAsia" w:ascii="宋体" w:hAnsi="宋体" w:cs="宋体"/>
          <w:color w:val="auto"/>
          <w:szCs w:val="21"/>
          <w:highlight w:val="none"/>
        </w:rPr>
      </w:pPr>
    </w:p>
    <w:p>
      <w:pPr>
        <w:rPr>
          <w:rFonts w:hint="eastAsia" w:ascii="宋体" w:hAnsi="宋体" w:cs="宋体"/>
          <w:color w:val="auto"/>
          <w:szCs w:val="21"/>
          <w:highlight w:val="none"/>
        </w:rPr>
      </w:pPr>
    </w:p>
    <w:p>
      <w:pPr>
        <w:pStyle w:val="36"/>
        <w:rPr>
          <w:rFonts w:hint="eastAsia" w:ascii="宋体" w:hAnsi="宋体" w:cs="宋体"/>
          <w:color w:val="auto"/>
          <w:szCs w:val="21"/>
          <w:highlight w:val="none"/>
        </w:rPr>
      </w:pPr>
    </w:p>
    <w:p>
      <w:pPr>
        <w:rPr>
          <w:rFonts w:hint="eastAsia" w:ascii="宋体" w:hAnsi="宋体" w:cs="宋体"/>
          <w:color w:val="auto"/>
          <w:szCs w:val="21"/>
          <w:highlight w:val="none"/>
        </w:rPr>
      </w:pPr>
    </w:p>
    <w:p>
      <w:pPr>
        <w:pStyle w:val="36"/>
        <w:rPr>
          <w:rFonts w:hint="eastAsia" w:ascii="宋体" w:hAnsi="宋体" w:cs="宋体"/>
          <w:color w:val="auto"/>
          <w:szCs w:val="21"/>
          <w:highlight w:val="none"/>
        </w:rPr>
      </w:pPr>
    </w:p>
    <w:p>
      <w:pPr>
        <w:rPr>
          <w:rFonts w:hint="eastAsia" w:ascii="宋体" w:hAnsi="宋体" w:cs="宋体"/>
          <w:color w:val="auto"/>
          <w:szCs w:val="21"/>
          <w:highlight w:val="none"/>
        </w:rPr>
      </w:pPr>
    </w:p>
    <w:p>
      <w:pPr>
        <w:pStyle w:val="36"/>
        <w:rPr>
          <w:rFonts w:hint="eastAsia" w:ascii="宋体" w:hAnsi="宋体" w:cs="宋体"/>
          <w:color w:val="auto"/>
          <w:szCs w:val="21"/>
          <w:highlight w:val="none"/>
        </w:rPr>
      </w:pPr>
    </w:p>
    <w:p>
      <w:pPr>
        <w:rPr>
          <w:rFonts w:hint="eastAsia"/>
          <w:color w:val="auto"/>
          <w:highlight w:val="none"/>
        </w:rPr>
      </w:pPr>
    </w:p>
    <w:p>
      <w:pPr>
        <w:pStyle w:val="36"/>
        <w:rPr>
          <w:rFonts w:hint="eastAsia"/>
          <w:color w:val="auto"/>
          <w:highlight w:val="none"/>
        </w:rPr>
      </w:pPr>
    </w:p>
    <w:p>
      <w:pPr>
        <w:pStyle w:val="3"/>
        <w:adjustRightInd w:val="0"/>
        <w:snapToGrid w:val="0"/>
        <w:spacing w:before="0" w:after="0" w:line="560" w:lineRule="exact"/>
        <w:jc w:val="center"/>
        <w:rPr>
          <w:rFonts w:hint="eastAsia"/>
          <w:color w:val="auto"/>
          <w:highlight w:val="none"/>
        </w:rPr>
      </w:pPr>
      <w:bookmarkStart w:id="637" w:name="_Toc95223428"/>
      <w:bookmarkStart w:id="638" w:name="_Toc95223458"/>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pStyle w:val="3"/>
        <w:adjustRightInd w:val="0"/>
        <w:snapToGrid w:val="0"/>
        <w:spacing w:before="0" w:after="0" w:line="560" w:lineRule="exact"/>
        <w:jc w:val="center"/>
        <w:rPr>
          <w:rFonts w:hint="eastAsia"/>
          <w:color w:val="auto"/>
          <w:highlight w:val="none"/>
        </w:rPr>
      </w:pPr>
    </w:p>
    <w:p>
      <w:pPr>
        <w:rPr>
          <w:rFonts w:hint="eastAsia"/>
          <w:color w:val="auto"/>
          <w:highlight w:val="none"/>
        </w:rPr>
      </w:pPr>
    </w:p>
    <w:p>
      <w:pPr>
        <w:pStyle w:val="3"/>
        <w:adjustRightInd w:val="0"/>
        <w:snapToGrid w:val="0"/>
        <w:spacing w:before="0" w:after="0" w:line="560" w:lineRule="exact"/>
        <w:jc w:val="center"/>
        <w:rPr>
          <w:rFonts w:hint="eastAsia"/>
          <w:color w:val="auto"/>
          <w:highlight w:val="none"/>
        </w:rPr>
      </w:pPr>
    </w:p>
    <w:p>
      <w:pPr>
        <w:pStyle w:val="3"/>
        <w:adjustRightInd w:val="0"/>
        <w:snapToGrid w:val="0"/>
        <w:spacing w:before="0" w:after="0" w:line="560" w:lineRule="exact"/>
        <w:jc w:val="center"/>
        <w:rPr>
          <w:rFonts w:hint="eastAsia"/>
          <w:color w:val="auto"/>
          <w:highlight w:val="none"/>
        </w:rPr>
      </w:pPr>
      <w:r>
        <w:rPr>
          <w:rFonts w:hint="eastAsia"/>
          <w:color w:val="auto"/>
          <w:highlight w:val="none"/>
        </w:rPr>
        <w:t>第四章 评标办法（综合评估法）</w:t>
      </w:r>
      <w:bookmarkEnd w:id="637"/>
    </w:p>
    <w:p>
      <w:pPr>
        <w:numPr>
          <w:ilvl w:val="0"/>
          <w:numId w:val="1"/>
        </w:numPr>
        <w:spacing w:line="560" w:lineRule="exact"/>
        <w:ind w:left="0"/>
        <w:jc w:val="center"/>
        <w:rPr>
          <w:rFonts w:hint="eastAsia"/>
          <w:b/>
          <w:sz w:val="28"/>
          <w:szCs w:val="21"/>
          <w:highlight w:val="none"/>
        </w:rPr>
      </w:pPr>
      <w:r>
        <w:rPr>
          <w:rFonts w:hint="eastAsia"/>
          <w:b/>
          <w:sz w:val="28"/>
          <w:szCs w:val="21"/>
          <w:highlight w:val="none"/>
        </w:rPr>
        <w:t>中标候选人的确定</w:t>
      </w:r>
    </w:p>
    <w:p>
      <w:pPr>
        <w:pStyle w:val="36"/>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200"/>
        <w:jc w:val="left"/>
        <w:textAlignment w:val="auto"/>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评标委员会对投标人依次进行资信、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pPr>
        <w:pStyle w:val="36"/>
        <w:adjustRightInd w:val="0"/>
        <w:snapToGrid w:val="0"/>
        <w:spacing w:after="0" w:line="560" w:lineRule="exact"/>
        <w:ind w:left="0" w:leftChars="0" w:firstLine="0" w:firstLineChars="0"/>
        <w:jc w:val="center"/>
        <w:rPr>
          <w:rFonts w:hint="eastAsia" w:eastAsia="宋体"/>
          <w:b/>
          <w:color w:val="auto"/>
          <w:sz w:val="36"/>
          <w:highlight w:val="none"/>
          <w:lang w:eastAsia="zh-CN"/>
        </w:rPr>
      </w:pPr>
      <w:r>
        <w:rPr>
          <w:rFonts w:hint="eastAsia"/>
          <w:b/>
          <w:color w:val="auto"/>
          <w:sz w:val="28"/>
          <w:szCs w:val="21"/>
          <w:highlight w:val="none"/>
        </w:rPr>
        <w:t>（二）资信标评审</w:t>
      </w:r>
      <w:r>
        <w:rPr>
          <w:rFonts w:hint="eastAsia"/>
          <w:b/>
          <w:color w:val="auto"/>
          <w:sz w:val="28"/>
          <w:szCs w:val="21"/>
          <w:highlight w:val="none"/>
          <w:lang w:eastAsia="zh-CN"/>
        </w:rPr>
        <w:t>（</w:t>
      </w:r>
      <w:r>
        <w:rPr>
          <w:rFonts w:hint="eastAsia"/>
          <w:b/>
          <w:color w:val="auto"/>
          <w:sz w:val="28"/>
          <w:szCs w:val="21"/>
          <w:highlight w:val="none"/>
          <w:lang w:val="en-US" w:eastAsia="zh-CN"/>
        </w:rPr>
        <w:t>20分</w:t>
      </w:r>
      <w:r>
        <w:rPr>
          <w:rFonts w:hint="eastAsia"/>
          <w:b/>
          <w:color w:val="auto"/>
          <w:sz w:val="28"/>
          <w:szCs w:val="21"/>
          <w:highlight w:val="none"/>
          <w:lang w:eastAsia="zh-CN"/>
        </w:rPr>
        <w:t>）</w:t>
      </w:r>
    </w:p>
    <w:tbl>
      <w:tblPr>
        <w:tblStyle w:val="74"/>
        <w:tblW w:w="9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301"/>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977" w:type="dxa"/>
            <w:vAlign w:val="center"/>
          </w:tcPr>
          <w:p>
            <w:pPr>
              <w:keepNext w:val="0"/>
              <w:keepLines w:val="0"/>
              <w:pageBreakBefore w:val="0"/>
              <w:widowControl/>
              <w:tabs>
                <w:tab w:val="left" w:pos="0"/>
                <w:tab w:val="left" w:pos="630"/>
              </w:tabs>
              <w:kinsoku/>
              <w:wordWrap/>
              <w:overflowPunct/>
              <w:topLinePunct w:val="0"/>
              <w:autoSpaceDE/>
              <w:autoSpaceDN/>
              <w:bidi w:val="0"/>
              <w:adjustRightInd/>
              <w:snapToGrid/>
              <w:spacing w:line="360" w:lineRule="exact"/>
              <w:ind w:right="91" w:rightChars="38"/>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序号</w:t>
            </w:r>
          </w:p>
        </w:tc>
        <w:tc>
          <w:tcPr>
            <w:tcW w:w="1301"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16" w:leftChars="0" w:right="91" w:rightChars="38" w:hanging="16" w:hangingChars="7"/>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评分因素</w:t>
            </w:r>
          </w:p>
        </w:tc>
        <w:tc>
          <w:tcPr>
            <w:tcW w:w="7568"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19" w:leftChars="8" w:right="91" w:rightChars="38" w:firstLine="2320" w:firstLineChars="967"/>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评审细则及证明材料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977" w:type="dxa"/>
            <w:vAlign w:val="center"/>
          </w:tcPr>
          <w:p>
            <w:pPr>
              <w:keepNext w:val="0"/>
              <w:keepLines w:val="0"/>
              <w:pageBreakBefore w:val="0"/>
              <w:kinsoku/>
              <w:wordWrap/>
              <w:overflowPunct/>
              <w:topLinePunct w:val="0"/>
              <w:bidi w:val="0"/>
              <w:adjustRightInd/>
              <w:snapToGrid/>
              <w:spacing w:line="360" w:lineRule="exact"/>
              <w:jc w:val="center"/>
              <w:textAlignment w:val="auto"/>
              <w:rPr>
                <w:rFonts w:hint="eastAsia" w:eastAsia="宋体"/>
                <w:sz w:val="24"/>
                <w:szCs w:val="24"/>
                <w:highlight w:val="none"/>
                <w:vertAlign w:val="baseline"/>
                <w:lang w:val="en-US" w:eastAsia="zh-CN"/>
              </w:rPr>
            </w:pPr>
            <w:r>
              <w:rPr>
                <w:rFonts w:hint="eastAsia"/>
                <w:sz w:val="24"/>
                <w:szCs w:val="24"/>
                <w:highlight w:val="none"/>
                <w:vertAlign w:val="baseline"/>
                <w:lang w:val="en-US" w:eastAsia="zh-CN"/>
              </w:rPr>
              <w:t>1</w:t>
            </w:r>
          </w:p>
        </w:tc>
        <w:tc>
          <w:tcPr>
            <w:tcW w:w="1301"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textAlignment w:val="auto"/>
              <w:outlineLvl w:val="9"/>
              <w:rPr>
                <w:sz w:val="24"/>
                <w:szCs w:val="24"/>
                <w:highlight w:val="none"/>
                <w:vertAlign w:val="baseline"/>
              </w:rPr>
            </w:pPr>
            <w:r>
              <w:rPr>
                <w:rFonts w:hint="eastAsia" w:ascii="宋体" w:hAnsi="宋体" w:cs="Times New Roman"/>
                <w:color w:val="auto"/>
                <w:kern w:val="0"/>
                <w:sz w:val="24"/>
                <w:szCs w:val="24"/>
                <w:highlight w:val="none"/>
                <w:lang w:val="en-US" w:eastAsia="en-US"/>
              </w:rPr>
              <w:t>供应商业绩（</w:t>
            </w:r>
            <w:r>
              <w:rPr>
                <w:rFonts w:hint="eastAsia" w:ascii="宋体" w:hAnsi="宋体" w:cs="Times New Roman"/>
                <w:color w:val="auto"/>
                <w:kern w:val="0"/>
                <w:sz w:val="24"/>
                <w:szCs w:val="24"/>
                <w:highlight w:val="none"/>
                <w:lang w:val="en-US" w:eastAsia="zh-CN"/>
              </w:rPr>
              <w:t>6</w:t>
            </w:r>
            <w:r>
              <w:rPr>
                <w:rFonts w:hint="eastAsia" w:ascii="宋体" w:hAnsi="宋体" w:cs="Times New Roman"/>
                <w:color w:val="auto"/>
                <w:kern w:val="0"/>
                <w:sz w:val="24"/>
                <w:szCs w:val="24"/>
                <w:highlight w:val="none"/>
                <w:lang w:val="en-US" w:eastAsia="en-US"/>
              </w:rPr>
              <w:t>分）</w:t>
            </w:r>
          </w:p>
        </w:tc>
        <w:tc>
          <w:tcPr>
            <w:tcW w:w="7568"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jc w:val="left"/>
              <w:textAlignment w:val="auto"/>
              <w:outlineLvl w:val="9"/>
              <w:rPr>
                <w:rFonts w:hint="eastAsia" w:ascii="宋体" w:hAnsi="宋体" w:cs="Times New Roman"/>
                <w:color w:val="auto"/>
                <w:kern w:val="0"/>
                <w:sz w:val="24"/>
                <w:highlight w:val="none"/>
                <w:lang w:val="en-US" w:eastAsia="en-US"/>
              </w:rPr>
            </w:pPr>
            <w:r>
              <w:rPr>
                <w:rFonts w:hint="eastAsia" w:ascii="宋体" w:hAnsi="宋体" w:cs="Times New Roman"/>
                <w:color w:val="auto"/>
                <w:kern w:val="0"/>
                <w:sz w:val="24"/>
                <w:highlight w:val="none"/>
                <w:lang w:val="en-US" w:eastAsia="en-US"/>
              </w:rPr>
              <w:t>自2020年1月1日以来（以合同签订时间为准），投标人每提供一个合同规模</w:t>
            </w:r>
            <w:r>
              <w:rPr>
                <w:rFonts w:hint="eastAsia" w:ascii="宋体" w:hAnsi="宋体" w:cs="Times New Roman"/>
                <w:color w:val="auto"/>
                <w:kern w:val="0"/>
                <w:sz w:val="24"/>
                <w:highlight w:val="none"/>
                <w:lang w:val="en-US" w:eastAsia="zh-CN"/>
              </w:rPr>
              <w:t>35</w:t>
            </w:r>
            <w:r>
              <w:rPr>
                <w:rFonts w:hint="eastAsia" w:ascii="宋体" w:hAnsi="宋体" w:cs="Times New Roman"/>
                <w:color w:val="auto"/>
                <w:kern w:val="0"/>
                <w:sz w:val="24"/>
                <w:highlight w:val="none"/>
                <w:lang w:val="en-US" w:eastAsia="en-US"/>
              </w:rPr>
              <w:t>万元及以上光伏采购及安装或施工业绩（含EPC项目）的得</w:t>
            </w:r>
            <w:r>
              <w:rPr>
                <w:rFonts w:hint="eastAsia" w:ascii="宋体" w:hAnsi="宋体" w:cs="Times New Roman"/>
                <w:color w:val="auto"/>
                <w:kern w:val="0"/>
                <w:sz w:val="24"/>
                <w:highlight w:val="none"/>
                <w:lang w:val="en-US" w:eastAsia="zh-CN"/>
              </w:rPr>
              <w:t>3</w:t>
            </w:r>
            <w:r>
              <w:rPr>
                <w:rFonts w:hint="eastAsia" w:ascii="宋体" w:hAnsi="宋体" w:cs="Times New Roman"/>
                <w:color w:val="auto"/>
                <w:kern w:val="0"/>
                <w:sz w:val="24"/>
                <w:highlight w:val="none"/>
                <w:lang w:val="en-US" w:eastAsia="en-US"/>
              </w:rPr>
              <w:t>分，本项最高得</w:t>
            </w:r>
            <w:r>
              <w:rPr>
                <w:rFonts w:hint="eastAsia" w:ascii="宋体" w:hAnsi="宋体" w:cs="Times New Roman"/>
                <w:color w:val="auto"/>
                <w:kern w:val="0"/>
                <w:sz w:val="24"/>
                <w:highlight w:val="none"/>
                <w:lang w:val="en-US" w:eastAsia="zh-CN"/>
              </w:rPr>
              <w:t>6</w:t>
            </w:r>
            <w:r>
              <w:rPr>
                <w:rFonts w:hint="eastAsia" w:ascii="宋体" w:hAnsi="宋体" w:cs="Times New Roman"/>
                <w:color w:val="auto"/>
                <w:kern w:val="0"/>
                <w:sz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jc w:val="left"/>
              <w:textAlignment w:val="auto"/>
              <w:outlineLvl w:val="9"/>
              <w:rPr>
                <w:rFonts w:hint="eastAsia" w:ascii="宋体" w:hAnsi="宋体" w:cs="Times New Roman"/>
                <w:color w:val="auto"/>
                <w:kern w:val="0"/>
                <w:sz w:val="24"/>
                <w:highlight w:val="none"/>
                <w:lang w:val="en-US" w:eastAsia="en-US"/>
              </w:rPr>
            </w:pPr>
            <w:r>
              <w:rPr>
                <w:rFonts w:hint="eastAsia" w:ascii="宋体" w:hAnsi="宋体" w:cs="Times New Roman"/>
                <w:color w:val="auto"/>
                <w:kern w:val="0"/>
                <w:sz w:val="24"/>
                <w:highlight w:val="none"/>
                <w:lang w:val="en-US" w:eastAsia="en-US"/>
              </w:rPr>
              <w:t>评审核验电子标书中的下述文件、材料（需同时提供下列资料原件彩色扫描件，缺一不可）：</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jc w:val="left"/>
              <w:textAlignment w:val="auto"/>
              <w:outlineLvl w:val="9"/>
              <w:rPr>
                <w:rFonts w:hint="eastAsia" w:ascii="宋体" w:hAnsi="宋体" w:cs="Times New Roman"/>
                <w:color w:val="auto"/>
                <w:kern w:val="0"/>
                <w:sz w:val="24"/>
                <w:highlight w:val="none"/>
                <w:lang w:val="en-US" w:eastAsia="en-US"/>
              </w:rPr>
            </w:pPr>
            <w:r>
              <w:rPr>
                <w:rFonts w:hint="eastAsia" w:ascii="宋体" w:hAnsi="宋体" w:cs="Times New Roman"/>
                <w:color w:val="auto"/>
                <w:kern w:val="0"/>
                <w:sz w:val="24"/>
                <w:highlight w:val="none"/>
                <w:lang w:val="en-US" w:eastAsia="en-US"/>
              </w:rPr>
              <w:t>（1）合同协议书（能体现项目容量及承包范围信息等页面和盖章页）。</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jc w:val="left"/>
              <w:textAlignment w:val="auto"/>
              <w:outlineLvl w:val="9"/>
              <w:rPr>
                <w:rFonts w:hint="eastAsia" w:ascii="宋体" w:hAnsi="宋体" w:cs="Times New Roman"/>
                <w:color w:val="auto"/>
                <w:kern w:val="0"/>
                <w:sz w:val="24"/>
                <w:highlight w:val="none"/>
                <w:lang w:val="en-US" w:eastAsia="en-US"/>
              </w:rPr>
            </w:pPr>
            <w:r>
              <w:rPr>
                <w:rFonts w:hint="eastAsia" w:ascii="宋体" w:hAnsi="宋体" w:cs="Times New Roman"/>
                <w:color w:val="auto"/>
                <w:kern w:val="0"/>
                <w:sz w:val="24"/>
                <w:highlight w:val="none"/>
                <w:lang w:val="en-US" w:eastAsia="en-US"/>
              </w:rPr>
              <w:t>（2）竣工验收证明文件(至少有建设单位、设计单位、监理单位、施工单位四方参与竣工验收盖章)，或业绩项目所在地供电公司出具的成功并网验收意见书。</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jc w:val="left"/>
              <w:textAlignment w:val="auto"/>
              <w:outlineLvl w:val="9"/>
              <w:rPr>
                <w:rFonts w:hint="eastAsia" w:ascii="宋体" w:hAnsi="宋体" w:eastAsia="宋体" w:cs="Times New Roman"/>
                <w:color w:val="auto"/>
                <w:kern w:val="0"/>
                <w:sz w:val="24"/>
                <w:szCs w:val="24"/>
                <w:highlight w:val="none"/>
                <w:lang w:val="en-US" w:eastAsia="zh-CN"/>
              </w:rPr>
            </w:pPr>
            <w:r>
              <w:rPr>
                <w:rFonts w:hint="eastAsia" w:ascii="宋体" w:hAnsi="宋体" w:cs="Times New Roman"/>
                <w:color w:val="auto"/>
                <w:kern w:val="0"/>
                <w:sz w:val="24"/>
                <w:highlight w:val="none"/>
                <w:lang w:val="en-US" w:eastAsia="en-US"/>
              </w:rPr>
              <w:t>注：若供应商只须提供2个评审业绩，供应商提供业绩个数超过2个，则按照排列顺序从首个业绩开始评审至对应数量（2个），超出部分业绩不进行评审。对应数量（2个）业绩不符合</w:t>
            </w:r>
            <w:r>
              <w:rPr>
                <w:rFonts w:hint="eastAsia" w:ascii="宋体" w:hAnsi="宋体" w:cs="Times New Roman"/>
                <w:color w:val="auto"/>
                <w:kern w:val="0"/>
                <w:sz w:val="24"/>
                <w:highlight w:val="none"/>
                <w:lang w:val="en-US" w:eastAsia="zh-CN"/>
              </w:rPr>
              <w:t>招标</w:t>
            </w:r>
            <w:r>
              <w:rPr>
                <w:rFonts w:hint="eastAsia" w:ascii="宋体" w:hAnsi="宋体" w:cs="Times New Roman"/>
                <w:color w:val="auto"/>
                <w:kern w:val="0"/>
                <w:sz w:val="24"/>
                <w:highlight w:val="none"/>
                <w:lang w:val="en-US" w:eastAsia="en-US"/>
              </w:rPr>
              <w:t>文件要求不得分的，不再补充评审超出部分业绩。如：提供 2个业绩即得满分的，按照投标文件排序评审第一项、第二项业绩，其余超出部分不再评审。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977" w:type="dxa"/>
            <w:vAlign w:val="center"/>
          </w:tcPr>
          <w:p>
            <w:pPr>
              <w:keepNext w:val="0"/>
              <w:keepLines w:val="0"/>
              <w:pageBreakBefore w:val="0"/>
              <w:kinsoku/>
              <w:wordWrap/>
              <w:overflowPunct/>
              <w:topLinePunct w:val="0"/>
              <w:bidi w:val="0"/>
              <w:adjustRightInd/>
              <w:snapToGrid/>
              <w:spacing w:line="360" w:lineRule="exact"/>
              <w:jc w:val="center"/>
              <w:textAlignment w:val="auto"/>
              <w:rPr>
                <w:rFonts w:hint="eastAsia" w:eastAsia="宋体"/>
                <w:sz w:val="24"/>
                <w:szCs w:val="24"/>
                <w:highlight w:val="none"/>
                <w:vertAlign w:val="baseline"/>
                <w:lang w:val="en-US" w:eastAsia="zh-CN"/>
              </w:rPr>
            </w:pPr>
            <w:r>
              <w:rPr>
                <w:rFonts w:hint="eastAsia"/>
                <w:sz w:val="24"/>
                <w:szCs w:val="24"/>
                <w:highlight w:val="none"/>
                <w:vertAlign w:val="baseline"/>
                <w:lang w:val="en-US" w:eastAsia="zh-CN"/>
              </w:rPr>
              <w:t>2</w:t>
            </w:r>
          </w:p>
        </w:tc>
        <w:tc>
          <w:tcPr>
            <w:tcW w:w="1301"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jc w:val="center"/>
              <w:textAlignment w:val="auto"/>
              <w:outlineLvl w:val="9"/>
              <w:rPr>
                <w:sz w:val="24"/>
                <w:szCs w:val="24"/>
                <w:highlight w:val="none"/>
                <w:vertAlign w:val="baseline"/>
              </w:rPr>
            </w:pPr>
            <w:r>
              <w:rPr>
                <w:rFonts w:hint="eastAsia" w:ascii="宋体" w:hAnsi="宋体" w:cs="Times New Roman"/>
                <w:color w:val="auto"/>
                <w:kern w:val="0"/>
                <w:sz w:val="24"/>
                <w:szCs w:val="24"/>
                <w:highlight w:val="none"/>
                <w:lang w:val="en-US" w:eastAsia="en-US"/>
              </w:rPr>
              <w:t>项目团队（</w:t>
            </w:r>
            <w:r>
              <w:rPr>
                <w:rFonts w:hint="eastAsia" w:ascii="宋体" w:hAnsi="宋体" w:cs="Times New Roman"/>
                <w:color w:val="auto"/>
                <w:kern w:val="0"/>
                <w:sz w:val="24"/>
                <w:szCs w:val="24"/>
                <w:highlight w:val="none"/>
                <w:lang w:val="en-US" w:eastAsia="zh-CN"/>
              </w:rPr>
              <w:t>6</w:t>
            </w:r>
            <w:r>
              <w:rPr>
                <w:rFonts w:hint="eastAsia" w:ascii="宋体" w:hAnsi="宋体" w:cs="Times New Roman"/>
                <w:color w:val="auto"/>
                <w:kern w:val="0"/>
                <w:sz w:val="24"/>
                <w:szCs w:val="24"/>
                <w:highlight w:val="none"/>
                <w:lang w:val="en-US" w:eastAsia="en-US"/>
              </w:rPr>
              <w:t>分）</w:t>
            </w:r>
          </w:p>
        </w:tc>
        <w:tc>
          <w:tcPr>
            <w:tcW w:w="7568" w:type="dxa"/>
            <w:vAlign w:val="top"/>
          </w:tcPr>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exact"/>
              <w:ind w:right="91" w:rightChars="38"/>
              <w:textAlignment w:val="auto"/>
              <w:outlineLvl w:val="9"/>
              <w:rPr>
                <w:rFonts w:hint="default"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供应商拟派项目负责人具有电力工程相关专业中级及以上职称的得</w:t>
            </w:r>
            <w:r>
              <w:rPr>
                <w:rFonts w:hint="eastAsia" w:ascii="宋体" w:hAnsi="宋体" w:cs="Times New Roman"/>
                <w:color w:val="auto"/>
                <w:kern w:val="0"/>
                <w:sz w:val="24"/>
                <w:szCs w:val="24"/>
                <w:highlight w:val="none"/>
                <w:lang w:val="en-US" w:eastAsia="zh-CN"/>
              </w:rPr>
              <w:t>3</w:t>
            </w:r>
            <w:r>
              <w:rPr>
                <w:rFonts w:hint="eastAsia" w:ascii="宋体" w:hAnsi="宋体" w:cs="Times New Roman"/>
                <w:color w:val="auto"/>
                <w:kern w:val="0"/>
                <w:sz w:val="24"/>
                <w:szCs w:val="24"/>
                <w:highlight w:val="none"/>
                <w:lang w:val="en-US" w:eastAsia="en-US"/>
              </w:rPr>
              <w:t>分</w:t>
            </w:r>
            <w:r>
              <w:rPr>
                <w:rFonts w:hint="eastAsia" w:ascii="宋体" w:hAnsi="宋体" w:cs="Times New Roman"/>
                <w:color w:val="auto"/>
                <w:kern w:val="0"/>
                <w:sz w:val="24"/>
                <w:szCs w:val="24"/>
                <w:highlight w:val="none"/>
                <w:lang w:val="en-US" w:eastAsia="zh-CN"/>
              </w:rPr>
              <w:t>；</w:t>
            </w:r>
            <w:r>
              <w:rPr>
                <w:rFonts w:hint="eastAsia" w:ascii="宋体" w:hAnsi="宋体" w:cs="Times New Roman"/>
                <w:color w:val="auto"/>
                <w:kern w:val="0"/>
                <w:sz w:val="24"/>
                <w:szCs w:val="24"/>
                <w:highlight w:val="none"/>
                <w:lang w:val="en-US" w:eastAsia="en-US"/>
              </w:rPr>
              <w:t>供应商拟派技术负责人具有电力工程相关专业中级及以上职称的得</w:t>
            </w:r>
            <w:r>
              <w:rPr>
                <w:rFonts w:hint="eastAsia" w:ascii="宋体" w:hAnsi="宋体" w:cs="Times New Roman"/>
                <w:color w:val="auto"/>
                <w:kern w:val="0"/>
                <w:sz w:val="24"/>
                <w:szCs w:val="24"/>
                <w:highlight w:val="none"/>
                <w:lang w:val="en-US" w:eastAsia="zh-CN"/>
              </w:rPr>
              <w:t>3</w:t>
            </w:r>
            <w:r>
              <w:rPr>
                <w:rFonts w:hint="eastAsia" w:ascii="宋体" w:hAnsi="宋体" w:cs="Times New Roman"/>
                <w:color w:val="auto"/>
                <w:kern w:val="0"/>
                <w:sz w:val="24"/>
                <w:szCs w:val="24"/>
                <w:highlight w:val="none"/>
                <w:lang w:val="en-US" w:eastAsia="en-US"/>
              </w:rPr>
              <w:t>分</w:t>
            </w:r>
            <w:r>
              <w:rPr>
                <w:rFonts w:hint="eastAsia" w:ascii="宋体" w:hAnsi="宋体" w:cs="Times New Roman"/>
                <w:color w:val="auto"/>
                <w:kern w:val="0"/>
                <w:sz w:val="24"/>
                <w:szCs w:val="24"/>
                <w:highlight w:val="none"/>
                <w:lang w:val="en-US" w:eastAsia="zh-CN"/>
              </w:rPr>
              <w:t>；本项满分6分。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textAlignment w:val="auto"/>
              <w:outlineLvl w:val="9"/>
              <w:rPr>
                <w:rFonts w:ascii="宋体" w:hAnsi="宋体" w:eastAsia="宋体" w:cs="宋体"/>
                <w:color w:val="000000"/>
                <w:sz w:val="24"/>
                <w:szCs w:val="24"/>
                <w:highlight w:val="none"/>
                <w:lang w:val="en-US" w:eastAsia="en-US" w:bidi="ar-SA"/>
              </w:rPr>
            </w:pPr>
            <w:r>
              <w:rPr>
                <w:rFonts w:hint="eastAsia" w:ascii="宋体" w:hAnsi="宋体" w:cs="Times New Roman"/>
                <w:color w:val="auto"/>
                <w:kern w:val="0"/>
                <w:sz w:val="24"/>
                <w:szCs w:val="24"/>
                <w:highlight w:val="none"/>
                <w:lang w:val="en-US" w:eastAsia="en-US"/>
              </w:rPr>
              <w:t>注：提供相关人员职称证书原件</w:t>
            </w:r>
            <w:r>
              <w:rPr>
                <w:rFonts w:hint="eastAsia" w:ascii="宋体" w:hAnsi="宋体" w:cs="Times New Roman"/>
                <w:color w:val="auto"/>
                <w:kern w:val="0"/>
                <w:sz w:val="24"/>
                <w:szCs w:val="24"/>
                <w:highlight w:val="none"/>
                <w:lang w:val="en-US" w:eastAsia="zh-CN"/>
              </w:rPr>
              <w:t>复印件加盖公章</w:t>
            </w:r>
            <w:r>
              <w:rPr>
                <w:rFonts w:hint="eastAsia" w:ascii="宋体" w:hAnsi="宋体" w:cs="Times New Roman"/>
                <w:color w:val="auto"/>
                <w:kern w:val="0"/>
                <w:sz w:val="24"/>
                <w:szCs w:val="24"/>
                <w:highlight w:val="none"/>
                <w:lang w:val="en-US" w:eastAsia="en-US"/>
              </w:rPr>
              <w:t>（项目负责人和技术负责人不可为同一人）；以上人员须持有本单位在社保部门为其缴纳的投标前近三个月的养老保险证明</w:t>
            </w:r>
            <w:r>
              <w:rPr>
                <w:rFonts w:hint="eastAsia" w:ascii="宋体" w:hAnsi="宋体" w:cs="Times New Roman"/>
                <w:color w:val="auto"/>
                <w:kern w:val="0"/>
                <w:sz w:val="24"/>
                <w:szCs w:val="24"/>
                <w:highlight w:val="none"/>
                <w:lang w:val="en-US" w:eastAsia="zh-CN"/>
              </w:rPr>
              <w:t>，</w:t>
            </w:r>
            <w:r>
              <w:rPr>
                <w:rFonts w:hint="eastAsia" w:ascii="宋体" w:hAnsi="宋体" w:cs="Times New Roman"/>
                <w:color w:val="auto"/>
                <w:kern w:val="0"/>
                <w:sz w:val="24"/>
                <w:szCs w:val="24"/>
                <w:highlight w:val="none"/>
                <w:lang w:val="en-US" w:eastAsia="en-US"/>
              </w:rPr>
              <w:t>响应单位是事业单位的，暂未缴纳养老保险的，须由其主管部门出具证明。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jc w:val="center"/>
        </w:trPr>
        <w:tc>
          <w:tcPr>
            <w:tcW w:w="977"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sz w:val="24"/>
                <w:szCs w:val="24"/>
                <w:highlight w:val="none"/>
                <w:vertAlign w:val="baseline"/>
                <w:lang w:val="en-US" w:eastAsia="zh-CN"/>
              </w:rPr>
            </w:pPr>
            <w:r>
              <w:rPr>
                <w:rFonts w:ascii="宋体" w:hAnsi="Calibri" w:eastAsia="宋体" w:cs="Times New Roman"/>
                <w:color w:val="000000"/>
                <w:sz w:val="24"/>
                <w:szCs w:val="24"/>
                <w:highlight w:val="none"/>
                <w:lang w:val="en-US" w:eastAsia="en-US" w:bidi="ar-SA"/>
              </w:rPr>
              <w:t>3</w:t>
            </w:r>
          </w:p>
        </w:tc>
        <w:tc>
          <w:tcPr>
            <w:tcW w:w="1301"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jc w:val="center"/>
              <w:textAlignment w:val="auto"/>
              <w:outlineLvl w:val="9"/>
              <w:rPr>
                <w:sz w:val="24"/>
                <w:szCs w:val="24"/>
                <w:highlight w:val="none"/>
                <w:vertAlign w:val="baseline"/>
              </w:rPr>
            </w:pPr>
            <w:r>
              <w:rPr>
                <w:rFonts w:hint="eastAsia" w:ascii="宋体" w:hAnsi="宋体" w:cs="Times New Roman"/>
                <w:color w:val="auto"/>
                <w:kern w:val="0"/>
                <w:sz w:val="24"/>
                <w:szCs w:val="24"/>
                <w:highlight w:val="none"/>
                <w:lang w:val="en-US" w:eastAsia="en-US"/>
              </w:rPr>
              <w:t>产品性能（</w:t>
            </w:r>
            <w:r>
              <w:rPr>
                <w:rFonts w:hint="eastAsia" w:ascii="宋体" w:hAnsi="宋体" w:cs="Times New Roman"/>
                <w:color w:val="auto"/>
                <w:kern w:val="0"/>
                <w:sz w:val="24"/>
                <w:szCs w:val="24"/>
                <w:highlight w:val="none"/>
                <w:lang w:val="en-US" w:eastAsia="zh-CN"/>
              </w:rPr>
              <w:t>3</w:t>
            </w:r>
            <w:r>
              <w:rPr>
                <w:rFonts w:hint="eastAsia" w:ascii="宋体" w:hAnsi="宋体" w:cs="Times New Roman"/>
                <w:color w:val="auto"/>
                <w:kern w:val="0"/>
                <w:sz w:val="24"/>
                <w:szCs w:val="24"/>
                <w:highlight w:val="none"/>
                <w:lang w:val="en-US" w:eastAsia="en-US"/>
              </w:rPr>
              <w:t>分）</w:t>
            </w:r>
          </w:p>
        </w:tc>
        <w:tc>
          <w:tcPr>
            <w:tcW w:w="7568"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jc w:val="both"/>
              <w:textAlignment w:val="auto"/>
              <w:outlineLvl w:val="9"/>
              <w:rPr>
                <w:rFonts w:ascii="宋体" w:hAnsi="宋体" w:eastAsia="宋体" w:cs="宋体"/>
                <w:color w:val="000000"/>
                <w:sz w:val="24"/>
                <w:szCs w:val="24"/>
                <w:highlight w:val="none"/>
                <w:lang w:val="en-US" w:eastAsia="en-US" w:bidi="ar-SA"/>
              </w:rPr>
            </w:pPr>
            <w:r>
              <w:rPr>
                <w:rFonts w:hint="eastAsia" w:ascii="宋体" w:hAnsi="宋体" w:cs="Times New Roman"/>
                <w:color w:val="auto"/>
                <w:kern w:val="0"/>
                <w:sz w:val="24"/>
                <w:highlight w:val="none"/>
                <w:lang w:val="en-US" w:eastAsia="en-US"/>
              </w:rPr>
              <w:t>投标人所投</w:t>
            </w:r>
            <w:r>
              <w:rPr>
                <w:rFonts w:hint="eastAsia" w:ascii="宋体" w:hAnsi="宋体" w:cs="Times New Roman"/>
                <w:color w:val="auto"/>
                <w:kern w:val="0"/>
                <w:sz w:val="24"/>
                <w:highlight w:val="none"/>
                <w:lang w:val="en-US" w:eastAsia="zh-CN"/>
              </w:rPr>
              <w:t>光伏板</w:t>
            </w:r>
            <w:r>
              <w:rPr>
                <w:rFonts w:hint="eastAsia" w:ascii="宋体" w:hAnsi="宋体" w:cs="Times New Roman"/>
                <w:color w:val="auto"/>
                <w:kern w:val="0"/>
                <w:sz w:val="24"/>
                <w:highlight w:val="none"/>
                <w:lang w:val="en-US" w:eastAsia="en-US"/>
              </w:rPr>
              <w:t>具有有效的 CQC 或 CGC 等产品认证证书的，得</w:t>
            </w:r>
            <w:r>
              <w:rPr>
                <w:rFonts w:hint="eastAsia" w:ascii="宋体" w:hAnsi="宋体" w:cs="Times New Roman"/>
                <w:color w:val="auto"/>
                <w:kern w:val="0"/>
                <w:sz w:val="24"/>
                <w:highlight w:val="none"/>
                <w:lang w:val="en-US" w:eastAsia="zh-CN"/>
              </w:rPr>
              <w:t>3</w:t>
            </w:r>
            <w:r>
              <w:rPr>
                <w:rFonts w:hint="eastAsia" w:ascii="宋体" w:hAnsi="宋体" w:cs="Times New Roman"/>
                <w:color w:val="auto"/>
                <w:kern w:val="0"/>
                <w:sz w:val="24"/>
                <w:highlight w:val="none"/>
                <w:lang w:val="en-US" w:eastAsia="en-US"/>
              </w:rPr>
              <w:t>分；提供认证证书原件</w:t>
            </w:r>
            <w:r>
              <w:rPr>
                <w:rFonts w:hint="eastAsia" w:ascii="宋体" w:hAnsi="宋体" w:cs="Times New Roman"/>
                <w:color w:val="auto"/>
                <w:kern w:val="0"/>
                <w:sz w:val="24"/>
                <w:highlight w:val="none"/>
                <w:lang w:val="en-US" w:eastAsia="zh-CN"/>
              </w:rPr>
              <w:t>复印件加盖公章</w:t>
            </w:r>
            <w:r>
              <w:rPr>
                <w:rFonts w:hint="eastAsia" w:ascii="宋体" w:hAnsi="宋体" w:cs="Times New Roman"/>
                <w:color w:val="auto"/>
                <w:kern w:val="0"/>
                <w:sz w:val="24"/>
                <w:szCs w:val="24"/>
                <w:highlight w:val="none"/>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977"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19" w:leftChars="8" w:right="91" w:rightChars="38" w:firstLine="400" w:firstLineChars="167"/>
              <w:jc w:val="both"/>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4</w:t>
            </w:r>
          </w:p>
        </w:tc>
        <w:tc>
          <w:tcPr>
            <w:tcW w:w="1301"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jc w:val="center"/>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质保期</w:t>
            </w:r>
          </w:p>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jc w:val="center"/>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（5分）</w:t>
            </w:r>
          </w:p>
        </w:tc>
        <w:tc>
          <w:tcPr>
            <w:tcW w:w="7568"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jc w:val="both"/>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投标人在两年免费质保期的基础上，承诺延长一年的得2分，承诺延长两年的得3分，承诺延长三年的得5分，本项本项满分 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right="91" w:rightChars="38"/>
              <w:jc w:val="both"/>
              <w:textAlignment w:val="auto"/>
              <w:outlineLvl w:val="9"/>
              <w:rPr>
                <w:rFonts w:hint="eastAsia" w:ascii="宋体" w:hAnsi="宋体" w:eastAsia="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承诺书格式</w:t>
            </w:r>
            <w:r>
              <w:rPr>
                <w:rFonts w:hint="eastAsia" w:ascii="宋体" w:hAnsi="宋体" w:cs="Times New Roman"/>
                <w:color w:val="auto"/>
                <w:kern w:val="0"/>
                <w:sz w:val="24"/>
                <w:szCs w:val="24"/>
                <w:highlight w:val="none"/>
                <w:lang w:val="en-US" w:eastAsia="zh-CN"/>
              </w:rPr>
              <w:t>自拟并加盖公章。</w:t>
            </w:r>
          </w:p>
        </w:tc>
      </w:tr>
    </w:tbl>
    <w:p>
      <w:pPr>
        <w:rPr>
          <w:rFonts w:hint="default" w:eastAsia="宋体"/>
          <w:color w:val="auto"/>
          <w:highlight w:val="none"/>
          <w:lang w:val="en-US" w:eastAsia="zh-CN"/>
        </w:rPr>
      </w:pPr>
      <w:r>
        <w:rPr>
          <w:rFonts w:hint="eastAsia"/>
          <w:color w:val="auto"/>
          <w:highlight w:val="none"/>
          <w:lang w:val="en-US" w:eastAsia="zh-CN"/>
        </w:rPr>
        <w:t>注：如投标人提供的证明材料无法体现评审因素，则需另提供业主单位证明材料并加盖业主方公章。</w:t>
      </w:r>
    </w:p>
    <w:p>
      <w:pPr>
        <w:pStyle w:val="36"/>
        <w:adjustRightInd w:val="0"/>
        <w:snapToGrid w:val="0"/>
        <w:spacing w:after="0" w:line="560" w:lineRule="exact"/>
        <w:ind w:left="0" w:leftChars="0" w:firstLine="0" w:firstLineChars="0"/>
        <w:jc w:val="center"/>
        <w:rPr>
          <w:rFonts w:hint="eastAsia" w:eastAsia="宋体"/>
          <w:b/>
          <w:color w:val="auto"/>
          <w:sz w:val="36"/>
          <w:highlight w:val="none"/>
          <w:lang w:eastAsia="zh-CN"/>
        </w:rPr>
      </w:pPr>
      <w:r>
        <w:rPr>
          <w:rFonts w:hint="eastAsia"/>
          <w:b/>
          <w:color w:val="auto"/>
          <w:sz w:val="28"/>
          <w:szCs w:val="21"/>
          <w:highlight w:val="none"/>
        </w:rPr>
        <w:t>（</w:t>
      </w:r>
      <w:r>
        <w:rPr>
          <w:rFonts w:hint="eastAsia"/>
          <w:b/>
          <w:color w:val="auto"/>
          <w:sz w:val="28"/>
          <w:szCs w:val="21"/>
          <w:highlight w:val="none"/>
          <w:lang w:val="en-US" w:eastAsia="zh-CN"/>
        </w:rPr>
        <w:t>三</w:t>
      </w:r>
      <w:r>
        <w:rPr>
          <w:rFonts w:hint="eastAsia"/>
          <w:b/>
          <w:color w:val="auto"/>
          <w:sz w:val="28"/>
          <w:szCs w:val="21"/>
          <w:highlight w:val="none"/>
        </w:rPr>
        <w:t>）</w:t>
      </w:r>
      <w:r>
        <w:rPr>
          <w:rFonts w:hint="eastAsia"/>
          <w:b/>
          <w:color w:val="auto"/>
          <w:sz w:val="28"/>
          <w:szCs w:val="21"/>
          <w:highlight w:val="none"/>
          <w:lang w:val="en-US" w:eastAsia="zh-CN"/>
        </w:rPr>
        <w:t>技术标</w:t>
      </w:r>
      <w:r>
        <w:rPr>
          <w:rFonts w:hint="eastAsia"/>
          <w:b/>
          <w:color w:val="auto"/>
          <w:sz w:val="28"/>
          <w:szCs w:val="21"/>
          <w:highlight w:val="none"/>
        </w:rPr>
        <w:t>评审</w:t>
      </w:r>
      <w:r>
        <w:rPr>
          <w:rFonts w:hint="eastAsia"/>
          <w:b/>
          <w:color w:val="auto"/>
          <w:sz w:val="28"/>
          <w:szCs w:val="21"/>
          <w:highlight w:val="none"/>
          <w:lang w:eastAsia="zh-CN"/>
        </w:rPr>
        <w:t>（</w:t>
      </w:r>
      <w:r>
        <w:rPr>
          <w:rFonts w:hint="eastAsia"/>
          <w:b/>
          <w:color w:val="auto"/>
          <w:sz w:val="28"/>
          <w:szCs w:val="21"/>
          <w:highlight w:val="none"/>
          <w:lang w:val="en-US" w:eastAsia="zh-CN"/>
        </w:rPr>
        <w:t>50分</w:t>
      </w:r>
      <w:r>
        <w:rPr>
          <w:rFonts w:hint="eastAsia"/>
          <w:b/>
          <w:color w:val="auto"/>
          <w:sz w:val="28"/>
          <w:szCs w:val="21"/>
          <w:highlight w:val="none"/>
          <w:lang w:eastAsia="zh-CN"/>
        </w:rPr>
        <w:t>）</w:t>
      </w:r>
    </w:p>
    <w:tbl>
      <w:tblPr>
        <w:tblStyle w:val="74"/>
        <w:tblW w:w="10062" w:type="dxa"/>
        <w:jc w:val="center"/>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320"/>
        <w:gridCol w:w="7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序号</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评分项目</w:t>
            </w:r>
          </w:p>
        </w:tc>
        <w:tc>
          <w:tcPr>
            <w:tcW w:w="7713"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1</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总承包方案（5分）</w:t>
            </w: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针对项目实际情况，有总体管理方案内容描述，总承包管理体系健全，对设计管理、主要专业分包管理措施合理可行，进度管理方案可行，总承包综合协调措施科学合理，管理目标明确的得 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总承包管理体系基本健全，对设计管理、主要专业分包管理措施较合理可行，进度管理方案基本可行，总承包综合协调措施合理，管理目标较明确的得 4分；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总承包管理体系健全，对设计管理、主要专业分包管理措施不合理，进度管理方案不合理，总承包综合协调措施不合理，管理目标不明确的得 3分；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未提供或提供不符合要求的不得分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2</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设计方案（10分）</w:t>
            </w: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1、前期调研及构思（3分）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投标人应仔细踏勘现场、前期调研工作细致、充分，资料收集齐全，对现状建筑物改造进行合理分析及评估，构思新颖有创意的得 3分；投标人前期调研工作较细致但不充分，资料收集基本齐全，对现状建筑物改造分析及评估较合理，构思较新颖有创意的得 2分；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投标人前期调研工作较粗糙不细致，资料收集不齐全，对现状建筑物改造分析及评估不合理，构思一般的得 1分；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未提供或提供不符合要求的不得分。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2、设计方案可行性及经济性、功能合理性（7分）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所提供的设计方案满足实际需求。具有可行性和经济性。有初步设计概算清单、平面布置图或节点图；布线安全合理且隐藏。概算准确、全面，并能提供投资控制上的比较意见。室内设计按功能布置合理，各具特色又紧密相连，符合招标人使用需求、主次分明、功能明确、合理利用空间结构的得 7分；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所提供的设计方案基本满足实际需求，具有可行性和经济性。有初步设计概算清单、平面布置图或节点图；布线安全较合理且。概算较准确、全面，并能提供投资控制上的比较意见。室内设计按功能布置基本合理，各具特色又紧密相连，基本符合招标人使用需求、主次较分明、功能较明确、基本能合理利用空间结构的得 6分；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所提供的设计方案基本满足实际需求，具有可行性和经济性。有初步设计概算清单、平面布置图或节点图；布线安全合理。概算模糊、不全面，未能提供投资控制上的比较意见。室内设计按功能布置不太合理，没有特色，基本符合招标人使用需求、但主次不分明、功能不明确、不能合理利用空间结构的得 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未提供或提供不符合要求的不得分。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3</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主要施工方法</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（5分）</w:t>
            </w: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各主要分部施工方法优于项目实际，有详尽的施工技术方案，工艺先进、方法科学合理、可行，能够高质高效的施工并确保安全的得 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各主要分部施工方法符合项目实际，施工技术方案基本完整，工艺符合施工需求、能指导具体施工并确保安全得 4分；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各主要分部施工方法符合项目实际，施工技术方案普通，工艺普通、基本能够指导具体施工得 3分；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en-US"/>
              </w:rPr>
              <w:t>不合格的或未提供的不得分。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4</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拟投入的主要施工机械、设备计划</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（5分）</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textAlignment w:val="auto"/>
              <w:rPr>
                <w:rFonts w:hint="default" w:ascii="宋体" w:hAnsi="宋体" w:cs="Times New Roman"/>
                <w:color w:val="auto"/>
                <w:kern w:val="0"/>
                <w:sz w:val="24"/>
                <w:szCs w:val="24"/>
                <w:highlight w:val="none"/>
                <w:lang w:val="en-US" w:eastAsia="zh-CN"/>
              </w:rPr>
            </w:pP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投入的施工机械、设备、机具有详细计划且计划周密，设备数量、选型配置、进场数量、时间合理、满足施工需要得 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投入的施工机械、设备、机具有计划且计划较周密，设备数量较多、选型配置、进场数量、时间较合理、基本满足施工需要得 4分；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投入的施工机械、设备、机具设备数量基本满足要求、选型配置、进场数量、时间基本合理得 3分。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宋体" w:hAnsi="宋体" w:eastAsia="宋体" w:cs="宋体"/>
                <w:color w:val="000000"/>
                <w:spacing w:val="-1"/>
                <w:sz w:val="24"/>
                <w:szCs w:val="24"/>
                <w:highlight w:val="none"/>
                <w:vertAlign w:val="baseline"/>
                <w:lang w:val="en-US" w:eastAsia="zh-CN" w:bidi="ar-SA"/>
              </w:rPr>
            </w:pPr>
            <w:r>
              <w:rPr>
                <w:rFonts w:hint="eastAsia" w:ascii="宋体" w:hAnsi="宋体" w:cs="Times New Roman"/>
                <w:color w:val="auto"/>
                <w:kern w:val="0"/>
                <w:sz w:val="24"/>
                <w:szCs w:val="24"/>
                <w:highlight w:val="none"/>
                <w:lang w:val="en-US" w:eastAsia="en-US"/>
              </w:rPr>
              <w:t>不合格的或未提供的不得分。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5</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劳动力安排计划（5分）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cs="Times New Roman"/>
                <w:color w:val="auto"/>
                <w:kern w:val="0"/>
                <w:sz w:val="24"/>
                <w:szCs w:val="24"/>
                <w:highlight w:val="none"/>
                <w:lang w:val="en-US" w:eastAsia="en-US"/>
              </w:rPr>
            </w:pP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各主要施工工序应有详细周密的劳动力安排计划明细，有各工种劳动力安排计划。劳动力投入经济合理，满足施工需要得 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各主要施工工序应有劳动力安排计划，有各工种劳动力安排计划，计划较完整周密。劳动力投入较经济合理，基本能满足施工需要得 4分；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各主要施工工序有基础的劳动力安排计划，有基础的各工种劳动力安排计划但存在部分不足的得 3分。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不合格的或未提供的不得分。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6</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确保工程质量的技术组织措施（</w:t>
            </w:r>
            <w:r>
              <w:rPr>
                <w:rFonts w:hint="eastAsia" w:ascii="宋体" w:hAnsi="宋体" w:cs="Times New Roman"/>
                <w:color w:val="auto"/>
                <w:kern w:val="0"/>
                <w:sz w:val="24"/>
                <w:szCs w:val="24"/>
                <w:highlight w:val="none"/>
                <w:lang w:val="en-US" w:eastAsia="zh-CN"/>
              </w:rPr>
              <w:t>5</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施工项目应有专门的质量技术管理班子和制度，且人员配备合理，制度健全，主要工序应有质量技术保证措施和手段，自控体系完整，能有效的保证技术质量，达到承诺的质量标准得</w:t>
            </w:r>
            <w:r>
              <w:rPr>
                <w:rFonts w:hint="eastAsia" w:ascii="宋体" w:hAnsi="宋体" w:cs="Times New Roman"/>
                <w:color w:val="auto"/>
                <w:kern w:val="0"/>
                <w:sz w:val="24"/>
                <w:szCs w:val="24"/>
                <w:highlight w:val="none"/>
                <w:lang w:val="en-US" w:eastAsia="zh-CN"/>
              </w:rPr>
              <w:t>5</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施工项目有专门的质量技术管理班子和制度，且人员配备较合理，制度比较健全，主要工序应有质量技术保证措施和手段，自控体系比较完整，能够保证技术质量，基本达到承诺的质量标准得</w:t>
            </w:r>
            <w:r>
              <w:rPr>
                <w:rFonts w:hint="eastAsia" w:ascii="宋体" w:hAnsi="宋体" w:cs="Times New Roman"/>
                <w:color w:val="auto"/>
                <w:kern w:val="0"/>
                <w:sz w:val="24"/>
                <w:szCs w:val="24"/>
                <w:highlight w:val="none"/>
                <w:lang w:val="en-US" w:eastAsia="zh-CN"/>
              </w:rPr>
              <w:t>4</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施工项目有专门的质量技术管理班子和制度，有人员配备，有制度，自控体系基本达到承诺的质量标准，部分存在不足的得</w:t>
            </w:r>
            <w:r>
              <w:rPr>
                <w:rFonts w:hint="eastAsia" w:ascii="宋体" w:hAnsi="宋体" w:cs="Times New Roman"/>
                <w:color w:val="auto"/>
                <w:kern w:val="0"/>
                <w:sz w:val="24"/>
                <w:szCs w:val="24"/>
                <w:highlight w:val="none"/>
                <w:lang w:val="en-US" w:eastAsia="zh-CN"/>
              </w:rPr>
              <w:t>3</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不合格的或未提供的不得分。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7</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确保安全生产的技术组织措施（</w:t>
            </w:r>
            <w:r>
              <w:rPr>
                <w:rFonts w:hint="eastAsia" w:ascii="宋体" w:hAnsi="宋体" w:cs="Times New Roman"/>
                <w:color w:val="auto"/>
                <w:kern w:val="0"/>
                <w:sz w:val="24"/>
                <w:szCs w:val="24"/>
                <w:highlight w:val="none"/>
                <w:lang w:val="en-US" w:eastAsia="zh-CN"/>
              </w:rPr>
              <w:t>5</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施工项目应有专门的安全管理人员和制度，且人员配备合理，制度健全，各道工序安全技术措施针对性强，符合实际且满足有关安全技术标准要求。现场防火、社会治安安全措施得力得</w:t>
            </w:r>
            <w:r>
              <w:rPr>
                <w:rFonts w:hint="eastAsia" w:ascii="宋体" w:hAnsi="宋体" w:cs="Times New Roman"/>
                <w:color w:val="auto"/>
                <w:kern w:val="0"/>
                <w:sz w:val="24"/>
                <w:szCs w:val="24"/>
                <w:highlight w:val="none"/>
                <w:lang w:val="en-US" w:eastAsia="zh-CN"/>
              </w:rPr>
              <w:t>5</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施工项目应有专门的安全管理人员和制度，且人员配备较合理，制度比较健全，各道工序安全技术措施较完善，基本符合实际且满足有关安全技术标准要求。现场防火、社会治安安全措施比较得力得</w:t>
            </w:r>
            <w:r>
              <w:rPr>
                <w:rFonts w:hint="eastAsia" w:ascii="宋体" w:hAnsi="宋体" w:cs="Times New Roman"/>
                <w:color w:val="auto"/>
                <w:kern w:val="0"/>
                <w:sz w:val="24"/>
                <w:szCs w:val="24"/>
                <w:highlight w:val="none"/>
                <w:lang w:val="en-US" w:eastAsia="zh-CN"/>
              </w:rPr>
              <w:t>4</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施工项目有专门的安全管理人员和制度，且人员配备基本满足要求，制度及各道工序安全技术措施基本完善，部分存在不足的得</w:t>
            </w:r>
            <w:r>
              <w:rPr>
                <w:rFonts w:hint="eastAsia" w:ascii="宋体" w:hAnsi="宋体" w:cs="Times New Roman"/>
                <w:color w:val="auto"/>
                <w:kern w:val="0"/>
                <w:sz w:val="24"/>
                <w:szCs w:val="24"/>
                <w:highlight w:val="none"/>
                <w:lang w:val="en-US" w:eastAsia="zh-CN"/>
              </w:rPr>
              <w:t>3</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不合格的或未提供的不得分。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8</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确保工期的技术组织措施</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w:t>
            </w:r>
            <w:r>
              <w:rPr>
                <w:rFonts w:hint="eastAsia" w:ascii="宋体" w:hAnsi="宋体" w:cs="Times New Roman"/>
                <w:color w:val="auto"/>
                <w:kern w:val="0"/>
                <w:sz w:val="24"/>
                <w:szCs w:val="24"/>
                <w:highlight w:val="none"/>
                <w:lang w:val="en-US" w:eastAsia="zh-CN"/>
              </w:rPr>
              <w:t>5</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cs="Times New Roman"/>
                <w:color w:val="auto"/>
                <w:kern w:val="0"/>
                <w:sz w:val="24"/>
                <w:szCs w:val="24"/>
                <w:highlight w:val="none"/>
                <w:lang w:val="en-US" w:eastAsia="en-US"/>
              </w:rPr>
            </w:pP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得</w:t>
            </w:r>
            <w:r>
              <w:rPr>
                <w:rFonts w:hint="eastAsia" w:ascii="宋体" w:hAnsi="宋体" w:cs="Times New Roman"/>
                <w:color w:val="auto"/>
                <w:kern w:val="0"/>
                <w:sz w:val="24"/>
                <w:szCs w:val="24"/>
                <w:highlight w:val="none"/>
                <w:lang w:val="en-US" w:eastAsia="zh-CN"/>
              </w:rPr>
              <w:t>5</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在施工工艺、施工方法、材料选用、劳动力安排、技术等方面有保证工期的措施且措施比较得当。有控制工期的施工进度计划。应有施工总进度表或施工网络图，各项计划图表编制比较完善，安排比较合理，基本符合本项目施工实际要求得</w:t>
            </w:r>
            <w:r>
              <w:rPr>
                <w:rFonts w:hint="eastAsia" w:ascii="宋体" w:hAnsi="宋体" w:cs="Times New Roman"/>
                <w:color w:val="auto"/>
                <w:kern w:val="0"/>
                <w:sz w:val="24"/>
                <w:szCs w:val="24"/>
                <w:highlight w:val="none"/>
                <w:lang w:val="en-US" w:eastAsia="zh-CN"/>
              </w:rPr>
              <w:t>4</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在施工工艺、施工方法、材料选用、劳动力安排、技术等方面有保证工期的措施。有控制工期的施工进度计划。有施工总进度表或施工网络图，但部分存在不足的得</w:t>
            </w:r>
            <w:r>
              <w:rPr>
                <w:rFonts w:hint="eastAsia" w:ascii="宋体" w:hAnsi="宋体" w:cs="Times New Roman"/>
                <w:color w:val="auto"/>
                <w:kern w:val="0"/>
                <w:sz w:val="24"/>
                <w:szCs w:val="24"/>
                <w:highlight w:val="none"/>
                <w:lang w:val="en-US" w:eastAsia="zh-CN"/>
              </w:rPr>
              <w:t>3</w:t>
            </w:r>
            <w:r>
              <w:rPr>
                <w:rFonts w:hint="eastAsia" w:ascii="宋体" w:hAnsi="宋体" w:cs="Times New Roman"/>
                <w:color w:val="auto"/>
                <w:kern w:val="0"/>
                <w:sz w:val="24"/>
                <w:szCs w:val="24"/>
                <w:highlight w:val="none"/>
                <w:lang w:val="en-US" w:eastAsia="en-US"/>
              </w:rPr>
              <w:t>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不合格的或未提供的不得分。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29"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szCs w:val="24"/>
                <w:highlight w:val="none"/>
                <w:lang w:val="en-US" w:eastAsia="zh-CN"/>
              </w:rPr>
              <w:t>9</w:t>
            </w:r>
          </w:p>
        </w:tc>
        <w:tc>
          <w:tcPr>
            <w:tcW w:w="1320"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确保文明施工的技术组织措施（5分）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cs="Times New Roman"/>
                <w:color w:val="auto"/>
                <w:kern w:val="0"/>
                <w:sz w:val="24"/>
                <w:szCs w:val="24"/>
                <w:highlight w:val="none"/>
                <w:lang w:val="en-US" w:eastAsia="en-US"/>
              </w:rPr>
            </w:pPr>
          </w:p>
        </w:tc>
        <w:tc>
          <w:tcPr>
            <w:tcW w:w="7713" w:type="dxa"/>
            <w:vAlign w:val="top"/>
          </w:tcPr>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针对本项目特点，应有现场文明施工计划，环境保护措施，且计划措施内容应达到“安全文明示范工地”标准。各项措施周全、具体、有效。有具体实现现场文明施工目标的承诺得 5分；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针对本项目特点，有现场文明施工计划，环境保护措施，且计划措施内容较完善。各项措施较周全、具体、有效。有实现现场文明施工目标的承诺得 4分；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针对本项目特点，有现场文明施工计划，环境保护措施。但部分存在不足的得3分；</w:t>
            </w:r>
          </w:p>
          <w:p>
            <w:pPr>
              <w:keepNext w:val="0"/>
              <w:keepLines w:val="0"/>
              <w:pageBreakBefore w:val="0"/>
              <w:widowControl/>
              <w:tabs>
                <w:tab w:val="left" w:pos="0"/>
              </w:tabs>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cs="Times New Roman"/>
                <w:color w:val="auto"/>
                <w:kern w:val="0"/>
                <w:sz w:val="24"/>
                <w:szCs w:val="24"/>
                <w:highlight w:val="none"/>
                <w:lang w:val="en-US" w:eastAsia="en-US"/>
              </w:rPr>
            </w:pPr>
            <w:r>
              <w:rPr>
                <w:rFonts w:hint="eastAsia" w:ascii="宋体" w:hAnsi="宋体" w:cs="Times New Roman"/>
                <w:color w:val="auto"/>
                <w:kern w:val="0"/>
                <w:sz w:val="24"/>
                <w:szCs w:val="24"/>
                <w:highlight w:val="none"/>
                <w:lang w:val="en-US" w:eastAsia="en-US"/>
              </w:rPr>
              <w:t>不合格的或未提供的不得分。</w:t>
            </w:r>
          </w:p>
        </w:tc>
      </w:tr>
    </w:tbl>
    <w:p>
      <w:pPr>
        <w:pStyle w:val="36"/>
        <w:spacing w:after="0" w:line="560" w:lineRule="exact"/>
        <w:ind w:left="0" w:leftChars="0" w:firstLine="0" w:firstLineChars="0"/>
        <w:jc w:val="left"/>
        <w:rPr>
          <w:rFonts w:hint="eastAsia" w:ascii="宋体" w:hAnsi="宋体" w:eastAsia="宋体" w:cs="宋体"/>
          <w:b/>
          <w:bCs/>
          <w:color w:val="0000FF"/>
          <w:highlight w:val="none"/>
        </w:rPr>
      </w:pPr>
      <w:r>
        <w:rPr>
          <w:rFonts w:hint="eastAsia" w:ascii="宋体" w:hAnsi="宋体" w:eastAsia="宋体" w:cs="宋体"/>
          <w:b/>
          <w:bCs/>
          <w:color w:val="0000FF"/>
          <w:highlight w:val="none"/>
        </w:rPr>
        <w:t>注：1.本项目技术标为暗标评审，评审前</w:t>
      </w:r>
      <w:r>
        <w:rPr>
          <w:rFonts w:hint="eastAsia" w:ascii="宋体" w:hAnsi="宋体" w:eastAsia="宋体" w:cs="宋体"/>
          <w:b/>
          <w:bCs/>
          <w:color w:val="0000FF"/>
          <w:highlight w:val="none"/>
          <w:lang w:val="en-US" w:eastAsia="zh-CN"/>
        </w:rPr>
        <w:t>代理机构</w:t>
      </w:r>
      <w:r>
        <w:rPr>
          <w:rFonts w:hint="eastAsia" w:ascii="宋体" w:hAnsi="宋体" w:eastAsia="宋体" w:cs="宋体"/>
          <w:b/>
          <w:bCs/>
          <w:color w:val="0000FF"/>
          <w:highlight w:val="none"/>
        </w:rPr>
        <w:t>对所有投标人的技术标进行</w:t>
      </w:r>
      <w:r>
        <w:rPr>
          <w:rFonts w:hint="eastAsia" w:ascii="宋体" w:hAnsi="宋体" w:eastAsia="宋体" w:cs="宋体"/>
          <w:b/>
          <w:bCs/>
          <w:color w:val="0000FF"/>
          <w:highlight w:val="none"/>
          <w:lang w:val="en-US" w:eastAsia="zh-CN"/>
        </w:rPr>
        <w:t>随机</w:t>
      </w:r>
      <w:r>
        <w:rPr>
          <w:rFonts w:hint="eastAsia" w:ascii="宋体" w:hAnsi="宋体" w:eastAsia="宋体" w:cs="宋体"/>
          <w:b/>
          <w:bCs/>
          <w:color w:val="0000FF"/>
          <w:highlight w:val="none"/>
        </w:rPr>
        <w:t>编号；投标企业制作的技术标部分不得出现可能泄露投标人单位及个人信息的文字、图片、图表等有关表述，否则技术标按零分处理；</w:t>
      </w:r>
    </w:p>
    <w:p>
      <w:pPr>
        <w:pStyle w:val="36"/>
        <w:spacing w:after="0" w:line="560" w:lineRule="exact"/>
        <w:ind w:left="0" w:leftChars="0" w:firstLine="0" w:firstLineChars="0"/>
        <w:jc w:val="left"/>
        <w:rPr>
          <w:rFonts w:hint="eastAsia" w:ascii="宋体" w:hAnsi="宋体" w:eastAsia="宋体" w:cs="宋体"/>
          <w:b/>
          <w:bCs/>
          <w:color w:val="0000FF"/>
          <w:highlight w:val="none"/>
        </w:rPr>
      </w:pPr>
      <w:r>
        <w:rPr>
          <w:rFonts w:hint="eastAsia" w:ascii="宋体" w:hAnsi="宋体" w:eastAsia="宋体" w:cs="宋体"/>
          <w:b/>
          <w:bCs/>
          <w:color w:val="0000FF"/>
          <w:highlight w:val="none"/>
        </w:rPr>
        <w:t>2.各评委得分的平均值为投标人技术标得分，分值保留两位小数点。</w:t>
      </w:r>
    </w:p>
    <w:p>
      <w:pPr>
        <w:pStyle w:val="36"/>
        <w:spacing w:after="0" w:line="560" w:lineRule="exact"/>
        <w:ind w:left="0" w:leftChars="0" w:firstLine="0" w:firstLineChars="0"/>
        <w:jc w:val="left"/>
        <w:rPr>
          <w:rFonts w:hint="eastAsia" w:ascii="宋体" w:hAnsi="宋体" w:cs="宋体"/>
          <w:b/>
          <w:bCs/>
          <w:color w:val="auto"/>
          <w:highlight w:val="none"/>
        </w:rPr>
      </w:pPr>
    </w:p>
    <w:p>
      <w:pPr>
        <w:pStyle w:val="36"/>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（四）商务标评审</w:t>
      </w:r>
    </w:p>
    <w:tbl>
      <w:tblPr>
        <w:tblStyle w:val="74"/>
        <w:tblpPr w:leftFromText="180" w:rightFromText="180" w:vertAnchor="text" w:horzAnchor="page" w:tblpX="1152" w:tblpY="413"/>
        <w:tblOverlap w:val="never"/>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337"/>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auto"/>
              <w:ind w:left="19" w:leftChars="8" w:right="91" w:rightChars="38" w:firstLine="400" w:firstLineChars="167"/>
              <w:textAlignment w:val="auto"/>
              <w:outlineLvl w:val="9"/>
              <w:rPr>
                <w:rFonts w:hint="eastAsia" w:ascii="宋体" w:hAnsi="宋体" w:cs="Times New Roman"/>
                <w:color w:val="auto"/>
                <w:kern w:val="0"/>
                <w:sz w:val="24"/>
                <w:highlight w:val="none"/>
                <w:lang w:val="en-US" w:eastAsia="en-US"/>
              </w:rPr>
            </w:pPr>
            <w:r>
              <w:rPr>
                <w:rFonts w:hint="eastAsia" w:ascii="宋体" w:hAnsi="宋体" w:cs="Times New Roman"/>
                <w:color w:val="auto"/>
                <w:kern w:val="0"/>
                <w:sz w:val="24"/>
                <w:highlight w:val="none"/>
                <w:lang w:val="en-US" w:eastAsia="en-US"/>
              </w:rPr>
              <w:t>1</w:t>
            </w:r>
          </w:p>
        </w:tc>
        <w:tc>
          <w:tcPr>
            <w:tcW w:w="1337" w:type="dxa"/>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textAlignment w:val="auto"/>
              <w:outlineLvl w:val="9"/>
              <w:rPr>
                <w:rFonts w:hint="default" w:ascii="宋体" w:hAnsi="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en-US"/>
              </w:rPr>
              <w:t>商务标</w:t>
            </w:r>
            <w:r>
              <w:rPr>
                <w:rFonts w:hint="eastAsia" w:ascii="宋体" w:hAnsi="宋体" w:cs="Times New Roman"/>
                <w:color w:val="auto"/>
                <w:kern w:val="0"/>
                <w:sz w:val="24"/>
                <w:highlight w:val="none"/>
                <w:lang w:val="en-US" w:eastAsia="zh-CN"/>
              </w:rPr>
              <w:t>(</w:t>
            </w:r>
            <w:r>
              <w:rPr>
                <w:rFonts w:hint="eastAsia" w:ascii="宋体" w:hAnsi="宋体" w:cs="Times New Roman"/>
                <w:color w:val="auto"/>
                <w:kern w:val="0"/>
                <w:sz w:val="24"/>
                <w:highlight w:val="none"/>
                <w:lang w:val="en-US" w:eastAsia="en-US"/>
              </w:rPr>
              <w:t>30分</w:t>
            </w:r>
            <w:r>
              <w:rPr>
                <w:rFonts w:hint="eastAsia" w:ascii="宋体" w:hAnsi="宋体" w:cs="Times New Roman"/>
                <w:color w:val="auto"/>
                <w:kern w:val="0"/>
                <w:sz w:val="24"/>
                <w:highlight w:val="none"/>
                <w:lang w:val="en-US" w:eastAsia="zh-CN"/>
              </w:rPr>
              <w:t>)</w:t>
            </w:r>
          </w:p>
        </w:tc>
        <w:tc>
          <w:tcPr>
            <w:tcW w:w="7457" w:type="dxa"/>
            <w:vAlign w:val="center"/>
          </w:tcPr>
          <w:p>
            <w:pPr>
              <w:tabs>
                <w:tab w:val="left" w:pos="1080"/>
              </w:tabs>
              <w:wordWrap w:val="0"/>
              <w:spacing w:before="100" w:beforeAutospacing="1" w:after="100" w:afterAutospacing="1"/>
              <w:ind w:right="105"/>
              <w:rPr>
                <w:rFonts w:ascii="宋体" w:hAnsi="宋体" w:cs="宋体"/>
                <w:b/>
                <w:bCs/>
                <w:color w:val="auto"/>
                <w:sz w:val="24"/>
                <w:highlight w:val="none"/>
              </w:rPr>
            </w:pPr>
            <w:r>
              <w:rPr>
                <w:rFonts w:hint="eastAsia" w:ascii="宋体" w:hAnsi="宋体" w:cs="宋体"/>
                <w:b/>
                <w:bCs/>
                <w:color w:val="auto"/>
                <w:sz w:val="24"/>
                <w:highlight w:val="none"/>
                <w:lang w:eastAsia="zh-CN"/>
              </w:rPr>
              <w:t>招标人</w:t>
            </w:r>
            <w:r>
              <w:rPr>
                <w:rFonts w:hint="eastAsia" w:ascii="宋体" w:hAnsi="宋体" w:cs="宋体"/>
                <w:b/>
                <w:bCs/>
                <w:color w:val="auto"/>
                <w:sz w:val="24"/>
                <w:highlight w:val="none"/>
              </w:rPr>
              <w:t>设置投标报价最高限价，各投标人有效报价不得高于最高限价，否则，其投标文件按无效标处理。</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textAlignment w:val="auto"/>
              <w:outlineLvl w:val="9"/>
              <w:rPr>
                <w:rFonts w:hint="eastAsia" w:ascii="宋体" w:hAnsi="宋体" w:cs="Times New Roman"/>
                <w:color w:val="auto"/>
                <w:kern w:val="0"/>
                <w:sz w:val="24"/>
                <w:highlight w:val="none"/>
                <w:lang w:val="en-US" w:eastAsia="en-US"/>
              </w:rPr>
            </w:pPr>
            <w:r>
              <w:rPr>
                <w:rFonts w:hint="eastAsia" w:ascii="宋体" w:hAnsi="宋体" w:eastAsia="宋体" w:cs="宋体"/>
                <w:color w:val="000000"/>
                <w:spacing w:val="2"/>
                <w:sz w:val="21"/>
                <w:szCs w:val="22"/>
                <w:highlight w:val="none"/>
                <w:lang w:val="en-US" w:eastAsia="zh-CN" w:bidi="ar-SA"/>
              </w:rPr>
              <w:t>1.</w:t>
            </w:r>
            <w:r>
              <w:rPr>
                <w:rFonts w:hint="eastAsia" w:ascii="宋体" w:hAnsi="宋体" w:cs="Times New Roman"/>
                <w:color w:val="auto"/>
                <w:kern w:val="0"/>
                <w:sz w:val="24"/>
                <w:highlight w:val="none"/>
                <w:lang w:val="en-US" w:eastAsia="en-US"/>
              </w:rPr>
              <w:t>采购人设置响应报价最高限价，各供应商有效报价不得高于最高限价，否则，其响应文件按无效标处理。</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textAlignment w:val="auto"/>
              <w:outlineLvl w:val="9"/>
              <w:rPr>
                <w:rFonts w:hint="eastAsia" w:ascii="宋体" w:hAnsi="宋体" w:cs="Times New Roman"/>
                <w:color w:val="auto"/>
                <w:kern w:val="0"/>
                <w:sz w:val="24"/>
                <w:highlight w:val="none"/>
                <w:lang w:val="en-US" w:eastAsia="en-US"/>
              </w:rPr>
            </w:pPr>
            <w:r>
              <w:rPr>
                <w:rFonts w:hint="eastAsia" w:ascii="宋体" w:hAnsi="宋体" w:cs="Times New Roman"/>
                <w:color w:val="auto"/>
                <w:kern w:val="0"/>
                <w:sz w:val="24"/>
                <w:highlight w:val="none"/>
                <w:lang w:val="en-US" w:eastAsia="en-US"/>
              </w:rPr>
              <w:t>2.评标基准价=所有有效供应商的最低报价（最后报价）；其得分为满分；</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textAlignment w:val="auto"/>
              <w:outlineLvl w:val="9"/>
              <w:rPr>
                <w:rFonts w:hint="eastAsia" w:ascii="宋体" w:hAnsi="宋体" w:cs="Times New Roman"/>
                <w:color w:val="auto"/>
                <w:kern w:val="0"/>
                <w:sz w:val="24"/>
                <w:highlight w:val="none"/>
                <w:lang w:val="en-US" w:eastAsia="en-US"/>
              </w:rPr>
            </w:pPr>
            <w:r>
              <w:rPr>
                <w:rFonts w:hint="eastAsia" w:ascii="宋体" w:hAnsi="宋体" w:cs="Times New Roman"/>
                <w:color w:val="auto"/>
                <w:kern w:val="0"/>
                <w:sz w:val="24"/>
                <w:highlight w:val="none"/>
                <w:lang w:val="en-US" w:eastAsia="en-US"/>
              </w:rPr>
              <w:t>3.其它报价得分=评标基准价/响应报价（最后报价）*30 分，小数点后保留两位小数，第三位四舍五入；</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91" w:rightChars="38"/>
              <w:textAlignment w:val="auto"/>
              <w:outlineLvl w:val="9"/>
              <w:rPr>
                <w:rFonts w:hint="eastAsia" w:ascii="宋体" w:hAnsi="宋体" w:eastAsia="宋体" w:cs="宋体"/>
                <w:color w:val="auto"/>
                <w:kern w:val="0"/>
                <w:sz w:val="21"/>
                <w:szCs w:val="21"/>
                <w:highlight w:val="none"/>
                <w:lang w:val="en-US" w:eastAsia="en-US" w:bidi="ar-SA"/>
              </w:rPr>
            </w:pPr>
            <w:r>
              <w:rPr>
                <w:rFonts w:hint="eastAsia" w:ascii="宋体" w:hAnsi="宋体" w:cs="Times New Roman"/>
                <w:color w:val="auto"/>
                <w:kern w:val="0"/>
                <w:sz w:val="24"/>
                <w:highlight w:val="none"/>
                <w:lang w:val="en-US" w:eastAsia="en-US"/>
              </w:rPr>
              <w:t>4.本项分值由评审委员会负责组织计算。</w:t>
            </w:r>
            <w:r>
              <w:rPr>
                <w:rFonts w:hint="eastAsia" w:ascii="宋体" w:hAnsi="宋体" w:eastAsia="宋体" w:cs="宋体"/>
                <w:color w:val="auto"/>
                <w:kern w:val="0"/>
                <w:sz w:val="21"/>
                <w:szCs w:val="21"/>
                <w:highlight w:val="none"/>
                <w:lang w:val="en-US" w:eastAsia="zh-CN" w:bidi="ar"/>
              </w:rPr>
              <w:t xml:space="preserve"> </w:t>
            </w:r>
          </w:p>
        </w:tc>
      </w:tr>
    </w:tbl>
    <w:p>
      <w:pPr>
        <w:rPr>
          <w:rFonts w:hint="eastAsia" w:ascii="黑体" w:hAnsi="黑体" w:cs="黑体"/>
          <w:color w:val="auto"/>
          <w:sz w:val="21"/>
          <w:szCs w:val="21"/>
          <w:highlight w:val="none"/>
        </w:rPr>
      </w:pPr>
      <w:bookmarkStart w:id="639" w:name="_Toc95223429"/>
    </w:p>
    <w:p>
      <w:pPr>
        <w:pStyle w:val="27"/>
        <w:rPr>
          <w:rFonts w:hint="eastAsia"/>
          <w:highlight w:val="none"/>
        </w:rPr>
      </w:pP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1. 评标方法</w:t>
      </w:r>
      <w:bookmarkEnd w:id="639"/>
    </w:p>
    <w:p>
      <w:pPr>
        <w:adjustRightInd w:val="0"/>
        <w:snapToGrid w:val="0"/>
        <w:spacing w:line="56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应当不超过3名，并标明排序，但投标报价低于其成本的除外。如总得分相等，以投标报价低的优先，投标报价仍相等，由评标委员会主任委员或招标人随机抽取确定排名。</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40" w:name="_Toc95223430"/>
      <w:r>
        <w:rPr>
          <w:rFonts w:hint="eastAsia" w:ascii="黑体" w:hAnsi="黑体" w:cs="黑体"/>
          <w:color w:val="auto"/>
          <w:sz w:val="21"/>
          <w:szCs w:val="21"/>
          <w:highlight w:val="none"/>
        </w:rPr>
        <w:t>2.评标委员会的职责</w:t>
      </w:r>
      <w:bookmarkEnd w:id="640"/>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641"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3.评标程序</w:t>
      </w:r>
      <w:bookmarkEnd w:id="641"/>
    </w:p>
    <w:p>
      <w:pPr>
        <w:adjustRightInd w:val="0"/>
        <w:snapToGrid w:val="0"/>
        <w:spacing w:line="560" w:lineRule="exact"/>
        <w:ind w:firstLine="48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评标先做准备工作，再进行资格、技术标评审，然后进行商务标评审。</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42" w:name="_Toc95223432"/>
      <w:r>
        <w:rPr>
          <w:rFonts w:hint="eastAsia" w:ascii="黑体" w:hAnsi="黑体" w:cs="黑体"/>
          <w:color w:val="auto"/>
          <w:sz w:val="21"/>
          <w:szCs w:val="21"/>
          <w:highlight w:val="none"/>
        </w:rPr>
        <w:t>3.1评标准备工作</w:t>
      </w:r>
      <w:bookmarkEnd w:id="642"/>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43" w:name="_Toc95223433"/>
      <w:r>
        <w:rPr>
          <w:rFonts w:hint="eastAsia" w:ascii="黑体" w:hAnsi="黑体" w:cs="黑体"/>
          <w:color w:val="auto"/>
          <w:sz w:val="21"/>
          <w:szCs w:val="21"/>
          <w:highlight w:val="none"/>
        </w:rPr>
        <w:t>3.2技术标评审</w:t>
      </w:r>
      <w:bookmarkEnd w:id="643"/>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详见技术标评审表。</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44" w:name="_Toc95223434"/>
      <w:r>
        <w:rPr>
          <w:rFonts w:hint="eastAsia" w:ascii="黑体" w:hAnsi="黑体" w:cs="黑体"/>
          <w:color w:val="auto"/>
          <w:sz w:val="21"/>
          <w:szCs w:val="21"/>
          <w:highlight w:val="none"/>
        </w:rPr>
        <w:t>3.3商务标评审</w:t>
      </w:r>
      <w:bookmarkEnd w:id="644"/>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3.4推荐中标人</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资信评审、技术标评审、商务标评审后，推荐中标人，并标明排序。</w:t>
      </w:r>
    </w:p>
    <w:p>
      <w:pPr>
        <w:adjustRightInd w:val="0"/>
        <w:snapToGrid w:val="0"/>
        <w:spacing w:line="560" w:lineRule="exact"/>
        <w:ind w:firstLine="422" w:firstLineChars="200"/>
        <w:rPr>
          <w:rFonts w:hint="eastAsia" w:ascii="宋体" w:hAnsi="宋体" w:cs="宋体"/>
          <w:color w:val="auto"/>
          <w:szCs w:val="21"/>
          <w:highlight w:val="none"/>
        </w:rPr>
      </w:pPr>
      <w:r>
        <w:rPr>
          <w:rFonts w:hint="eastAsia" w:ascii="黑体" w:hAnsi="黑体" w:eastAsia="黑体" w:cs="黑体"/>
          <w:b/>
          <w:bCs/>
          <w:color w:val="auto"/>
          <w:sz w:val="21"/>
          <w:szCs w:val="21"/>
          <w:highlight w:val="none"/>
          <w:lang w:val="en-US" w:eastAsia="zh-CN" w:bidi="ar-SA"/>
        </w:rPr>
        <w:t>3.5</w:t>
      </w:r>
      <w:r>
        <w:rPr>
          <w:rFonts w:hint="eastAsia" w:ascii="宋体" w:hAnsi="宋体" w:cs="宋体"/>
          <w:color w:val="auto"/>
          <w:szCs w:val="21"/>
          <w:highlight w:val="none"/>
        </w:rPr>
        <w:t>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（3）工程量清单报价表中综合单价与工程量清单项目价格分析表相对应综合单价不一致时，以工程量清单项目价格分析表中标出的综合单价为准。</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45" w:name="_Toc95223438"/>
      <w:r>
        <w:rPr>
          <w:rFonts w:hint="eastAsia" w:ascii="黑体" w:hAnsi="黑体" w:cs="黑体"/>
          <w:color w:val="auto"/>
          <w:sz w:val="21"/>
          <w:szCs w:val="21"/>
          <w:highlight w:val="none"/>
          <w:lang w:val="en-US" w:eastAsia="zh-CN"/>
        </w:rPr>
        <w:t>4</w:t>
      </w:r>
      <w:r>
        <w:rPr>
          <w:rFonts w:hint="eastAsia" w:ascii="黑体" w:hAnsi="黑体" w:cs="黑体"/>
          <w:color w:val="auto"/>
          <w:sz w:val="21"/>
          <w:szCs w:val="21"/>
          <w:highlight w:val="none"/>
        </w:rPr>
        <w:t>.无效投标条款</w:t>
      </w:r>
      <w:bookmarkEnd w:id="645"/>
    </w:p>
    <w:p>
      <w:pPr>
        <w:adjustRightInd w:val="0"/>
        <w:snapToGrid w:val="0"/>
        <w:spacing w:line="560" w:lineRule="exact"/>
        <w:ind w:firstLine="480" w:firstLineChars="200"/>
        <w:rPr>
          <w:rFonts w:hint="eastAsia" w:ascii="宋体" w:hAnsi="宋体" w:cs="宋体"/>
          <w:color w:val="auto"/>
          <w:szCs w:val="21"/>
          <w:highlight w:val="none"/>
        </w:rPr>
      </w:pPr>
      <w:r>
        <w:rPr>
          <w:rFonts w:hint="eastAsia" w:hAnsi="宋体" w:cs="宋体"/>
          <w:color w:val="auto"/>
          <w:szCs w:val="21"/>
          <w:highlight w:val="none"/>
          <w:lang w:val="en-US" w:eastAsia="zh-CN"/>
        </w:rPr>
        <w:t>4</w:t>
      </w:r>
      <w:r>
        <w:rPr>
          <w:rFonts w:hint="eastAsia" w:ascii="宋体" w:hAnsi="宋体" w:cs="宋体"/>
          <w:color w:val="auto"/>
          <w:szCs w:val="21"/>
          <w:highlight w:val="none"/>
        </w:rPr>
        <w:t>.1投标人存在下列情形的招标人将拒收投标文件：</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未在投标截止时间前递交有效投标文件的，开标不予接收，投标将被拒绝。</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hAnsi="宋体" w:cs="宋体"/>
          <w:color w:val="auto"/>
          <w:szCs w:val="21"/>
          <w:highlight w:val="none"/>
          <w:lang w:val="en-US" w:eastAsia="zh-CN"/>
        </w:rPr>
        <w:t>4</w:t>
      </w:r>
      <w:r>
        <w:rPr>
          <w:rFonts w:hint="eastAsia" w:ascii="宋体" w:hAnsi="宋体" w:cs="宋体"/>
          <w:color w:val="auto"/>
          <w:szCs w:val="21"/>
          <w:highlight w:val="none"/>
        </w:rPr>
        <w:t>.2投标人有下列情形的，经评审后其投标作无效投标处理：</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评标委员会依据进行形式性评审和响应性评审。有一项不符合评审标准的，做无效投标处理；</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hAnsi="宋体" w:cs="宋体"/>
          <w:color w:val="auto"/>
          <w:szCs w:val="21"/>
          <w:highlight w:val="none"/>
          <w:lang w:val="en-US" w:eastAsia="zh-CN"/>
        </w:rPr>
        <w:t>4</w:t>
      </w:r>
      <w:r>
        <w:rPr>
          <w:rFonts w:hint="eastAsia" w:ascii="宋体" w:hAnsi="宋体" w:cs="宋体"/>
          <w:color w:val="auto"/>
          <w:szCs w:val="21"/>
          <w:highlight w:val="none"/>
        </w:rPr>
        <w:t>.3其他无效投标情况：</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hAnsi="宋体" w:cs="宋体"/>
          <w:color w:val="auto"/>
          <w:szCs w:val="21"/>
          <w:highlight w:val="none"/>
          <w:lang w:val="en-US" w:eastAsia="zh-CN"/>
        </w:rPr>
        <w:t>2</w:t>
      </w:r>
      <w:r>
        <w:rPr>
          <w:rFonts w:hint="eastAsia" w:ascii="宋体" w:hAnsi="宋体" w:cs="宋体"/>
          <w:color w:val="auto"/>
          <w:szCs w:val="21"/>
          <w:highlight w:val="none"/>
        </w:rPr>
        <w:t>）第二章“投标人须知”第1.4.3项规定的任何一种情形的。</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hAnsi="宋体" w:cs="宋体"/>
          <w:color w:val="auto"/>
          <w:szCs w:val="21"/>
          <w:highlight w:val="none"/>
          <w:lang w:val="en-US" w:eastAsia="zh-CN"/>
        </w:rPr>
        <w:t>3</w:t>
      </w:r>
      <w:r>
        <w:rPr>
          <w:rFonts w:hint="eastAsia" w:ascii="宋体" w:hAnsi="宋体" w:cs="宋体"/>
          <w:color w:val="auto"/>
          <w:szCs w:val="21"/>
          <w:highlight w:val="none"/>
        </w:rPr>
        <w:t>）投标人有串通投标、视为串通投标、弄虚作假、行贿等违法行为。</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pPr>
        <w:spacing w:line="560" w:lineRule="exact"/>
        <w:ind w:firstLine="48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hAnsi="宋体" w:cs="宋体"/>
          <w:color w:val="auto"/>
          <w:szCs w:val="21"/>
          <w:highlight w:val="none"/>
          <w:lang w:val="en-US" w:eastAsia="zh-CN"/>
        </w:rPr>
        <w:t>5</w:t>
      </w:r>
      <w:r>
        <w:rPr>
          <w:rFonts w:hint="eastAsia" w:ascii="宋体" w:hAnsi="宋体" w:cs="宋体"/>
          <w:color w:val="auto"/>
          <w:szCs w:val="21"/>
          <w:highlight w:val="none"/>
        </w:rPr>
        <w:t>）未按规定的格式填写导致实质性内容不全以及实质上不响应，或者关键字迹模糊、无法辨认</w:t>
      </w:r>
      <w:r>
        <w:rPr>
          <w:rFonts w:hint="eastAsia" w:hAnsi="宋体" w:cs="宋体"/>
          <w:color w:val="auto"/>
          <w:szCs w:val="21"/>
          <w:highlight w:val="none"/>
          <w:lang w:eastAsia="zh-CN"/>
        </w:rPr>
        <w:t>。</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hAnsi="宋体" w:cs="宋体"/>
          <w:color w:val="auto"/>
          <w:szCs w:val="21"/>
          <w:highlight w:val="none"/>
          <w:lang w:val="en-US" w:eastAsia="zh-CN"/>
        </w:rPr>
        <w:t>6</w:t>
      </w:r>
      <w:r>
        <w:rPr>
          <w:rFonts w:hint="eastAsia" w:ascii="宋体" w:hAnsi="宋体" w:cs="宋体"/>
          <w:color w:val="auto"/>
          <w:szCs w:val="21"/>
          <w:highlight w:val="none"/>
        </w:rPr>
        <w:t>）同一投标人提交两个以上不同的投标文件或者投标报价，但招标文件规定提交备选投标的除外。</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hAnsi="宋体" w:cs="宋体"/>
          <w:color w:val="auto"/>
          <w:szCs w:val="21"/>
          <w:highlight w:val="none"/>
          <w:lang w:val="en-US" w:eastAsia="zh-CN"/>
        </w:rPr>
        <w:t>7</w:t>
      </w:r>
      <w:r>
        <w:rPr>
          <w:rFonts w:hint="eastAsia" w:ascii="宋体" w:hAnsi="宋体" w:cs="宋体"/>
          <w:color w:val="auto"/>
          <w:szCs w:val="21"/>
          <w:highlight w:val="none"/>
        </w:rPr>
        <w:t>）投标文件中存在招标人不能接受的其他实质性条件。</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hAnsi="宋体" w:cs="宋体"/>
          <w:color w:val="auto"/>
          <w:szCs w:val="21"/>
          <w:highlight w:val="none"/>
          <w:lang w:val="en-US" w:eastAsia="zh-CN"/>
        </w:rPr>
        <w:t>8</w:t>
      </w:r>
      <w:r>
        <w:rPr>
          <w:rFonts w:hint="eastAsia" w:ascii="宋体" w:hAnsi="宋体" w:cs="宋体"/>
          <w:color w:val="auto"/>
          <w:szCs w:val="21"/>
          <w:highlight w:val="none"/>
        </w:rPr>
        <w:t>）投标文件中填报的拟任项目经理（建造师）与资格审查通过的项目经理（建造师）前后不一致的。</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hAnsi="宋体" w:cs="宋体"/>
          <w:color w:val="auto"/>
          <w:szCs w:val="21"/>
          <w:highlight w:val="none"/>
          <w:lang w:val="en-US" w:eastAsia="zh-CN"/>
        </w:rPr>
        <w:t>9</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（12）投标人单方面出现其他投标人材料。</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（15）投标人联系人或联系电话相同的。</w:t>
      </w:r>
    </w:p>
    <w:p>
      <w:pPr>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（16）法律、法规规定的其他情形。</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46" w:name="_Toc95223439"/>
      <w:r>
        <w:rPr>
          <w:rFonts w:hint="eastAsia" w:ascii="黑体" w:hAnsi="黑体" w:cs="黑体"/>
          <w:color w:val="auto"/>
          <w:sz w:val="21"/>
          <w:szCs w:val="21"/>
          <w:highlight w:val="none"/>
          <w:lang w:val="en-US" w:eastAsia="zh-CN"/>
        </w:rPr>
        <w:t>5</w:t>
      </w:r>
      <w:r>
        <w:rPr>
          <w:rFonts w:hint="eastAsia" w:ascii="黑体" w:hAnsi="黑体" w:cs="黑体"/>
          <w:color w:val="auto"/>
          <w:sz w:val="21"/>
          <w:szCs w:val="21"/>
          <w:highlight w:val="none"/>
        </w:rPr>
        <w:t>.投标文件的澄清和补正</w:t>
      </w:r>
      <w:bookmarkEnd w:id="646"/>
    </w:p>
    <w:p>
      <w:pPr>
        <w:adjustRightInd w:val="0"/>
        <w:snapToGrid w:val="0"/>
        <w:spacing w:line="560" w:lineRule="exact"/>
        <w:ind w:firstLine="480" w:firstLineChars="200"/>
        <w:rPr>
          <w:rFonts w:hint="eastAsia" w:ascii="宋体" w:hAnsi="宋体" w:cs="宋体"/>
          <w:color w:val="auto"/>
          <w:szCs w:val="21"/>
          <w:highlight w:val="none"/>
        </w:rPr>
      </w:pPr>
      <w:r>
        <w:rPr>
          <w:rFonts w:hint="eastAsia" w:hAnsi="宋体" w:cs="宋体"/>
          <w:color w:val="auto"/>
          <w:szCs w:val="21"/>
          <w:highlight w:val="none"/>
          <w:lang w:val="en-US" w:eastAsia="zh-CN"/>
        </w:rPr>
        <w:t>5</w:t>
      </w:r>
      <w:r>
        <w:rPr>
          <w:rFonts w:hint="eastAsia" w:ascii="宋体" w:hAnsi="宋体" w:cs="宋体"/>
          <w:color w:val="auto"/>
          <w:szCs w:val="21"/>
          <w:highlight w:val="none"/>
        </w:rPr>
        <w:t>.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hAnsi="宋体" w:cs="宋体"/>
          <w:color w:val="auto"/>
          <w:szCs w:val="21"/>
          <w:highlight w:val="none"/>
          <w:lang w:val="en-US" w:eastAsia="zh-CN"/>
        </w:rPr>
        <w:t>5</w:t>
      </w:r>
      <w:r>
        <w:rPr>
          <w:rFonts w:hint="eastAsia" w:ascii="宋体" w:hAnsi="宋体" w:cs="宋体"/>
          <w:color w:val="auto"/>
          <w:szCs w:val="21"/>
          <w:highlight w:val="none"/>
        </w:rPr>
        <w:t>.2澄清、说明和补正不得改变投标文件的实质性内容（算术性错误修正的除外）。投标人的书面澄清、说明和补正属于投标文件的组成部分。</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hAnsi="宋体" w:cs="宋体"/>
          <w:color w:val="auto"/>
          <w:szCs w:val="21"/>
          <w:highlight w:val="none"/>
          <w:lang w:val="en-US" w:eastAsia="zh-CN"/>
        </w:rPr>
        <w:t>5</w:t>
      </w:r>
      <w:r>
        <w:rPr>
          <w:rFonts w:hint="eastAsia" w:ascii="宋体" w:hAnsi="宋体" w:cs="宋体"/>
          <w:color w:val="auto"/>
          <w:szCs w:val="21"/>
          <w:highlight w:val="none"/>
        </w:rPr>
        <w:t>.3评标委员会对投标人提交的澄清、说明和补正有疑问的，可以要求投标人进一步澄清、说明或补正、直至满足评标委员会的要求。</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47" w:name="_Toc95223442"/>
      <w:r>
        <w:rPr>
          <w:rFonts w:hint="eastAsia" w:ascii="黑体" w:hAnsi="黑体" w:cs="黑体"/>
          <w:color w:val="auto"/>
          <w:sz w:val="21"/>
          <w:szCs w:val="21"/>
          <w:highlight w:val="none"/>
          <w:lang w:val="en-US" w:eastAsia="zh-CN"/>
        </w:rPr>
        <w:t>6</w:t>
      </w:r>
      <w:r>
        <w:rPr>
          <w:rFonts w:hint="eastAsia" w:ascii="黑体" w:hAnsi="黑体" w:cs="黑体"/>
          <w:color w:val="auto"/>
          <w:sz w:val="21"/>
          <w:szCs w:val="21"/>
          <w:highlight w:val="none"/>
        </w:rPr>
        <w:t>.其他</w:t>
      </w:r>
      <w:bookmarkEnd w:id="647"/>
    </w:p>
    <w:p>
      <w:pPr>
        <w:adjustRightInd w:val="0"/>
        <w:snapToGrid w:val="0"/>
        <w:spacing w:line="560" w:lineRule="exact"/>
        <w:ind w:firstLine="48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pPr>
        <w:pStyle w:val="36"/>
        <w:rPr>
          <w:rFonts w:hint="eastAsia"/>
          <w:color w:val="auto"/>
          <w:highlight w:val="none"/>
        </w:rPr>
      </w:pPr>
    </w:p>
    <w:p>
      <w:pPr>
        <w:pStyle w:val="3"/>
        <w:adjustRightInd w:val="0"/>
        <w:snapToGrid w:val="0"/>
        <w:spacing w:before="0" w:after="0" w:line="560" w:lineRule="exact"/>
        <w:jc w:val="both"/>
        <w:rPr>
          <w:rFonts w:hint="eastAsia"/>
          <w:color w:val="auto"/>
          <w:highlight w:val="none"/>
        </w:rPr>
      </w:pPr>
    </w:p>
    <w:p>
      <w:pPr>
        <w:pStyle w:val="3"/>
        <w:adjustRightInd w:val="0"/>
        <w:snapToGrid w:val="0"/>
        <w:spacing w:before="0" w:after="0" w:line="560" w:lineRule="exact"/>
        <w:jc w:val="center"/>
        <w:rPr>
          <w:rFonts w:hint="eastAsia"/>
          <w:color w:val="auto"/>
          <w:highlight w:val="none"/>
        </w:rPr>
      </w:pPr>
    </w:p>
    <w:p>
      <w:pPr>
        <w:pStyle w:val="3"/>
        <w:adjustRightInd w:val="0"/>
        <w:snapToGrid w:val="0"/>
        <w:spacing w:before="0" w:after="0" w:line="560" w:lineRule="exact"/>
        <w:jc w:val="center"/>
        <w:rPr>
          <w:rFonts w:hint="eastAsia"/>
          <w:color w:val="auto"/>
          <w:highlight w:val="none"/>
        </w:rPr>
      </w:pPr>
      <w:r>
        <w:rPr>
          <w:rFonts w:hint="eastAsia"/>
          <w:color w:val="auto"/>
          <w:highlight w:val="none"/>
        </w:rPr>
        <w:t>第五章 合同条款及格式</w:t>
      </w:r>
      <w:bookmarkEnd w:id="638"/>
    </w:p>
    <w:p>
      <w:pPr>
        <w:jc w:val="center"/>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r>
        <w:rPr>
          <w:rFonts w:hint="eastAsia" w:ascii="宋体" w:hAnsi="宋体" w:cs="宋体"/>
          <w:bCs/>
          <w:color w:val="auto"/>
          <w:sz w:val="32"/>
          <w:szCs w:val="32"/>
          <w:highlight w:val="none"/>
          <w:u w:val="single"/>
        </w:rPr>
        <w:t>（HT-YL- ）</w:t>
      </w:r>
    </w:p>
    <w:p>
      <w:pPr>
        <w:jc w:val="center"/>
        <w:rPr>
          <w:rFonts w:hint="eastAsia" w:ascii="宋体" w:hAnsi="宋体" w:cs="宋体"/>
          <w:b/>
          <w:color w:val="auto"/>
          <w:sz w:val="52"/>
          <w:szCs w:val="52"/>
          <w:highlight w:val="none"/>
        </w:rPr>
      </w:pPr>
    </w:p>
    <w:p>
      <w:pPr>
        <w:ind w:firstLine="1771" w:firstLineChars="245"/>
        <w:rPr>
          <w:rFonts w:hint="eastAsia" w:ascii="宋体" w:hAnsi="宋体" w:eastAsia="宋体" w:cs="宋体"/>
          <w:b/>
          <w:color w:val="auto"/>
          <w:sz w:val="72"/>
          <w:szCs w:val="52"/>
          <w:highlight w:val="none"/>
          <w:lang w:eastAsia="zh-CN"/>
        </w:rPr>
      </w:pPr>
      <w:r>
        <w:rPr>
          <w:rFonts w:hint="eastAsia" w:ascii="宋体" w:hAnsi="宋体" w:cs="宋体"/>
          <w:b/>
          <w:color w:val="auto"/>
          <w:sz w:val="72"/>
          <w:szCs w:val="52"/>
          <w:highlight w:val="none"/>
        </w:rPr>
        <w:t>建设工程施工合同</w:t>
      </w:r>
    </w:p>
    <w:p>
      <w:pPr>
        <w:ind w:firstLine="1279" w:firstLineChars="245"/>
        <w:rPr>
          <w:rFonts w:hint="eastAsia" w:ascii="宋体" w:hAnsi="宋体" w:cs="宋体"/>
          <w:b/>
          <w:color w:val="auto"/>
          <w:sz w:val="52"/>
          <w:szCs w:val="52"/>
          <w:highlight w:val="none"/>
        </w:rPr>
      </w:pPr>
      <w:r>
        <w:rPr>
          <w:rFonts w:hint="eastAsia" w:ascii="宋体" w:hAnsi="宋体" w:cs="宋体"/>
          <w:b/>
          <w:color w:val="auto"/>
          <w:sz w:val="52"/>
          <w:szCs w:val="52"/>
          <w:highlight w:val="none"/>
        </w:rPr>
        <w:t xml:space="preserve"> </w:t>
      </w:r>
    </w:p>
    <w:p>
      <w:pPr>
        <w:tabs>
          <w:tab w:val="left" w:pos="4140"/>
        </w:tabs>
        <w:spacing w:line="360" w:lineRule="auto"/>
        <w:ind w:right="235" w:rightChars="98"/>
        <w:jc w:val="center"/>
        <w:rPr>
          <w:rFonts w:hint="eastAsia" w:ascii="宋体" w:hAnsi="宋体"/>
          <w:color w:val="auto"/>
          <w:sz w:val="24"/>
          <w:highlight w:val="none"/>
        </w:rPr>
      </w:pPr>
      <w:r>
        <w:rPr>
          <w:rFonts w:hint="eastAsia" w:ascii="宋体" w:hAnsi="宋体" w:cs="宋体"/>
          <w:bCs/>
          <w:color w:val="auto"/>
          <w:sz w:val="24"/>
          <w:highlight w:val="none"/>
        </w:rPr>
        <w:t>（本合同模板仅供参考，具体事宜中标人须根据招标人需求在签订合同时另行协商）</w:t>
      </w:r>
    </w:p>
    <w:p>
      <w:pPr>
        <w:jc w:val="center"/>
        <w:rPr>
          <w:rFonts w:hint="eastAsia" w:ascii="宋体" w:hAnsi="宋体" w:cs="宋体"/>
          <w:b/>
          <w:color w:val="auto"/>
          <w:sz w:val="52"/>
          <w:szCs w:val="52"/>
          <w:highlight w:val="none"/>
        </w:rPr>
      </w:pPr>
    </w:p>
    <w:p>
      <w:pPr>
        <w:jc w:val="center"/>
        <w:rPr>
          <w:rFonts w:hint="eastAsia" w:ascii="宋体" w:hAnsi="宋体" w:cs="宋体"/>
          <w:b/>
          <w:color w:val="auto"/>
          <w:sz w:val="72"/>
          <w:szCs w:val="72"/>
          <w:highlight w:val="none"/>
        </w:rPr>
      </w:pPr>
    </w:p>
    <w:p>
      <w:pPr>
        <w:jc w:val="center"/>
        <w:rPr>
          <w:rFonts w:hint="eastAsia" w:ascii="宋体" w:hAnsi="宋体" w:cs="宋体"/>
          <w:b/>
          <w:color w:val="auto"/>
          <w:sz w:val="72"/>
          <w:szCs w:val="72"/>
          <w:highlight w:val="none"/>
        </w:rPr>
      </w:pPr>
    </w:p>
    <w:p>
      <w:pPr>
        <w:jc w:val="center"/>
        <w:rPr>
          <w:rFonts w:hint="eastAsia" w:ascii="宋体" w:hAnsi="宋体" w:cs="宋体"/>
          <w:b/>
          <w:color w:val="auto"/>
          <w:sz w:val="52"/>
          <w:szCs w:val="52"/>
          <w:highlight w:val="none"/>
        </w:rPr>
      </w:pPr>
    </w:p>
    <w:p>
      <w:pPr>
        <w:rPr>
          <w:rFonts w:hint="eastAsia" w:ascii="宋体" w:hAnsi="宋体" w:cs="宋体"/>
          <w:b/>
          <w:color w:val="auto"/>
          <w:sz w:val="28"/>
          <w:szCs w:val="28"/>
          <w:highlight w:val="none"/>
        </w:rPr>
      </w:pPr>
    </w:p>
    <w:p>
      <w:pPr>
        <w:rPr>
          <w:b/>
          <w:color w:val="auto"/>
          <w:sz w:val="28"/>
          <w:szCs w:val="28"/>
          <w:highlight w:val="none"/>
        </w:rPr>
      </w:pPr>
    </w:p>
    <w:p>
      <w:pPr>
        <w:rPr>
          <w:b/>
          <w:color w:val="auto"/>
          <w:sz w:val="28"/>
          <w:szCs w:val="28"/>
          <w:highlight w:val="none"/>
        </w:rPr>
      </w:pPr>
    </w:p>
    <w:p>
      <w:pPr>
        <w:jc w:val="center"/>
        <w:rPr>
          <w:b/>
          <w:color w:val="auto"/>
          <w:sz w:val="28"/>
          <w:szCs w:val="28"/>
          <w:highlight w:val="none"/>
        </w:rPr>
      </w:pPr>
    </w:p>
    <w:p>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8240"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354pt;margin-top:16.8pt;height:36pt;width:57pt;z-index:251658240;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7cypq2QAAAAoBAAAPAAAAAAAAAAEAIAAAACIAAABkcnMvZG93bnJldi54&#10;bWxQSwECFAAUAAAACACHTuJAU//UfvkBAADcAwAADgAAAAAAAAABACAAAAAoAQAAZHJzL2Uyb0Rv&#10;Yy54bWxQSwUGAAAAAAYABgBZAQAAkwU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pPr>
        <w:jc w:val="center"/>
        <w:rPr>
          <w:b/>
          <w:color w:val="auto"/>
          <w:sz w:val="32"/>
          <w:szCs w:val="28"/>
          <w:highlight w:val="none"/>
        </w:rPr>
      </w:pPr>
      <w:r>
        <w:rPr>
          <w:rFonts w:hint="eastAsia"/>
          <w:b/>
          <w:color w:val="auto"/>
          <w:sz w:val="32"/>
          <w:szCs w:val="28"/>
          <w:highlight w:val="none"/>
        </w:rPr>
        <w:t>国家工商行政管理总局</w:t>
      </w:r>
    </w:p>
    <w:p>
      <w:pPr>
        <w:spacing w:line="480" w:lineRule="exact"/>
        <w:rPr>
          <w:rFonts w:hint="eastAsia" w:ascii="仿宋_GB2312" w:eastAsia="仿宋_GB2312"/>
          <w:color w:val="auto"/>
          <w:szCs w:val="21"/>
          <w:highlight w:val="none"/>
          <w:u w:val="single"/>
        </w:rPr>
      </w:pPr>
    </w:p>
    <w:p>
      <w:pPr>
        <w:pStyle w:val="36"/>
        <w:rPr>
          <w:rFonts w:hint="eastAsia"/>
          <w:color w:val="auto"/>
          <w:highlight w:val="none"/>
        </w:rPr>
      </w:pPr>
    </w:p>
    <w:p>
      <w:pPr>
        <w:pStyle w:val="4"/>
        <w:jc w:val="center"/>
        <w:rPr>
          <w:rFonts w:hint="eastAsia" w:ascii="宋体" w:hAnsi="宋体" w:eastAsia="宋体" w:cs="宋体"/>
          <w:b w:val="0"/>
          <w:color w:val="auto"/>
          <w:highlight w:val="none"/>
        </w:rPr>
      </w:pPr>
      <w:r>
        <w:rPr>
          <w:rFonts w:hint="eastAsia" w:ascii="宋体" w:hAnsi="宋体" w:eastAsia="宋体" w:cs="宋体"/>
          <w:color w:val="auto"/>
          <w:highlight w:val="none"/>
        </w:rPr>
        <w:t>第一节 合同协议书</w:t>
      </w:r>
    </w:p>
    <w:p>
      <w:pPr>
        <w:spacing w:line="440" w:lineRule="exact"/>
        <w:ind w:firstLine="48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xml:space="preserve">                                    </w:t>
      </w:r>
    </w:p>
    <w:p>
      <w:pPr>
        <w:spacing w:line="440" w:lineRule="exact"/>
        <w:ind w:firstLine="48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根据《中华人民共和国合同法》、《中华人民共和国建筑法》及有关法律规定，遵循平等、自愿、公平和诚实信用的原则，双方就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工程施工及有关事项协商一致，共同达成如下协议：</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48" w:name="_Toc500174756"/>
      <w:bookmarkStart w:id="649" w:name="_Toc15472"/>
      <w:bookmarkStart w:id="650" w:name="_Toc503196146"/>
      <w:bookmarkStart w:id="651" w:name="_Toc20927"/>
      <w:r>
        <w:rPr>
          <w:rFonts w:hint="eastAsia" w:ascii="宋体" w:hAnsi="宋体" w:cs="宋体"/>
          <w:b w:val="0"/>
          <w:color w:val="auto"/>
          <w:sz w:val="21"/>
          <w:szCs w:val="21"/>
          <w:highlight w:val="none"/>
        </w:rPr>
        <w:t>一、工程概况</w:t>
      </w:r>
      <w:bookmarkEnd w:id="648"/>
      <w:bookmarkEnd w:id="649"/>
      <w:bookmarkEnd w:id="650"/>
      <w:bookmarkEnd w:id="651"/>
    </w:p>
    <w:p>
      <w:pPr>
        <w:spacing w:line="440" w:lineRule="exact"/>
        <w:ind w:firstLine="48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pPr>
        <w:spacing w:line="440" w:lineRule="exact"/>
        <w:ind w:firstLine="480" w:firstLineChars="200"/>
        <w:rPr>
          <w:rFonts w:hint="eastAsia" w:ascii="宋体" w:hAnsi="宋体" w:cs="宋体"/>
          <w:color w:val="auto"/>
          <w:szCs w:val="21"/>
          <w:highlight w:val="none"/>
        </w:rPr>
      </w:pPr>
      <w:r>
        <w:rPr>
          <w:rFonts w:hint="eastAsia" w:ascii="宋体" w:hAnsi="宋体" w:cs="宋体"/>
          <w:bCs/>
          <w:color w:val="auto"/>
          <w:szCs w:val="21"/>
          <w:highlight w:val="none"/>
        </w:rPr>
        <w:t>6.工程承包范围：</w:t>
      </w:r>
      <w:r>
        <w:rPr>
          <w:rFonts w:hint="eastAsia" w:ascii="宋体" w:hAnsi="宋体" w:cs="宋体"/>
          <w:color w:val="auto"/>
          <w:szCs w:val="21"/>
          <w:highlight w:val="none"/>
          <w:u w:val="single"/>
        </w:rPr>
        <w:t xml:space="preserve">  本工程施工图纸中的所有内容        </w:t>
      </w:r>
      <w:r>
        <w:rPr>
          <w:rFonts w:hint="eastAsia" w:ascii="宋体" w:hAnsi="宋体" w:cs="宋体"/>
          <w:color w:val="auto"/>
          <w:szCs w:val="21"/>
          <w:highlight w:val="none"/>
        </w:rPr>
        <w:t>。</w:t>
      </w:r>
    </w:p>
    <w:p>
      <w:pPr>
        <w:pStyle w:val="6"/>
        <w:spacing w:before="0" w:after="0" w:line="440" w:lineRule="exact"/>
        <w:ind w:firstLine="420" w:firstLineChars="200"/>
        <w:rPr>
          <w:rFonts w:hint="eastAsia" w:ascii="宋体" w:hAnsi="宋体" w:cs="宋体"/>
          <w:b w:val="0"/>
          <w:color w:val="auto"/>
          <w:sz w:val="21"/>
          <w:szCs w:val="21"/>
          <w:highlight w:val="none"/>
        </w:rPr>
      </w:pPr>
      <w:bookmarkStart w:id="652" w:name="_Toc500174757"/>
      <w:bookmarkStart w:id="653" w:name="_Toc3517"/>
      <w:bookmarkStart w:id="654" w:name="_Toc10272"/>
      <w:bookmarkStart w:id="655" w:name="_Toc503196147"/>
      <w:r>
        <w:rPr>
          <w:rFonts w:hint="eastAsia" w:ascii="宋体" w:hAnsi="宋体" w:cs="宋体"/>
          <w:b w:val="0"/>
          <w:color w:val="auto"/>
          <w:sz w:val="21"/>
          <w:szCs w:val="21"/>
          <w:highlight w:val="none"/>
        </w:rPr>
        <w:t>二、合同工期</w:t>
      </w:r>
      <w:bookmarkEnd w:id="652"/>
      <w:bookmarkEnd w:id="653"/>
      <w:bookmarkEnd w:id="654"/>
      <w:bookmarkEnd w:id="655"/>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天。工期总日历天数与根据前述计划开竣工日期计算的工期天数不一致的，以工期总日历天数为准。</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56" w:name="_Toc19932"/>
      <w:bookmarkStart w:id="657" w:name="_Toc8246"/>
      <w:bookmarkStart w:id="658" w:name="_Toc500174758"/>
      <w:bookmarkStart w:id="659" w:name="_Toc503196148"/>
      <w:r>
        <w:rPr>
          <w:rFonts w:hint="eastAsia" w:ascii="宋体" w:hAnsi="宋体" w:cs="宋体"/>
          <w:b w:val="0"/>
          <w:color w:val="auto"/>
          <w:sz w:val="21"/>
          <w:szCs w:val="21"/>
          <w:highlight w:val="none"/>
        </w:rPr>
        <w:t>三、质量标准</w:t>
      </w:r>
      <w:bookmarkEnd w:id="656"/>
      <w:bookmarkEnd w:id="657"/>
      <w:bookmarkEnd w:id="658"/>
      <w:bookmarkEnd w:id="659"/>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标准。</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60" w:name="_Toc29282"/>
      <w:bookmarkStart w:id="661" w:name="_Toc503196149"/>
      <w:bookmarkStart w:id="662" w:name="_Toc3696"/>
      <w:bookmarkStart w:id="663" w:name="_Toc500174759"/>
      <w:r>
        <w:rPr>
          <w:rFonts w:hint="eastAsia" w:ascii="宋体" w:hAnsi="宋体" w:cs="宋体"/>
          <w:b w:val="0"/>
          <w:color w:val="auto"/>
          <w:sz w:val="21"/>
          <w:szCs w:val="21"/>
          <w:highlight w:val="none"/>
        </w:rPr>
        <w:t>四、签约合同价与合同价格形式</w:t>
      </w:r>
      <w:bookmarkEnd w:id="660"/>
      <w:bookmarkEnd w:id="661"/>
      <w:bookmarkEnd w:id="662"/>
      <w:bookmarkEnd w:id="663"/>
      <w:r>
        <w:rPr>
          <w:rFonts w:hint="eastAsia" w:ascii="宋体" w:hAnsi="宋体" w:cs="宋体"/>
          <w:b w:val="0"/>
          <w:color w:val="auto"/>
          <w:sz w:val="21"/>
          <w:szCs w:val="21"/>
          <w:highlight w:val="none"/>
        </w:rPr>
        <w:tab/>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1.签约合同价为：</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元,其中含暂列金额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（1）安全文明施工费：</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（2）材料和工程设备暂估价金额：</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（3）专业工程暂估价金额：</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（4）暂列金额：</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pStyle w:val="6"/>
        <w:spacing w:before="0" w:after="0" w:line="440" w:lineRule="exact"/>
        <w:ind w:firstLine="420" w:firstLineChars="200"/>
        <w:rPr>
          <w:rFonts w:hint="eastAsia" w:ascii="宋体" w:hAnsi="宋体" w:cs="宋体"/>
          <w:b w:val="0"/>
          <w:color w:val="auto"/>
          <w:sz w:val="21"/>
          <w:szCs w:val="21"/>
          <w:highlight w:val="none"/>
        </w:rPr>
      </w:pPr>
      <w:bookmarkStart w:id="664" w:name="_Toc13005"/>
      <w:bookmarkStart w:id="665" w:name="_Toc500174760"/>
      <w:bookmarkStart w:id="666" w:name="_Toc2117"/>
      <w:bookmarkStart w:id="667" w:name="_Toc503196150"/>
      <w:r>
        <w:rPr>
          <w:rFonts w:hint="eastAsia" w:ascii="宋体" w:hAnsi="宋体" w:cs="宋体"/>
          <w:b w:val="0"/>
          <w:color w:val="auto"/>
          <w:sz w:val="21"/>
          <w:szCs w:val="21"/>
          <w:highlight w:val="none"/>
        </w:rPr>
        <w:t>五、项目负责人（建造师）</w:t>
      </w:r>
      <w:bookmarkEnd w:id="664"/>
      <w:bookmarkEnd w:id="665"/>
      <w:bookmarkEnd w:id="666"/>
      <w:bookmarkEnd w:id="667"/>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承包人项目负责人（建造师）：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68" w:name="_Toc500174761"/>
      <w:bookmarkStart w:id="669" w:name="_Toc26073"/>
      <w:bookmarkStart w:id="670" w:name="_Toc24862"/>
      <w:bookmarkStart w:id="671" w:name="_Toc503196151"/>
      <w:r>
        <w:rPr>
          <w:rFonts w:hint="eastAsia" w:ascii="宋体" w:hAnsi="宋体" w:cs="宋体"/>
          <w:b w:val="0"/>
          <w:color w:val="auto"/>
          <w:sz w:val="21"/>
          <w:szCs w:val="21"/>
          <w:highlight w:val="none"/>
        </w:rPr>
        <w:t>六、合同文件构成</w:t>
      </w:r>
      <w:bookmarkEnd w:id="668"/>
      <w:bookmarkEnd w:id="669"/>
      <w:bookmarkEnd w:id="670"/>
      <w:bookmarkEnd w:id="671"/>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（6）设计方案及图纸；</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autoSpaceDE w:val="0"/>
        <w:autoSpaceDN w:val="0"/>
        <w:adjustRightInd w:val="0"/>
        <w:spacing w:line="44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0" w:after="0" w:line="440" w:lineRule="exact"/>
        <w:ind w:firstLine="420" w:firstLineChars="200"/>
        <w:rPr>
          <w:rFonts w:hint="eastAsia" w:ascii="宋体" w:hAnsi="宋体" w:cs="宋体"/>
          <w:b w:val="0"/>
          <w:bCs w:val="0"/>
          <w:color w:val="auto"/>
          <w:sz w:val="21"/>
          <w:szCs w:val="21"/>
          <w:highlight w:val="none"/>
        </w:rPr>
      </w:pPr>
      <w:bookmarkStart w:id="672" w:name="_Toc23265"/>
      <w:bookmarkStart w:id="673" w:name="_Toc503196152"/>
      <w:bookmarkStart w:id="674" w:name="_Toc25110"/>
      <w:bookmarkStart w:id="675" w:name="_Toc500174762"/>
      <w:r>
        <w:rPr>
          <w:rFonts w:hint="eastAsia" w:ascii="宋体" w:hAnsi="宋体" w:cs="宋体"/>
          <w:b w:val="0"/>
          <w:color w:val="auto"/>
          <w:sz w:val="21"/>
          <w:szCs w:val="21"/>
          <w:highlight w:val="none"/>
        </w:rPr>
        <w:t>七、承诺</w:t>
      </w:r>
      <w:bookmarkEnd w:id="672"/>
      <w:bookmarkEnd w:id="673"/>
      <w:bookmarkEnd w:id="674"/>
      <w:bookmarkEnd w:id="675"/>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pPr>
        <w:spacing w:line="440" w:lineRule="exact"/>
        <w:ind w:firstLine="48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    八、词语含义</w:t>
      </w:r>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76" w:name="_Toc500174763"/>
      <w:bookmarkStart w:id="677" w:name="_Toc6825"/>
      <w:bookmarkStart w:id="678" w:name="_Toc503196153"/>
      <w:bookmarkStart w:id="679" w:name="_Toc5731"/>
      <w:r>
        <w:rPr>
          <w:rFonts w:hint="eastAsia" w:ascii="宋体" w:hAnsi="宋体" w:cs="宋体"/>
          <w:b w:val="0"/>
          <w:color w:val="auto"/>
          <w:sz w:val="21"/>
          <w:szCs w:val="21"/>
          <w:highlight w:val="none"/>
        </w:rPr>
        <w:t>九、签订时间</w:t>
      </w:r>
      <w:bookmarkEnd w:id="676"/>
      <w:bookmarkEnd w:id="677"/>
      <w:bookmarkEnd w:id="678"/>
      <w:bookmarkEnd w:id="679"/>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80" w:name="_Toc25230"/>
      <w:bookmarkStart w:id="681" w:name="_Toc503196154"/>
      <w:bookmarkStart w:id="682" w:name="_Toc1694"/>
      <w:bookmarkStart w:id="683" w:name="_Toc500174764"/>
      <w:r>
        <w:rPr>
          <w:rFonts w:hint="eastAsia" w:ascii="宋体" w:hAnsi="宋体" w:cs="宋体"/>
          <w:b w:val="0"/>
          <w:color w:val="auto"/>
          <w:sz w:val="21"/>
          <w:szCs w:val="21"/>
          <w:highlight w:val="none"/>
        </w:rPr>
        <w:t>十、签订地点</w:t>
      </w:r>
      <w:bookmarkEnd w:id="680"/>
      <w:bookmarkEnd w:id="681"/>
      <w:bookmarkEnd w:id="682"/>
      <w:bookmarkEnd w:id="683"/>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84" w:name="_Toc503196155"/>
      <w:bookmarkStart w:id="685" w:name="_Toc13812"/>
      <w:bookmarkStart w:id="686" w:name="_Toc2517"/>
      <w:bookmarkStart w:id="687" w:name="_Toc500174765"/>
      <w:r>
        <w:rPr>
          <w:rFonts w:hint="eastAsia" w:ascii="宋体" w:hAnsi="宋体" w:cs="宋体"/>
          <w:b w:val="0"/>
          <w:color w:val="auto"/>
          <w:sz w:val="21"/>
          <w:szCs w:val="21"/>
          <w:highlight w:val="none"/>
        </w:rPr>
        <w:t>十一、补充协议</w:t>
      </w:r>
      <w:bookmarkEnd w:id="684"/>
      <w:bookmarkEnd w:id="685"/>
      <w:bookmarkEnd w:id="686"/>
      <w:bookmarkEnd w:id="687"/>
    </w:p>
    <w:p>
      <w:pPr>
        <w:spacing w:line="440" w:lineRule="exact"/>
        <w:ind w:firstLine="48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88" w:name="_Toc6408"/>
      <w:bookmarkStart w:id="689" w:name="_Toc29072"/>
      <w:bookmarkStart w:id="690" w:name="_Toc500174766"/>
      <w:bookmarkStart w:id="691" w:name="_Toc503196156"/>
      <w:r>
        <w:rPr>
          <w:rFonts w:hint="eastAsia" w:ascii="宋体" w:hAnsi="宋体" w:cs="宋体"/>
          <w:b w:val="0"/>
          <w:color w:val="auto"/>
          <w:sz w:val="21"/>
          <w:szCs w:val="21"/>
          <w:highlight w:val="none"/>
        </w:rPr>
        <w:t>十二、合同生效</w:t>
      </w:r>
      <w:bookmarkEnd w:id="688"/>
      <w:bookmarkEnd w:id="689"/>
      <w:bookmarkEnd w:id="690"/>
      <w:bookmarkEnd w:id="691"/>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签字、盖章</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pPr>
        <w:pStyle w:val="6"/>
        <w:spacing w:before="0" w:after="0" w:line="440" w:lineRule="exact"/>
        <w:ind w:firstLine="420" w:firstLineChars="200"/>
        <w:rPr>
          <w:rFonts w:hint="eastAsia" w:ascii="宋体" w:hAnsi="宋体" w:cs="宋体"/>
          <w:bCs w:val="0"/>
          <w:color w:val="auto"/>
          <w:sz w:val="21"/>
          <w:szCs w:val="21"/>
          <w:highlight w:val="none"/>
        </w:rPr>
      </w:pPr>
      <w:bookmarkStart w:id="692" w:name="_Toc500174767"/>
      <w:bookmarkStart w:id="693" w:name="_Toc5765"/>
      <w:bookmarkStart w:id="694" w:name="_Toc503196157"/>
      <w:bookmarkStart w:id="695" w:name="_Toc17624"/>
      <w:r>
        <w:rPr>
          <w:rFonts w:hint="eastAsia" w:ascii="宋体" w:hAnsi="宋体" w:cs="宋体"/>
          <w:b w:val="0"/>
          <w:color w:val="auto"/>
          <w:sz w:val="21"/>
          <w:szCs w:val="21"/>
          <w:highlight w:val="none"/>
        </w:rPr>
        <w:t>十三、合同份数</w:t>
      </w:r>
      <w:bookmarkEnd w:id="692"/>
      <w:bookmarkEnd w:id="693"/>
      <w:bookmarkEnd w:id="694"/>
      <w:bookmarkEnd w:id="695"/>
    </w:p>
    <w:p>
      <w:pPr>
        <w:spacing w:line="44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陆</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hAnsi="宋体" w:cs="宋体"/>
          <w:bCs/>
          <w:color w:val="auto"/>
          <w:szCs w:val="21"/>
          <w:highlight w:val="none"/>
          <w:u w:val="single"/>
          <w:lang w:val="en-US" w:eastAsia="zh-CN"/>
        </w:rPr>
        <w:t>肆</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hAnsi="宋体" w:cs="宋体"/>
          <w:bCs/>
          <w:color w:val="auto"/>
          <w:szCs w:val="21"/>
          <w:highlight w:val="none"/>
          <w:u w:val="single"/>
          <w:lang w:val="en-US" w:eastAsia="zh-CN"/>
        </w:rPr>
        <w:t>贰</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pPr>
        <w:spacing w:line="440" w:lineRule="exact"/>
        <w:rPr>
          <w:rFonts w:hint="eastAsia" w:ascii="宋体" w:hAnsi="宋体" w:cs="宋体"/>
          <w:bCs/>
          <w:color w:val="auto"/>
          <w:szCs w:val="21"/>
          <w:highlight w:val="none"/>
        </w:rPr>
      </w:pP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发包人：  (公章)                      承包人：  (公章)</w:t>
      </w:r>
    </w:p>
    <w:p>
      <w:pPr>
        <w:spacing w:line="44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（签字）                             （签字）</w:t>
      </w:r>
    </w:p>
    <w:p>
      <w:pPr>
        <w:spacing w:line="440" w:lineRule="exact"/>
        <w:ind w:firstLine="480" w:firstLineChars="200"/>
        <w:rPr>
          <w:rFonts w:hint="eastAsia" w:ascii="宋体" w:hAnsi="宋体" w:cs="宋体"/>
          <w:color w:val="auto"/>
          <w:szCs w:val="21"/>
          <w:highlight w:val="none"/>
          <w:u w:val="single"/>
        </w:rPr>
      </w:pPr>
    </w:p>
    <w:p>
      <w:pPr>
        <w:tabs>
          <w:tab w:val="left" w:pos="4410"/>
        </w:tabs>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spacing w:line="44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spacing w:line="440" w:lineRule="exact"/>
        <w:ind w:firstLine="5040" w:firstLineChars="21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rPr>
          <w:rFonts w:hint="eastAsia" w:ascii="宋体" w:hAnsi="宋体" w:cs="宋体"/>
          <w:color w:val="auto"/>
          <w:highlight w:val="none"/>
        </w:rPr>
      </w:pPr>
    </w:p>
    <w:p>
      <w:pPr>
        <w:rPr>
          <w:rFonts w:hint="eastAsia" w:ascii="宋体" w:hAnsi="宋体" w:cs="宋体"/>
          <w:color w:val="auto"/>
          <w:highlight w:val="none"/>
        </w:rPr>
      </w:pPr>
    </w:p>
    <w:p>
      <w:pPr>
        <w:pStyle w:val="4"/>
        <w:jc w:val="center"/>
        <w:rPr>
          <w:rFonts w:hint="eastAsia" w:ascii="宋体" w:hAnsi="宋体" w:eastAsia="宋体" w:cs="宋体"/>
          <w:color w:val="auto"/>
          <w:highlight w:val="none"/>
        </w:rPr>
      </w:pPr>
      <w:bookmarkStart w:id="696" w:name="_Toc503196158"/>
      <w:bookmarkStart w:id="697" w:name="_Toc11840"/>
      <w:bookmarkStart w:id="698" w:name="_Toc20443"/>
      <w:bookmarkStart w:id="699" w:name="_Toc25324"/>
      <w:bookmarkStart w:id="700" w:name="_Toc17048"/>
      <w:bookmarkStart w:id="701" w:name="_Toc10391"/>
      <w:bookmarkStart w:id="702" w:name="_Toc500174768"/>
      <w:bookmarkStart w:id="703" w:name="_Toc11256"/>
      <w:bookmarkStart w:id="704" w:name="_Toc32029"/>
      <w:bookmarkStart w:id="705" w:name="_Toc8138273"/>
      <w:r>
        <w:rPr>
          <w:rFonts w:hint="eastAsia" w:ascii="宋体" w:hAnsi="宋体" w:eastAsia="宋体" w:cs="宋体"/>
          <w:color w:val="auto"/>
          <w:highlight w:val="none"/>
        </w:rPr>
        <w:t>第二节 通用合同条款</w:t>
      </w:r>
      <w:bookmarkEnd w:id="696"/>
      <w:bookmarkEnd w:id="697"/>
      <w:bookmarkEnd w:id="698"/>
      <w:bookmarkEnd w:id="699"/>
      <w:bookmarkEnd w:id="700"/>
      <w:bookmarkEnd w:id="701"/>
      <w:bookmarkEnd w:id="702"/>
      <w:bookmarkEnd w:id="703"/>
      <w:bookmarkEnd w:id="704"/>
      <w:bookmarkEnd w:id="705"/>
    </w:p>
    <w:p>
      <w:pPr>
        <w:spacing w:line="440" w:lineRule="exact"/>
        <w:ind w:firstLine="480" w:firstLineChars="200"/>
        <w:rPr>
          <w:rFonts w:hint="eastAsia" w:ascii="宋体" w:hAnsi="宋体" w:cs="宋体"/>
          <w:color w:val="auto"/>
          <w:highlight w:val="none"/>
        </w:rPr>
      </w:pPr>
      <w:bookmarkStart w:id="706" w:name="_Toc6831"/>
      <w:bookmarkStart w:id="707" w:name="_Toc500174769"/>
      <w:r>
        <w:rPr>
          <w:rFonts w:hint="eastAsia" w:ascii="宋体" w:hAnsi="宋体" w:cs="宋体"/>
          <w:color w:val="auto"/>
          <w:highlight w:val="none"/>
        </w:rPr>
        <w:t>使用住房城乡建设部、国家工商行政管理局2017年9月22日联合印发的《建设工程施工合同（GF-2017-0201示范文本）》第二部分通用条款。</w:t>
      </w:r>
    </w:p>
    <w:p>
      <w:pPr>
        <w:pStyle w:val="4"/>
        <w:jc w:val="center"/>
        <w:rPr>
          <w:rFonts w:hint="eastAsia" w:ascii="宋体" w:hAnsi="宋体" w:eastAsia="宋体" w:cs="宋体"/>
          <w:color w:val="auto"/>
          <w:highlight w:val="none"/>
        </w:rPr>
      </w:pPr>
      <w:bookmarkStart w:id="708" w:name="_Toc19325"/>
      <w:bookmarkStart w:id="709" w:name="_Toc16945"/>
      <w:bookmarkStart w:id="710" w:name="_Toc8690"/>
      <w:bookmarkStart w:id="711" w:name="_Toc12512"/>
      <w:bookmarkStart w:id="712" w:name="_Toc21068"/>
      <w:bookmarkStart w:id="713" w:name="_Toc4355"/>
      <w:bookmarkStart w:id="714" w:name="_Toc8138274"/>
      <w:bookmarkStart w:id="715" w:name="_Toc503196159"/>
      <w:r>
        <w:rPr>
          <w:rFonts w:hint="eastAsia" w:ascii="宋体" w:hAnsi="宋体" w:eastAsia="宋体" w:cs="宋体"/>
          <w:color w:val="auto"/>
          <w:highlight w:val="none"/>
        </w:rPr>
        <w:t>第三节 专用合同条款</w:t>
      </w:r>
      <w:bookmarkEnd w:id="706"/>
      <w:bookmarkEnd w:id="707"/>
      <w:bookmarkEnd w:id="708"/>
      <w:bookmarkEnd w:id="709"/>
      <w:bookmarkEnd w:id="710"/>
      <w:bookmarkEnd w:id="711"/>
      <w:bookmarkEnd w:id="712"/>
      <w:bookmarkEnd w:id="713"/>
      <w:bookmarkEnd w:id="714"/>
      <w:bookmarkEnd w:id="715"/>
    </w:p>
    <w:p>
      <w:pPr>
        <w:spacing w:line="400" w:lineRule="exact"/>
        <w:ind w:firstLine="480" w:firstLineChars="200"/>
        <w:rPr>
          <w:rFonts w:hint="eastAsia" w:ascii="宋体" w:hAnsi="宋体" w:cs="宋体"/>
          <w:color w:val="auto"/>
          <w:highlight w:val="none"/>
        </w:rPr>
      </w:pPr>
      <w:bookmarkStart w:id="716" w:name="_Toc18252"/>
      <w:bookmarkStart w:id="717" w:name="_Toc500174770"/>
      <w:r>
        <w:rPr>
          <w:rFonts w:hint="eastAsia" w:ascii="宋体" w:hAnsi="宋体" w:cs="宋体"/>
          <w:color w:val="auto"/>
          <w:highlight w:val="none"/>
        </w:rPr>
        <w:t>使用住房城乡建设部、国家工商行政管理局2017年9月22日联合印发的《建设工程施工合同（GF-2017-0201示范文本）》第三部分通用条款。</w:t>
      </w:r>
    </w:p>
    <w:p>
      <w:pPr>
        <w:pStyle w:val="6"/>
        <w:spacing w:before="0" w:after="0" w:line="400" w:lineRule="exact"/>
        <w:ind w:firstLine="420" w:firstLineChars="200"/>
        <w:rPr>
          <w:rFonts w:hint="eastAsia" w:ascii="宋体" w:hAnsi="宋体" w:cs="宋体"/>
          <w:b w:val="0"/>
          <w:color w:val="auto"/>
          <w:sz w:val="21"/>
          <w:szCs w:val="21"/>
          <w:highlight w:val="none"/>
        </w:rPr>
      </w:pPr>
      <w:bookmarkStart w:id="718" w:name="_Toc4582"/>
      <w:bookmarkStart w:id="719" w:name="_Toc503196160"/>
      <w:r>
        <w:rPr>
          <w:rFonts w:hint="eastAsia" w:ascii="宋体" w:hAnsi="宋体" w:cs="宋体"/>
          <w:b w:val="0"/>
          <w:color w:val="auto"/>
          <w:sz w:val="21"/>
          <w:szCs w:val="21"/>
          <w:highlight w:val="none"/>
        </w:rPr>
        <w:t>1. 一般约定</w:t>
      </w:r>
      <w:bookmarkEnd w:id="716"/>
      <w:bookmarkEnd w:id="717"/>
      <w:bookmarkEnd w:id="718"/>
      <w:bookmarkEnd w:id="719"/>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 词语定义</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1.1.1合同</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1.1.1.10其他合同文件包括：</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1.1.2 合同当事人及其他相关方</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1.1.2.4监理人</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如有</w:t>
      </w:r>
      <w:r>
        <w:rPr>
          <w:rFonts w:hint="eastAsia" w:hAnsi="宋体" w:cs="宋体"/>
          <w:color w:val="auto"/>
          <w:szCs w:val="21"/>
          <w:highlight w:val="none"/>
          <w:lang w:eastAsia="zh-CN"/>
        </w:rPr>
        <w:t>）</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1.1.2.5 设计人：</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1.1.3.7 作为施工现场组成部分的其他场所包括：</w:t>
      </w:r>
      <w:r>
        <w:rPr>
          <w:rFonts w:hint="eastAsia" w:ascii="宋体" w:hAnsi="宋体" w:cs="宋体"/>
          <w:color w:val="auto"/>
          <w:szCs w:val="21"/>
          <w:highlight w:val="none"/>
          <w:u w:val="single"/>
        </w:rPr>
        <w:t xml:space="preserve">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1.1.3.9永久占地包括：</w:t>
      </w:r>
      <w:r>
        <w:rPr>
          <w:rFonts w:hint="eastAsia" w:ascii="宋体" w:hAnsi="宋体" w:cs="宋体"/>
          <w:color w:val="auto"/>
          <w:szCs w:val="21"/>
          <w:highlight w:val="none"/>
          <w:u w:val="single"/>
        </w:rPr>
        <w:t xml:space="preserve">                       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1.3法律 </w:t>
      </w:r>
    </w:p>
    <w:p>
      <w:pPr>
        <w:autoSpaceDE w:val="0"/>
        <w:autoSpaceDN w:val="0"/>
        <w:adjustRightInd w:val="0"/>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中华人民共和国建设部颁发的现行的有关标准、规范及省、市有关规定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1.4标准和规范</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1.4.1适用于工程的标准规范包括：</w:t>
      </w:r>
      <w:r>
        <w:rPr>
          <w:rFonts w:hint="eastAsia" w:ascii="宋体" w:hAnsi="宋体" w:cs="宋体"/>
          <w:color w:val="auto"/>
          <w:szCs w:val="21"/>
          <w:highlight w:val="none"/>
          <w:u w:val="single"/>
        </w:rPr>
        <w:t>中华人民共和国建设部颁发的现行的有关标准、规范及省、市有关规定</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1.4.2 发包人提供国外标准、规范的名称：</w:t>
      </w:r>
      <w:r>
        <w:rPr>
          <w:rFonts w:hint="eastAsia" w:ascii="宋体" w:hAnsi="宋体" w:cs="宋体"/>
          <w:color w:val="auto"/>
          <w:kern w:val="0"/>
          <w:szCs w:val="21"/>
          <w:highlight w:val="none"/>
          <w:u w:val="single"/>
        </w:rPr>
        <w:t xml:space="preserve">                 </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rPr>
        <w:t xml:space="preserve"> 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1.5 合同文件的优先顺序</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执行通用条款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1.6 图纸和承包人文件</w:t>
      </w:r>
      <w:r>
        <w:rPr>
          <w:rFonts w:hint="eastAsia" w:ascii="宋体" w:hAnsi="宋体" w:cs="宋体"/>
          <w:color w:val="auto"/>
          <w:szCs w:val="21"/>
          <w:highlight w:val="none"/>
        </w:rPr>
        <w:tab/>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1.6.1 图纸的提供</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1.6.4承包人文件</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1.7 联络</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3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        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1.10 交通运输</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1.10.1 出入现场的权利</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罚款的，由承包人承担。</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施工前应开设1-2个固定施工通道，通道位置由发包人和承包人现场共同确认，确定后不得移动并采取有效硬化措施。不得损坏道路路面路侧石、人行道板、雨水井、雨水篦、绿化带、通信光缆、燃气管道、供电等公共设施，如因工程需要，确需损坏少量公共设施的，施工方应办理相关手续，在完工后必须恢复原状或按照有关部门核定的价格赔偿。以上均为工程验收内容，若施工方有损毁不及时修复，发包人有权委托其他施工方进行维修，发生的费用从承包人工程款中直接扣除，并在每阶段付款节点顺延六个月支付。施工过程中，应办理渣土运输证件，保持开发区道路清洁，如有抛撒滴漏，应及时清扫。否则发包人对承包人进行处罚。施工方应确保施工安全,若施工过程中出现工伤事故及由此产生的所有经济赔偿由施工方负责,与发包人无关。</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在本工程施工期间，施工单位使用的运输车辆须满足公安、市容城管、交通管理部门等的规定并按要求依法遵照有关规定办理运输许可证，严禁使用无牌无证车辆进行施工，若因以上原因造成的各种行政罚款等费用，由施工单位自行承担，发包人不具有协调等责任义务。如由此造成影响导致业主声誉受损，发包人将向承包人收取违约金5000元/次。</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1.10.3场内交通</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 xml:space="preserve">  。</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1.10.4超大件和超重件的运输</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承包方          </w:t>
      </w:r>
      <w:r>
        <w:rPr>
          <w:rFonts w:hint="eastAsia" w:ascii="宋体" w:hAnsi="宋体" w:cs="宋体"/>
          <w:color w:val="auto"/>
          <w:szCs w:val="21"/>
          <w:highlight w:val="none"/>
        </w:rPr>
        <w:t>承担。</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1.11 知识产权</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发包人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未经发包人同意不得复制，不得向承包人以外的人员泄漏有关图纸内容，工程竣工后，原图全部收回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pPr>
        <w:spacing w:line="400" w:lineRule="exact"/>
        <w:ind w:firstLine="480" w:firstLineChars="200"/>
        <w:rPr>
          <w:rFonts w:hint="eastAsia" w:ascii="宋体" w:hAnsi="宋体" w:cs="宋体"/>
          <w:dstrike/>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允许调整。</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u w:val="single"/>
        </w:rPr>
        <w:t xml:space="preserve">  按实计量调整。</w:t>
      </w:r>
    </w:p>
    <w:p>
      <w:pPr>
        <w:pStyle w:val="6"/>
        <w:spacing w:before="0" w:after="0" w:line="400" w:lineRule="exact"/>
        <w:ind w:firstLine="420" w:firstLineChars="200"/>
        <w:rPr>
          <w:rFonts w:hint="eastAsia" w:ascii="宋体" w:hAnsi="宋体" w:cs="宋体"/>
          <w:b w:val="0"/>
          <w:color w:val="auto"/>
          <w:sz w:val="21"/>
          <w:szCs w:val="21"/>
          <w:highlight w:val="none"/>
        </w:rPr>
      </w:pPr>
      <w:bookmarkStart w:id="720" w:name="_Toc500174771"/>
      <w:bookmarkStart w:id="721" w:name="_Toc26974"/>
      <w:bookmarkStart w:id="722" w:name="_Toc26646"/>
      <w:bookmarkStart w:id="723" w:name="_Toc503196161"/>
      <w:r>
        <w:rPr>
          <w:rFonts w:hint="eastAsia" w:ascii="宋体" w:hAnsi="宋体" w:cs="宋体"/>
          <w:b w:val="0"/>
          <w:color w:val="auto"/>
          <w:sz w:val="21"/>
          <w:szCs w:val="21"/>
          <w:highlight w:val="none"/>
        </w:rPr>
        <w:t>2. 发包人</w:t>
      </w:r>
      <w:bookmarkEnd w:id="720"/>
      <w:bookmarkEnd w:id="721"/>
      <w:bookmarkEnd w:id="722"/>
      <w:bookmarkEnd w:id="723"/>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2.2 发包人代表</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甲方代表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   施工组织设计和总进度计划的审批权；工程变更、签证的确认权；发布开工令、停工令、复工令权；工程款的审查权和支付权；特殊及重要施工工艺和材料发包及指定分包权；建筑材料价格的确认权；合同的解释；等等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2.4 施工现场、施工条件和基础资料的提供</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2.4.1 提供施工现场</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pPr>
        <w:spacing w:line="400" w:lineRule="exact"/>
        <w:ind w:firstLine="480" w:firstLineChars="200"/>
        <w:rPr>
          <w:rFonts w:hint="eastAsia" w:ascii="宋体" w:hAnsi="宋体" w:cs="宋体"/>
          <w:color w:val="auto"/>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highlight w:val="none"/>
          <w:u w:val="single"/>
        </w:rPr>
        <w:t xml:space="preserve">                  。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2.5 资金来源证明及支付担保</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pStyle w:val="6"/>
        <w:spacing w:before="0" w:after="0" w:line="400" w:lineRule="exact"/>
        <w:ind w:firstLine="420" w:firstLineChars="200"/>
        <w:rPr>
          <w:rFonts w:hint="eastAsia" w:ascii="宋体" w:hAnsi="宋体" w:cs="宋体"/>
          <w:b w:val="0"/>
          <w:color w:val="auto"/>
          <w:sz w:val="21"/>
          <w:szCs w:val="21"/>
          <w:highlight w:val="none"/>
        </w:rPr>
      </w:pPr>
      <w:bookmarkStart w:id="724" w:name="_Toc503196162"/>
      <w:bookmarkStart w:id="725" w:name="_Toc26633"/>
      <w:bookmarkStart w:id="726" w:name="_Toc5025"/>
      <w:bookmarkStart w:id="727" w:name="_Toc500174772"/>
      <w:r>
        <w:rPr>
          <w:rFonts w:hint="eastAsia" w:ascii="宋体" w:hAnsi="宋体" w:cs="宋体"/>
          <w:b w:val="0"/>
          <w:color w:val="auto"/>
          <w:sz w:val="21"/>
          <w:szCs w:val="21"/>
          <w:highlight w:val="none"/>
        </w:rPr>
        <w:t>3. 承包人</w:t>
      </w:r>
      <w:bookmarkEnd w:id="724"/>
      <w:bookmarkEnd w:id="725"/>
      <w:bookmarkEnd w:id="726"/>
      <w:bookmarkEnd w:id="727"/>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3.1 承包人的一般义务</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（5）</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rPr>
        <w:t xml:space="preserve">        另行约定          </w:t>
      </w:r>
      <w:r>
        <w:rPr>
          <w:rFonts w:hint="eastAsia" w:ascii="宋体" w:hAnsi="宋体" w:cs="宋体"/>
          <w:color w:val="auto"/>
          <w:szCs w:val="21"/>
          <w:highlight w:val="none"/>
        </w:rPr>
        <w:t>。</w:t>
      </w:r>
    </w:p>
    <w:p>
      <w:pPr>
        <w:spacing w:line="400" w:lineRule="exact"/>
        <w:ind w:firstLine="1080" w:firstLineChars="450"/>
        <w:jc w:val="left"/>
        <w:rPr>
          <w:rFonts w:hint="eastAsia"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按市档案馆要求执行          </w:t>
      </w:r>
      <w:r>
        <w:rPr>
          <w:rFonts w:hint="eastAsia" w:ascii="宋体" w:hAnsi="宋体" w:cs="宋体"/>
          <w:color w:val="auto"/>
          <w:szCs w:val="21"/>
          <w:highlight w:val="none"/>
        </w:rPr>
        <w:t>。</w:t>
      </w:r>
    </w:p>
    <w:p>
      <w:pPr>
        <w:spacing w:line="400" w:lineRule="exact"/>
        <w:ind w:firstLine="1080" w:firstLineChars="45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由承包人承担         </w:t>
      </w:r>
      <w:r>
        <w:rPr>
          <w:rFonts w:hint="eastAsia" w:ascii="宋体" w:hAnsi="宋体" w:cs="宋体"/>
          <w:color w:val="auto"/>
          <w:szCs w:val="21"/>
          <w:highlight w:val="none"/>
        </w:rPr>
        <w:t>。</w:t>
      </w:r>
    </w:p>
    <w:p>
      <w:pPr>
        <w:spacing w:line="400" w:lineRule="exact"/>
        <w:ind w:firstLine="1080" w:firstLineChars="45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 xml:space="preserve">    工程竣工验收合格后3个月内     </w:t>
      </w:r>
      <w:r>
        <w:rPr>
          <w:rFonts w:hint="eastAsia" w:ascii="宋体" w:hAnsi="宋体" w:cs="宋体"/>
          <w:color w:val="auto"/>
          <w:szCs w:val="21"/>
          <w:highlight w:val="none"/>
        </w:rPr>
        <w:t>。</w:t>
      </w:r>
    </w:p>
    <w:p>
      <w:pPr>
        <w:spacing w:line="400" w:lineRule="exact"/>
        <w:ind w:firstLine="1080" w:firstLineChars="45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 xml:space="preserve">     按市档案馆要求执行            </w:t>
      </w:r>
      <w:r>
        <w:rPr>
          <w:rFonts w:hint="eastAsia" w:ascii="宋体" w:hAnsi="宋体" w:cs="宋体"/>
          <w:color w:val="auto"/>
          <w:szCs w:val="21"/>
          <w:highlight w:val="none"/>
        </w:rPr>
        <w:t>。</w:t>
      </w:r>
    </w:p>
    <w:p>
      <w:pPr>
        <w:widowControl/>
        <w:spacing w:line="400" w:lineRule="exact"/>
        <w:ind w:firstLine="629"/>
        <w:rPr>
          <w:rFonts w:hint="eastAsia" w:ascii="宋体" w:hAnsi="宋体" w:cs="宋体"/>
          <w:color w:val="auto"/>
          <w:szCs w:val="21"/>
          <w:highlight w:val="none"/>
          <w:u w:val="single"/>
        </w:rPr>
      </w:pPr>
      <w:r>
        <w:rPr>
          <w:rFonts w:hint="eastAsia" w:ascii="宋体" w:hAnsi="宋体" w:cs="宋体"/>
          <w:color w:val="auto"/>
          <w:kern w:val="0"/>
          <w:szCs w:val="21"/>
          <w:highlight w:val="none"/>
        </w:rPr>
        <w:t>（6）承包人应履行的其他义务：</w:t>
      </w:r>
      <w:r>
        <w:rPr>
          <w:rFonts w:hint="eastAsia" w:ascii="宋体" w:hAnsi="宋体" w:cs="宋体"/>
          <w:color w:val="auto"/>
          <w:szCs w:val="21"/>
          <w:highlight w:val="none"/>
          <w:u w:val="single"/>
        </w:rPr>
        <w:t>a、项目暂定   年  月开工，   年   月竣工。实际开工日期将以开工令为准，总工期    个日历天完成竣工验收。</w:t>
      </w:r>
    </w:p>
    <w:p>
      <w:pPr>
        <w:widowControl/>
        <w:spacing w:line="400" w:lineRule="exact"/>
        <w:ind w:firstLine="629"/>
        <w:rPr>
          <w:rFonts w:hint="eastAsia" w:ascii="宋体" w:hAnsi="宋体" w:cs="宋体"/>
          <w:color w:val="auto"/>
          <w:szCs w:val="21"/>
          <w:highlight w:val="none"/>
          <w:u w:val="single"/>
        </w:rPr>
      </w:pPr>
      <w:r>
        <w:rPr>
          <w:rFonts w:hint="eastAsia" w:ascii="宋体" w:hAnsi="宋体" w:cs="宋体"/>
          <w:color w:val="auto"/>
          <w:szCs w:val="21"/>
          <w:highlight w:val="none"/>
          <w:u w:val="single"/>
        </w:rPr>
        <w:t>b、承包人在各自施工区域围挡自成系统，分隔材料采用实心砖。公共道路及冲洗平台由承包人提供，承包人不得因其他人使用公共道路及冲洗平台而收取任何费用。</w:t>
      </w:r>
    </w:p>
    <w:p>
      <w:pPr>
        <w:widowControl/>
        <w:spacing w:line="400" w:lineRule="exact"/>
        <w:ind w:firstLine="629"/>
        <w:rPr>
          <w:rFonts w:hint="eastAsia" w:ascii="宋体" w:hAnsi="宋体" w:cs="宋体"/>
          <w:color w:val="auto"/>
          <w:szCs w:val="21"/>
          <w:highlight w:val="none"/>
          <w:u w:val="single"/>
        </w:rPr>
      </w:pPr>
      <w:r>
        <w:rPr>
          <w:rFonts w:hint="eastAsia" w:ascii="宋体" w:hAnsi="宋体" w:cs="宋体"/>
          <w:color w:val="auto"/>
          <w:szCs w:val="21"/>
          <w:highlight w:val="none"/>
          <w:u w:val="single"/>
        </w:rPr>
        <w:t>c、若施工过程中根据发包人需要调整施工供水管线走向，承包人须按发包人指令更改供水管线走向，由此产生的费用已包含在合同价款中，发包人不另行支付。</w:t>
      </w:r>
    </w:p>
    <w:p>
      <w:pPr>
        <w:widowControl/>
        <w:spacing w:line="400" w:lineRule="exact"/>
        <w:ind w:firstLine="629"/>
        <w:rPr>
          <w:rFonts w:hint="eastAsia" w:ascii="宋体" w:hAnsi="宋体" w:cs="宋体"/>
          <w:color w:val="auto"/>
          <w:szCs w:val="21"/>
          <w:highlight w:val="none"/>
          <w:u w:val="single"/>
        </w:rPr>
      </w:pPr>
      <w:r>
        <w:rPr>
          <w:rFonts w:hint="eastAsia" w:ascii="宋体" w:hAnsi="宋体" w:cs="宋体"/>
          <w:color w:val="auto"/>
          <w:szCs w:val="21"/>
          <w:highlight w:val="none"/>
          <w:u w:val="single"/>
        </w:rPr>
        <w:t>d、发包人代表有权就其他未尽事宜或临时发生的计划发出指令，承包人须积极配合执行，除有设计变更增加费用外，其他费用不予增加。</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e.中标人在领取中标通知书后必须配合办理相关报建手续、施工许可证，此项工作必须在中标通知书发放30日内完成（若因招标人原因造成的除外）；否则，每拖延一天处以3000元人民币违约金，提前不奖励。</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3.2 项目负责人（建造师）</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项目负责人（建造师）：</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承包人对项目负责人（建造师）的授权范围如下：</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关于项目负责人（建造师）每月在施工现场的时间要求：</w:t>
      </w:r>
      <w:r>
        <w:rPr>
          <w:rFonts w:hint="eastAsia" w:ascii="宋体" w:hAnsi="宋体" w:cs="宋体"/>
          <w:color w:val="auto"/>
          <w:szCs w:val="21"/>
          <w:highlight w:val="none"/>
          <w:u w:val="single"/>
        </w:rPr>
        <w:t>项目注册建造师必须保证每月在工地工作时间不少于25天，特殊情况下需离开时必须事先征得甲方和监理同意后方可离开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承包人未提交劳动合同，以及没有为项目负责人（建造师）缴纳社会保险证明的违约责任：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项目负责人（建造师）未经批准，擅自离开施工现场的违约责任：</w:t>
      </w:r>
      <w:r>
        <w:rPr>
          <w:rFonts w:hint="eastAsia" w:ascii="宋体" w:hAnsi="宋体" w:cs="宋体"/>
          <w:color w:val="auto"/>
          <w:szCs w:val="21"/>
          <w:highlight w:val="none"/>
          <w:u w:val="single"/>
        </w:rPr>
        <w:t>擅自离开施工现场的，从当期工程款中扣除每人每天每次2000元违约金</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承包人擅自更换项目负责人（建造师）、项目技术负责人的违约责任：</w:t>
      </w:r>
      <w:r>
        <w:rPr>
          <w:rFonts w:hint="eastAsia" w:ascii="宋体" w:hAnsi="宋体" w:cs="宋体"/>
          <w:color w:val="auto"/>
          <w:szCs w:val="21"/>
          <w:highlight w:val="none"/>
          <w:u w:val="single"/>
        </w:rPr>
        <w:t>若未经发包人和监理人同意更换项目负责人（建造师）及项目技术负责人的，发包人对其处以人民币50万元违约金/人.次。</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3.2.4 承包人无正当理由拒绝更换项目负责人（建造师）、项目技术负责人的违约责任： </w:t>
      </w:r>
      <w:r>
        <w:rPr>
          <w:rFonts w:hint="eastAsia" w:ascii="宋体" w:hAnsi="宋体" w:cs="宋体"/>
          <w:color w:val="auto"/>
          <w:szCs w:val="21"/>
          <w:highlight w:val="none"/>
          <w:u w:val="single"/>
        </w:rPr>
        <w:t>承包方项目负责人（建造师）、项目技术负责人不满足岗位管理水平及技术水平等原因要求时，发包人和监理人可要求承包方更换，更换后人员不得低于承包人投标时所报人员资质和技术水平，并经发包人书面认可，同时发包人对承包人处以人民币50万元违约金/人.次。如承包人拒不更换项目负责人（建造师），发包人有权要求承包人退场。</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签订合同时</w:t>
      </w: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3.3.2 承包人主要施工管理人员离开施工现场的批准要求：</w:t>
      </w:r>
      <w:r>
        <w:rPr>
          <w:rFonts w:hint="eastAsia" w:ascii="宋体" w:hAnsi="宋体" w:cs="宋体"/>
          <w:color w:val="auto"/>
          <w:szCs w:val="21"/>
          <w:highlight w:val="none"/>
          <w:u w:val="single"/>
        </w:rPr>
        <w:t>需离开时必须事先征得发包人和监理人同意后方可离开</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3.3.3承包人擅自更换主要施工管理人员的违约责任：承包人</w:t>
      </w:r>
      <w:r>
        <w:rPr>
          <w:rFonts w:hint="eastAsia" w:ascii="宋体" w:hAnsi="宋体" w:cs="宋体"/>
          <w:color w:val="auto"/>
          <w:szCs w:val="21"/>
          <w:highlight w:val="none"/>
          <w:u w:val="single"/>
        </w:rPr>
        <w:t xml:space="preserve">在开工时或施工过程中擅自变更主要施工管理人员的，发包人有权对承包人处以每人每次10万元人民币的违约金，直至解除合同，并追究由此给发包人和相关人带来的一切损失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 xml:space="preserve"> 擅自离开施工现场的，从当期工程款中扣除，每人每次2000元违约金。</w:t>
      </w:r>
    </w:p>
    <w:p>
      <w:pPr>
        <w:spacing w:line="400" w:lineRule="exact"/>
        <w:ind w:firstLine="48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3.5分包</w:t>
      </w:r>
      <w:r>
        <w:rPr>
          <w:rFonts w:hint="eastAsia" w:hAnsi="宋体" w:cs="宋体"/>
          <w:color w:val="auto"/>
          <w:szCs w:val="21"/>
          <w:highlight w:val="none"/>
          <w:lang w:eastAsia="zh-CN"/>
        </w:rPr>
        <w:t>（</w:t>
      </w:r>
      <w:r>
        <w:rPr>
          <w:rFonts w:hint="eastAsia" w:hAnsi="宋体" w:cs="宋体"/>
          <w:color w:val="auto"/>
          <w:szCs w:val="21"/>
          <w:highlight w:val="none"/>
          <w:lang w:val="en-US" w:eastAsia="zh-CN"/>
        </w:rPr>
        <w:t>不允许</w:t>
      </w:r>
      <w:r>
        <w:rPr>
          <w:rFonts w:hint="eastAsia" w:hAnsi="宋体" w:cs="宋体"/>
          <w:color w:val="auto"/>
          <w:szCs w:val="21"/>
          <w:highlight w:val="none"/>
          <w:lang w:eastAsia="zh-CN"/>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3.5.1 分包的一般约定</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3.6 工程照管与成品、半成品保护</w:t>
      </w:r>
    </w:p>
    <w:p>
      <w:pPr>
        <w:spacing w:line="400" w:lineRule="exact"/>
        <w:ind w:firstLine="48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kern w:val="0"/>
          <w:szCs w:val="21"/>
          <w:highlight w:val="none"/>
          <w:u w:val="single"/>
        </w:rPr>
        <w:t xml:space="preserve"> 执行合同通用条款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3.7 履约担保</w:t>
      </w:r>
      <w:r>
        <w:rPr>
          <w:rFonts w:hint="eastAsia" w:hAnsi="宋体" w:cs="宋体"/>
          <w:color w:val="auto"/>
          <w:szCs w:val="21"/>
          <w:highlight w:val="none"/>
          <w:lang w:eastAsia="zh-CN"/>
        </w:rPr>
        <w:t>（</w:t>
      </w:r>
      <w:r>
        <w:rPr>
          <w:rFonts w:hint="eastAsia" w:hAnsi="宋体" w:cs="宋体"/>
          <w:color w:val="auto"/>
          <w:szCs w:val="21"/>
          <w:highlight w:val="none"/>
          <w:lang w:val="en-US" w:eastAsia="zh-CN"/>
        </w:rPr>
        <w:t>不采用</w:t>
      </w:r>
      <w:r>
        <w:rPr>
          <w:rFonts w:hint="eastAsia" w:hAnsi="宋体" w:cs="宋体"/>
          <w:color w:val="auto"/>
          <w:szCs w:val="21"/>
          <w:highlight w:val="none"/>
          <w:lang w:eastAsia="zh-CN"/>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具体详见前附表              </w:t>
      </w:r>
      <w:r>
        <w:rPr>
          <w:rFonts w:hint="eastAsia" w:ascii="宋体" w:hAnsi="宋体" w:cs="宋体"/>
          <w:color w:val="auto"/>
          <w:szCs w:val="21"/>
          <w:highlight w:val="none"/>
        </w:rPr>
        <w:t>。</w:t>
      </w:r>
      <w:bookmarkStart w:id="728" w:name="_Toc27928"/>
      <w:bookmarkStart w:id="729" w:name="_Toc500174773"/>
      <w:bookmarkStart w:id="730" w:name="_Toc32429"/>
      <w:bookmarkStart w:id="731" w:name="_Toc503196163"/>
      <w:r>
        <w:rPr>
          <w:rFonts w:hint="eastAsia" w:ascii="宋体" w:hAnsi="宋体" w:cs="宋体"/>
          <w:b/>
          <w:bCs/>
          <w:color w:val="auto"/>
          <w:szCs w:val="21"/>
          <w:highlight w:val="none"/>
        </w:rPr>
        <w:t>。</w:t>
      </w:r>
      <w:bookmarkEnd w:id="728"/>
    </w:p>
    <w:p>
      <w:pPr>
        <w:spacing w:line="400" w:lineRule="exact"/>
        <w:ind w:firstLine="480" w:firstLineChars="200"/>
        <w:jc w:val="left"/>
        <w:rPr>
          <w:rFonts w:hint="eastAsia" w:ascii="宋体" w:hAnsi="宋体" w:eastAsia="宋体" w:cs="宋体"/>
          <w:color w:val="auto"/>
          <w:szCs w:val="21"/>
          <w:highlight w:val="none"/>
          <w:lang w:eastAsia="zh-CN"/>
        </w:rPr>
      </w:pPr>
      <w:bookmarkStart w:id="732" w:name="_Toc13697"/>
      <w:r>
        <w:rPr>
          <w:rFonts w:hint="eastAsia" w:ascii="宋体" w:hAnsi="宋体" w:cs="宋体"/>
          <w:color w:val="auto"/>
          <w:szCs w:val="21"/>
          <w:highlight w:val="none"/>
        </w:rPr>
        <w:t>4. 监理人</w:t>
      </w:r>
      <w:bookmarkEnd w:id="729"/>
      <w:bookmarkEnd w:id="730"/>
      <w:bookmarkEnd w:id="731"/>
      <w:bookmarkEnd w:id="732"/>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不采用</w:t>
      </w:r>
      <w:r>
        <w:rPr>
          <w:rFonts w:hint="eastAsia" w:ascii="宋体" w:hAnsi="宋体" w:cs="宋体"/>
          <w:color w:val="auto"/>
          <w:szCs w:val="21"/>
          <w:highlight w:val="none"/>
          <w:lang w:eastAsia="zh-CN"/>
        </w:rPr>
        <w:t>）</w:t>
      </w:r>
    </w:p>
    <w:p>
      <w:pPr>
        <w:spacing w:line="400" w:lineRule="exact"/>
        <w:ind w:firstLine="480" w:firstLineChars="200"/>
        <w:jc w:val="left"/>
        <w:rPr>
          <w:rFonts w:hint="eastAsia" w:ascii="宋体" w:hAnsi="宋体" w:cs="宋体"/>
          <w:color w:val="auto"/>
          <w:szCs w:val="21"/>
          <w:highlight w:val="none"/>
        </w:rPr>
      </w:pPr>
      <w:bookmarkStart w:id="733" w:name="_Toc32502"/>
      <w:bookmarkStart w:id="734" w:name="_Toc5591"/>
      <w:bookmarkStart w:id="735" w:name="_Toc500174774"/>
      <w:bookmarkStart w:id="736" w:name="_Toc503196164"/>
      <w:r>
        <w:rPr>
          <w:rFonts w:hint="eastAsia" w:ascii="宋体" w:hAnsi="宋体" w:cs="宋体"/>
          <w:color w:val="auto"/>
          <w:szCs w:val="21"/>
          <w:highlight w:val="none"/>
        </w:rPr>
        <w:t>5. 工程质量</w:t>
      </w:r>
      <w:bookmarkEnd w:id="733"/>
      <w:bookmarkEnd w:id="734"/>
      <w:bookmarkEnd w:id="735"/>
      <w:bookmarkEnd w:id="736"/>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5.1 质量要求</w:t>
      </w:r>
    </w:p>
    <w:p>
      <w:pPr>
        <w:spacing w:before="120" w:after="120"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szCs w:val="21"/>
          <w:highlight w:val="none"/>
        </w:rPr>
        <w:t>5.1.1特殊质量标准和要求：</w:t>
      </w:r>
      <w:r>
        <w:rPr>
          <w:rFonts w:hint="eastAsia" w:ascii="宋体" w:hAnsi="宋体" w:cs="宋体"/>
          <w:color w:val="auto"/>
          <w:szCs w:val="21"/>
          <w:highlight w:val="none"/>
          <w:u w:val="single"/>
        </w:rPr>
        <w:t>本工程应达到交易文件规定的质量合格标准。承包人应按照现行的国家施工验收规范和资料评定标准施工；预验收不合格须整改合格，并处以</w:t>
      </w:r>
      <w:r>
        <w:rPr>
          <w:rFonts w:hint="eastAsia" w:hAnsi="宋体" w:cs="宋体"/>
          <w:color w:val="auto"/>
          <w:szCs w:val="21"/>
          <w:highlight w:val="none"/>
          <w:u w:val="single"/>
          <w:lang w:val="en-US" w:eastAsia="zh-CN"/>
        </w:rPr>
        <w:t>10</w:t>
      </w:r>
      <w:r>
        <w:rPr>
          <w:rFonts w:hint="eastAsia" w:ascii="宋体" w:hAnsi="宋体" w:cs="宋体"/>
          <w:color w:val="auto"/>
          <w:szCs w:val="21"/>
          <w:highlight w:val="none"/>
          <w:u w:val="single"/>
        </w:rPr>
        <w:t>万元违约金；竣工验收必须合格，否则发包人将处以20万元违约金；承包人同意终止施工合同并不再支付剩余工程款，承包人并应当另行承担因此给发包人造成的全部损失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5.3 隐蔽工程检查</w:t>
      </w:r>
    </w:p>
    <w:p>
      <w:pPr>
        <w:spacing w:after="120"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5.3.1隐蔽工程隐蔽前，承包人需自行自检，自检合格后通知发包人和监理单位验收，发包人及监理单位按设计图、规范、标准和施工组织设计或施工方案到现场进行验收，确认验收合格并办理签证后方可隐蔽。验收不合格，承包人在限定时间内整改后重新验收。</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color w:val="auto"/>
          <w:szCs w:val="21"/>
          <w:highlight w:val="none"/>
          <w:u w:val="single"/>
        </w:rPr>
        <w:t>工程具备隐蔽条件或达到中间验收部位时，承包人自检合格后，在隐蔽和中间验收48小时前书面通知甲方代表和监理工程师参加。通知应包含承包人自检记录、隐蔽和中间验收的内容、时间和地点。承包人准备验收记录，验收合格，甲方代表及监理工程师在验收记录上签字后，方可进行隐蔽和继续施工。验收不合格，承包人在限定时间内重新验收。承包人不服从质量管理的，发包人有权清退其出场，并赔偿因此而造成的一切损失。</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pPr>
        <w:spacing w:line="400" w:lineRule="exact"/>
        <w:ind w:firstLine="480" w:firstLineChars="200"/>
        <w:rPr>
          <w:rFonts w:hint="eastAsia" w:ascii="宋体" w:hAnsi="宋体" w:cs="宋体"/>
          <w:color w:val="auto"/>
          <w:szCs w:val="21"/>
          <w:highlight w:val="none"/>
        </w:rPr>
      </w:pPr>
      <w:bookmarkStart w:id="737" w:name="_Toc23147"/>
      <w:bookmarkStart w:id="738" w:name="_Toc503196165"/>
      <w:bookmarkStart w:id="739" w:name="_Toc500174775"/>
      <w:bookmarkStart w:id="740" w:name="_Toc27432"/>
      <w:r>
        <w:rPr>
          <w:rFonts w:hint="eastAsia" w:ascii="宋体" w:hAnsi="宋体" w:cs="宋体"/>
          <w:color w:val="auto"/>
          <w:szCs w:val="21"/>
          <w:highlight w:val="none"/>
        </w:rPr>
        <w:t>6. 安全文明施工与环境保护</w:t>
      </w:r>
      <w:bookmarkEnd w:id="737"/>
      <w:bookmarkEnd w:id="738"/>
      <w:bookmarkEnd w:id="739"/>
      <w:bookmarkEnd w:id="740"/>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6.1安全文明施工</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6.1.1项目安全生产的达标目标及相应事项的约定</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 xml:space="preserve">     由承包人负责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由承包人负责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6.1.5 文明施工</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w:t>
      </w:r>
      <w:r>
        <w:rPr>
          <w:rFonts w:hint="eastAsia" w:hAnsi="宋体" w:cs="宋体"/>
          <w:color w:val="auto"/>
          <w:szCs w:val="21"/>
          <w:highlight w:val="none"/>
          <w:lang w:val="en-US" w:eastAsia="zh-CN"/>
        </w:rPr>
        <w:t>7</w:t>
      </w:r>
      <w:r>
        <w:rPr>
          <w:rFonts w:hint="eastAsia" w:ascii="宋体" w:hAnsi="宋体" w:cs="宋体"/>
          <w:color w:val="auto"/>
          <w:szCs w:val="21"/>
          <w:highlight w:val="none"/>
        </w:rPr>
        <w:t>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w:t>
      </w:r>
      <w:r>
        <w:rPr>
          <w:rFonts w:hint="eastAsia" w:hAnsi="宋体" w:cs="宋体"/>
          <w:color w:val="auto"/>
          <w:szCs w:val="21"/>
          <w:highlight w:val="none"/>
          <w:lang w:val="en-US" w:eastAsia="zh-CN"/>
        </w:rPr>
        <w:t>8</w:t>
      </w:r>
      <w:r>
        <w:rPr>
          <w:rFonts w:hint="eastAsia" w:ascii="宋体" w:hAnsi="宋体" w:cs="宋体"/>
          <w:color w:val="auto"/>
          <w:szCs w:val="21"/>
          <w:highlight w:val="none"/>
        </w:rPr>
        <w:t>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pPr>
        <w:pStyle w:val="6"/>
        <w:spacing w:before="0" w:after="0" w:line="400" w:lineRule="exact"/>
        <w:ind w:firstLine="420" w:firstLineChars="200"/>
        <w:rPr>
          <w:rFonts w:hint="eastAsia" w:ascii="宋体" w:hAnsi="宋体" w:cs="宋体"/>
          <w:b w:val="0"/>
          <w:color w:val="auto"/>
          <w:sz w:val="21"/>
          <w:szCs w:val="21"/>
          <w:highlight w:val="none"/>
        </w:rPr>
      </w:pPr>
      <w:bookmarkStart w:id="741" w:name="_Toc503196166"/>
      <w:bookmarkStart w:id="742" w:name="_Toc500174776"/>
      <w:bookmarkStart w:id="743" w:name="_Toc28586"/>
      <w:bookmarkStart w:id="744" w:name="_Toc30797"/>
      <w:r>
        <w:rPr>
          <w:rFonts w:hint="eastAsia" w:ascii="宋体" w:hAnsi="宋体" w:cs="宋体"/>
          <w:b w:val="0"/>
          <w:color w:val="auto"/>
          <w:sz w:val="21"/>
          <w:szCs w:val="21"/>
          <w:highlight w:val="none"/>
        </w:rPr>
        <w:t>7. 工期和进度</w:t>
      </w:r>
      <w:bookmarkEnd w:id="741"/>
      <w:bookmarkEnd w:id="742"/>
      <w:bookmarkEnd w:id="743"/>
      <w:bookmarkEnd w:id="744"/>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7.1 施工组织设计</w:t>
      </w:r>
    </w:p>
    <w:p>
      <w:pPr>
        <w:autoSpaceDE w:val="0"/>
        <w:autoSpaceDN w:val="0"/>
        <w:adjustRightInd w:val="0"/>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utoSpaceDE w:val="0"/>
        <w:autoSpaceDN w:val="0"/>
        <w:adjustRightInd w:val="0"/>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pPr>
        <w:autoSpaceDE w:val="0"/>
        <w:autoSpaceDN w:val="0"/>
        <w:adjustRightInd w:val="0"/>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图纸会审及设计交底后一周内提供标后施工组织设计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甲方代表和监理工程师应于收到承包人资料一周内予以确认，逾期不批复，可视为该施工组织设计（施工方案）和进度计划已经批准。</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7.2 施工进度计划</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7.2.2 施工进度计划的修订</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  甲方代表和监理工程师应于收到承包人资料一周内予以确认，逾期不批复，可视为该施工组织设计（施工方案）已经批准。乙方必须按照批准的进度计划组织施工，接受甲方代表对进度的检查、监督。工程实际进展与进度计划不符时，承包人应立即修改进度计划和采取赶工措施，调整后的进度计划及相应的措施报告上报监理、甲方代表批准后执行。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7.3 开工</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7.3.1 开工准备</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7.3.2开工通知</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天内发出开工通知的，承包人有权提出价格调整要求，或者解除合同。</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7.4 测量放线</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开工前提供水准点与坐标控制点，按施工图由发包人、承包人、监理现场交验，交验后，承包人应妥善保护场内水准点与控制点，任意破坏或遗失应由承包人负责恢复的费用。</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7.5 工期延误</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7.5.1 因发包人原因导致工期延误</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（1）因发包人原因导致工期延误的其他情形：</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由于发包人的原因和非承包人的责任停工的，工期顺延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7.5.2 因承包人原因导致工期延误</w:t>
      </w:r>
    </w:p>
    <w:p>
      <w:pPr>
        <w:spacing w:line="400" w:lineRule="exact"/>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发包人根据拖延工期的严重程度采用以下方法处理:</w:t>
      </w:r>
    </w:p>
    <w:p>
      <w:pPr>
        <w:spacing w:line="400" w:lineRule="exact"/>
        <w:ind w:firstLine="360" w:firstLineChars="15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（1）督促承包人采取有效的赶工措施（费用自理）。                     </w:t>
      </w:r>
    </w:p>
    <w:p>
      <w:pPr>
        <w:spacing w:line="400" w:lineRule="exact"/>
        <w:ind w:firstLine="361" w:firstLineChars="150"/>
        <w:rPr>
          <w:rFonts w:hint="eastAsia" w:ascii="宋体" w:hAnsi="宋体" w:cs="宋体"/>
          <w:b/>
          <w:bCs w:val="0"/>
          <w:color w:val="auto"/>
          <w:szCs w:val="21"/>
          <w:highlight w:val="none"/>
        </w:rPr>
      </w:pPr>
      <w:r>
        <w:rPr>
          <w:rFonts w:hint="eastAsia" w:ascii="宋体" w:hAnsi="宋体" w:cs="宋体"/>
          <w:b/>
          <w:bCs w:val="0"/>
          <w:color w:val="auto"/>
          <w:szCs w:val="21"/>
          <w:highlight w:val="none"/>
          <w:u w:val="single"/>
        </w:rPr>
        <w:t>（2）拖延工期违约金直接从承包人的工程进度款中扣除；每推迟一天，按每天500元/天处以违约金，提前不奖励。</w:t>
      </w:r>
    </w:p>
    <w:p>
      <w:pPr>
        <w:spacing w:line="400" w:lineRule="exact"/>
        <w:ind w:firstLine="48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 xml:space="preserve">对严重拖延工期（超期30天及其以上），经发包人督促，承包人拒不执行的，发包人可单方面中止施工合同，承包人承诺接到发包人中止施工合同7天内无条件退出施工现场。退出施工现场后发包人和承包人开始进行清算。同时承包人同意按原中标价格另选同样资质的施工队伍进场施工，承包人须无条件配合（包括变更施工许可证、盖章等），不得以任何借口阻挠另选的施工队伍进场施工，不得向发包人提出任何索赔要求。   </w:t>
      </w:r>
    </w:p>
    <w:p>
      <w:pPr>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(4)因承包人原因造成工期延误，逾期竣工违约金的计算方法为：</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由于发包人的原因和非承包人的责任停工的，工期顺延。局部因发包人拆迁等原因造成延期开工的，发包人只顺延工期，由此产生的任何费用发包人不予补偿。发生不可抗力及非承包人原因造成的工期延误，承包人应办理签证，承包人须以书面形式经确认后方可顺延工期</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7.6 不利物质条件</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7.7异常恶劣的气候条件</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7.9 提前竣工的奖励</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6"/>
        <w:spacing w:before="0" w:after="0" w:line="400" w:lineRule="exact"/>
        <w:ind w:firstLine="420" w:firstLineChars="200"/>
        <w:rPr>
          <w:rFonts w:hint="eastAsia" w:ascii="宋体" w:hAnsi="宋体" w:cs="宋体"/>
          <w:b w:val="0"/>
          <w:color w:val="auto"/>
          <w:sz w:val="21"/>
          <w:szCs w:val="21"/>
          <w:highlight w:val="none"/>
        </w:rPr>
      </w:pPr>
      <w:bookmarkStart w:id="745" w:name="_Toc503196167"/>
      <w:bookmarkStart w:id="746" w:name="_Toc32339"/>
      <w:bookmarkStart w:id="747" w:name="_Toc24176"/>
      <w:bookmarkStart w:id="748" w:name="_Toc500174777"/>
      <w:r>
        <w:rPr>
          <w:rFonts w:hint="eastAsia" w:ascii="宋体" w:hAnsi="宋体" w:cs="宋体"/>
          <w:b w:val="0"/>
          <w:color w:val="auto"/>
          <w:sz w:val="21"/>
          <w:szCs w:val="21"/>
          <w:highlight w:val="none"/>
        </w:rPr>
        <w:t>8. 材料与设备</w:t>
      </w:r>
      <w:bookmarkEnd w:id="745"/>
      <w:bookmarkEnd w:id="746"/>
      <w:bookmarkEnd w:id="747"/>
      <w:bookmarkEnd w:id="748"/>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8.2承包人采购材料</w:t>
      </w:r>
    </w:p>
    <w:p>
      <w:pPr>
        <w:spacing w:line="400" w:lineRule="exact"/>
        <w:ind w:firstLine="361" w:firstLineChars="150"/>
        <w:rPr>
          <w:rFonts w:hint="eastAsia" w:ascii="宋体" w:hAnsi="宋体" w:cs="宋体"/>
          <w:color w:val="auto"/>
          <w:highlight w:val="none"/>
        </w:rPr>
      </w:pPr>
      <w:r>
        <w:rPr>
          <w:rFonts w:hint="eastAsia" w:ascii="宋体" w:hAnsi="宋体" w:cs="宋体"/>
          <w:b/>
          <w:color w:val="auto"/>
          <w:kern w:val="0"/>
          <w:szCs w:val="21"/>
          <w:highlight w:val="none"/>
          <w:u w:val="single"/>
        </w:rPr>
        <w:t>承包人所购材料质量不得低于招标最高投标限价中所给价格的材质，中标方在购买材料前需征得业主及监理方签字确认，方可购买并使用，否则不得进场使用。</w:t>
      </w:r>
      <w:r>
        <w:rPr>
          <w:rFonts w:hint="eastAsia" w:ascii="宋体" w:hAnsi="宋体" w:cs="宋体"/>
          <w:color w:val="auto"/>
          <w:szCs w:val="21"/>
          <w:highlight w:val="none"/>
          <w:u w:val="single"/>
        </w:rPr>
        <w:t xml:space="preserve">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8.4材料与工程设备的保管与使用</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 xml:space="preserve"> 执行承包人投标报价</w:t>
      </w:r>
      <w:r>
        <w:rPr>
          <w:rFonts w:hint="eastAsia" w:ascii="宋体" w:hAnsi="宋体" w:cs="宋体"/>
          <w:color w:val="auto"/>
          <w:szCs w:val="21"/>
          <w:highlight w:val="none"/>
        </w:rPr>
        <w:t>。</w:t>
      </w:r>
    </w:p>
    <w:p>
      <w:pPr>
        <w:pStyle w:val="6"/>
        <w:spacing w:before="0" w:after="0" w:line="400" w:lineRule="exact"/>
        <w:ind w:firstLine="420" w:firstLineChars="200"/>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9.付款方式：</w:t>
      </w:r>
    </w:p>
    <w:p>
      <w:pPr>
        <w:numPr>
          <w:ilvl w:val="0"/>
          <w:numId w:val="0"/>
        </w:numPr>
        <w:spacing w:line="400" w:lineRule="exact"/>
        <w:ind w:firstLine="48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工程完工并经并网验收合格付至合同价款的 85%，结算审核完成后付至结算价款的98%，剩余2%作为质量保证金，工程缺陷责任期（自竣工验收合格之日起满2年）满后付清余款（无息）。质量保证金支持保函（银行保函、担保机构担保、保证保险）使用（须为见索即付无条件保函）。采用保函的不再从工程进度款中扣留质量保证金，保函有效期须与工程缺陷责任期截止时间保持一致。</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无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0</w:t>
      </w:r>
      <w:r>
        <w:rPr>
          <w:rFonts w:hint="eastAsia" w:ascii="宋体" w:hAnsi="宋体" w:cs="宋体"/>
          <w:color w:val="auto"/>
          <w:szCs w:val="21"/>
          <w:highlight w:val="none"/>
        </w:rPr>
        <w:t xml:space="preserve"> 竣工退场</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 xml:space="preserve">     竣工验收合格之日起一周内            </w:t>
      </w:r>
      <w:r>
        <w:rPr>
          <w:rFonts w:hint="eastAsia" w:ascii="宋体" w:hAnsi="宋体" w:cs="宋体"/>
          <w:color w:val="auto"/>
          <w:kern w:val="0"/>
          <w:szCs w:val="21"/>
          <w:highlight w:val="none"/>
        </w:rPr>
        <w:t>。</w:t>
      </w:r>
    </w:p>
    <w:p>
      <w:pPr>
        <w:pStyle w:val="6"/>
        <w:spacing w:before="0" w:after="0" w:line="400" w:lineRule="exact"/>
        <w:ind w:firstLine="420" w:firstLineChars="200"/>
        <w:rPr>
          <w:rFonts w:hint="eastAsia" w:ascii="宋体" w:hAnsi="宋体" w:cs="宋体"/>
          <w:b w:val="0"/>
          <w:color w:val="auto"/>
          <w:sz w:val="21"/>
          <w:szCs w:val="21"/>
          <w:highlight w:val="none"/>
        </w:rPr>
      </w:pPr>
      <w:bookmarkStart w:id="749" w:name="_Toc500174783"/>
      <w:bookmarkStart w:id="750" w:name="_Toc26638"/>
      <w:bookmarkStart w:id="751" w:name="_Toc523"/>
      <w:bookmarkStart w:id="752" w:name="_Toc503196173"/>
      <w:r>
        <w:rPr>
          <w:rFonts w:hint="eastAsia" w:ascii="宋体" w:hAnsi="宋体" w:cs="宋体"/>
          <w:b w:val="0"/>
          <w:color w:val="auto"/>
          <w:sz w:val="21"/>
          <w:szCs w:val="21"/>
          <w:highlight w:val="none"/>
        </w:rPr>
        <w:t>1</w:t>
      </w:r>
      <w:r>
        <w:rPr>
          <w:rFonts w:hint="eastAsia" w:ascii="宋体" w:hAnsi="宋体" w:cs="宋体"/>
          <w:b w:val="0"/>
          <w:color w:val="auto"/>
          <w:sz w:val="21"/>
          <w:szCs w:val="21"/>
          <w:highlight w:val="none"/>
          <w:lang w:val="en-US" w:eastAsia="zh-CN"/>
        </w:rPr>
        <w:t>1</w:t>
      </w:r>
      <w:r>
        <w:rPr>
          <w:rFonts w:hint="eastAsia" w:ascii="宋体" w:hAnsi="宋体" w:cs="宋体"/>
          <w:b w:val="0"/>
          <w:color w:val="auto"/>
          <w:sz w:val="21"/>
          <w:szCs w:val="21"/>
          <w:highlight w:val="none"/>
        </w:rPr>
        <w:t>. 竣工结算</w:t>
      </w:r>
      <w:bookmarkEnd w:id="749"/>
      <w:bookmarkEnd w:id="750"/>
      <w:bookmarkEnd w:id="751"/>
      <w:bookmarkEnd w:id="752"/>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1</w:t>
      </w:r>
      <w:r>
        <w:rPr>
          <w:rFonts w:hint="eastAsia" w:ascii="宋体" w:hAnsi="宋体" w:cs="宋体"/>
          <w:color w:val="auto"/>
          <w:szCs w:val="21"/>
          <w:highlight w:val="none"/>
        </w:rPr>
        <w:t>.1 竣工付款申请</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承包人提交竣工结算申请单的期限：</w:t>
      </w:r>
      <w:r>
        <w:rPr>
          <w:rFonts w:hint="eastAsia" w:ascii="宋体" w:hAnsi="宋体" w:cs="宋体"/>
          <w:color w:val="auto"/>
          <w:sz w:val="30"/>
          <w:szCs w:val="32"/>
          <w:highlight w:val="none"/>
          <w:u w:val="single"/>
        </w:rPr>
        <w:t xml:space="preserve">       </w:t>
      </w:r>
      <w:r>
        <w:rPr>
          <w:rFonts w:hint="eastAsia" w:hAnsi="宋体" w:cs="宋体"/>
          <w:color w:val="auto"/>
          <w:sz w:val="30"/>
          <w:szCs w:val="32"/>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 w:val="30"/>
          <w:szCs w:val="32"/>
          <w:highlight w:val="none"/>
          <w:u w:val="single"/>
        </w:rPr>
        <w:t xml:space="preserve">         </w:t>
      </w:r>
      <w:r>
        <w:rPr>
          <w:rFonts w:hint="eastAsia" w:ascii="宋体" w:hAnsi="宋体" w:cs="宋体"/>
          <w:color w:val="auto"/>
          <w:sz w:val="30"/>
          <w:szCs w:val="32"/>
          <w:highlight w:val="none"/>
        </w:rPr>
        <w:t>。</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竣工结算申请单应包括的内容：</w:t>
      </w:r>
      <w:r>
        <w:rPr>
          <w:rFonts w:hint="eastAsia" w:ascii="宋体" w:hAnsi="宋体" w:cs="宋体"/>
          <w:color w:val="auto"/>
          <w:sz w:val="30"/>
          <w:szCs w:val="32"/>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cs="宋体"/>
          <w:color w:val="auto"/>
          <w:sz w:val="30"/>
          <w:szCs w:val="32"/>
          <w:highlight w:val="none"/>
          <w:u w:val="single"/>
        </w:rPr>
        <w:t xml:space="preserve">            </w:t>
      </w:r>
      <w:r>
        <w:rPr>
          <w:rFonts w:hint="eastAsia" w:ascii="宋体" w:hAnsi="宋体" w:cs="宋体"/>
          <w:color w:val="auto"/>
          <w:sz w:val="30"/>
          <w:szCs w:val="32"/>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1</w:t>
      </w:r>
      <w:r>
        <w:rPr>
          <w:rFonts w:hint="eastAsia" w:ascii="宋体" w:hAnsi="宋体" w:cs="宋体"/>
          <w:color w:val="auto"/>
          <w:szCs w:val="21"/>
          <w:highlight w:val="none"/>
        </w:rPr>
        <w:t>.2 竣工结算审核</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1</w:t>
      </w:r>
      <w:r>
        <w:rPr>
          <w:rFonts w:hint="eastAsia" w:ascii="宋体" w:hAnsi="宋体" w:cs="宋体"/>
          <w:color w:val="auto"/>
          <w:szCs w:val="21"/>
          <w:highlight w:val="none"/>
        </w:rPr>
        <w:t>.</w:t>
      </w:r>
      <w:r>
        <w:rPr>
          <w:rFonts w:hint="eastAsia" w:hAnsi="宋体" w:cs="宋体"/>
          <w:color w:val="auto"/>
          <w:szCs w:val="21"/>
          <w:highlight w:val="none"/>
          <w:lang w:val="en-US" w:eastAsia="zh-CN"/>
        </w:rPr>
        <w:t>3</w:t>
      </w:r>
      <w:r>
        <w:rPr>
          <w:rFonts w:hint="eastAsia" w:ascii="宋体" w:hAnsi="宋体" w:cs="宋体"/>
          <w:color w:val="auto"/>
          <w:szCs w:val="21"/>
          <w:highlight w:val="none"/>
        </w:rPr>
        <w:t xml:space="preserve"> 最终结清</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hAnsi="宋体" w:cs="宋体"/>
          <w:color w:val="auto"/>
          <w:kern w:val="0"/>
          <w:szCs w:val="21"/>
          <w:highlight w:val="none"/>
          <w:lang w:val="en-US" w:eastAsia="zh-CN"/>
        </w:rPr>
        <w:t>3</w:t>
      </w:r>
      <w:r>
        <w:rPr>
          <w:rFonts w:hint="eastAsia" w:ascii="宋体" w:hAnsi="宋体" w:cs="宋体"/>
          <w:color w:val="auto"/>
          <w:kern w:val="0"/>
          <w:szCs w:val="21"/>
          <w:highlight w:val="none"/>
        </w:rPr>
        <w:t>.1 最终结清申请单</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1</w:t>
      </w:r>
      <w:r>
        <w:rPr>
          <w:rFonts w:hint="eastAsia" w:ascii="宋体" w:hAnsi="宋体" w:cs="宋体"/>
          <w:color w:val="auto"/>
          <w:szCs w:val="21"/>
          <w:highlight w:val="none"/>
        </w:rPr>
        <w:t>.</w:t>
      </w:r>
      <w:r>
        <w:rPr>
          <w:rFonts w:hint="eastAsia" w:hAnsi="宋体" w:cs="宋体"/>
          <w:color w:val="auto"/>
          <w:szCs w:val="21"/>
          <w:highlight w:val="none"/>
          <w:lang w:val="en-US" w:eastAsia="zh-CN"/>
        </w:rPr>
        <w:t>3</w:t>
      </w:r>
      <w:r>
        <w:rPr>
          <w:rFonts w:hint="eastAsia" w:ascii="宋体" w:hAnsi="宋体" w:cs="宋体"/>
          <w:color w:val="auto"/>
          <w:szCs w:val="21"/>
          <w:highlight w:val="none"/>
        </w:rPr>
        <w:t>.2 最终结清证书和支付</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bookmarkStart w:id="753" w:name="_Toc503196174"/>
      <w:bookmarkStart w:id="754" w:name="_Toc500174784"/>
      <w:bookmarkStart w:id="755" w:name="_Toc24700"/>
      <w:bookmarkStart w:id="756" w:name="_Toc22340"/>
      <w:r>
        <w:rPr>
          <w:rFonts w:hint="eastAsia" w:ascii="宋体" w:hAnsi="宋体" w:cs="宋体"/>
          <w:color w:val="auto"/>
          <w:szCs w:val="21"/>
          <w:highlight w:val="none"/>
        </w:rPr>
        <w:t>1</w:t>
      </w:r>
      <w:r>
        <w:rPr>
          <w:rFonts w:hint="eastAsia" w:hAnsi="宋体" w:cs="宋体"/>
          <w:color w:val="auto"/>
          <w:szCs w:val="21"/>
          <w:highlight w:val="none"/>
          <w:lang w:val="en-US" w:eastAsia="zh-CN"/>
        </w:rPr>
        <w:t>2</w:t>
      </w:r>
      <w:r>
        <w:rPr>
          <w:rFonts w:hint="eastAsia" w:ascii="宋体" w:hAnsi="宋体" w:cs="宋体"/>
          <w:color w:val="auto"/>
          <w:szCs w:val="21"/>
          <w:highlight w:val="none"/>
        </w:rPr>
        <w:t>. 缺陷责任期与保修</w:t>
      </w:r>
      <w:bookmarkEnd w:id="753"/>
      <w:bookmarkEnd w:id="754"/>
      <w:bookmarkEnd w:id="755"/>
      <w:bookmarkEnd w:id="756"/>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2</w:t>
      </w:r>
      <w:r>
        <w:rPr>
          <w:rFonts w:hint="eastAsia" w:ascii="宋体" w:hAnsi="宋体" w:cs="宋体"/>
          <w:color w:val="auto"/>
          <w:szCs w:val="21"/>
          <w:highlight w:val="none"/>
        </w:rPr>
        <w:t>.2缺陷责任期</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b/>
          <w:bCs/>
          <w:color w:val="auto"/>
          <w:szCs w:val="21"/>
          <w:highlight w:val="none"/>
          <w:u w:val="single"/>
        </w:rPr>
        <w:t xml:space="preserve"> </w:t>
      </w:r>
      <w:r>
        <w:rPr>
          <w:rFonts w:hint="eastAsia" w:hAnsi="宋体" w:cs="宋体"/>
          <w:b/>
          <w:bCs/>
          <w:color w:val="auto"/>
          <w:szCs w:val="21"/>
          <w:highlight w:val="none"/>
          <w:u w:val="single"/>
          <w:lang w:val="en-US" w:eastAsia="zh-CN"/>
        </w:rPr>
        <w:t>两年</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2</w:t>
      </w:r>
      <w:r>
        <w:rPr>
          <w:rFonts w:hint="eastAsia" w:ascii="宋体" w:hAnsi="宋体" w:cs="宋体"/>
          <w:color w:val="auto"/>
          <w:szCs w:val="21"/>
          <w:highlight w:val="none"/>
        </w:rPr>
        <w:t>.3 质量保证金</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在工程项目竣工前，承包人按专用合同条款第3.7条提供履约担保的，发包人不得同时预留工程质量保证金。</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2</w:t>
      </w:r>
      <w:r>
        <w:rPr>
          <w:rFonts w:hint="eastAsia" w:ascii="宋体" w:hAnsi="宋体" w:cs="宋体"/>
          <w:color w:val="auto"/>
          <w:szCs w:val="21"/>
          <w:highlight w:val="none"/>
        </w:rPr>
        <w:t>.3.1 承包人提供质量保证金的方式</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pPr>
        <w:autoSpaceDE w:val="0"/>
        <w:autoSpaceDN w:val="0"/>
        <w:adjustRightInd w:val="0"/>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autoSpaceDE w:val="0"/>
        <w:autoSpaceDN w:val="0"/>
        <w:adjustRightInd w:val="0"/>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%的工程款；</w:t>
      </w:r>
    </w:p>
    <w:p>
      <w:pPr>
        <w:autoSpaceDE w:val="0"/>
        <w:autoSpaceDN w:val="0"/>
        <w:adjustRightInd w:val="0"/>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color w:val="auto"/>
          <w:kern w:val="0"/>
          <w:szCs w:val="21"/>
          <w:highlight w:val="none"/>
          <w:u w:val="single"/>
        </w:rPr>
        <w:t xml:space="preserve">  </w:t>
      </w:r>
      <w:r>
        <w:rPr>
          <w:rFonts w:hint="eastAsia"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2</w:t>
      </w:r>
      <w:r>
        <w:rPr>
          <w:rFonts w:hint="eastAsia" w:ascii="宋体" w:hAnsi="宋体" w:cs="宋体"/>
          <w:color w:val="auto"/>
          <w:szCs w:val="21"/>
          <w:highlight w:val="none"/>
        </w:rPr>
        <w:t xml:space="preserve">.3.2 质量保证金的扣留 </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pPr>
        <w:autoSpaceDE w:val="0"/>
        <w:autoSpaceDN w:val="0"/>
        <w:adjustRightInd w:val="0"/>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w:t>
      </w:r>
    </w:p>
    <w:p>
      <w:pPr>
        <w:autoSpaceDE w:val="0"/>
        <w:autoSpaceDN w:val="0"/>
        <w:adjustRightInd w:val="0"/>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 xml:space="preserve">          </w:t>
      </w:r>
      <w:r>
        <w:rPr>
          <w:rFonts w:hint="eastAsia"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w:t>
      </w:r>
      <w:r>
        <w:rPr>
          <w:rFonts w:hint="eastAsia"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2</w:t>
      </w:r>
      <w:r>
        <w:rPr>
          <w:rFonts w:hint="eastAsia" w:ascii="宋体" w:hAnsi="宋体" w:cs="宋体"/>
          <w:color w:val="auto"/>
          <w:szCs w:val="21"/>
          <w:highlight w:val="none"/>
        </w:rPr>
        <w:t>.4保修</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2</w:t>
      </w:r>
      <w:r>
        <w:rPr>
          <w:rFonts w:hint="eastAsia" w:ascii="宋体" w:hAnsi="宋体" w:cs="宋体"/>
          <w:color w:val="auto"/>
          <w:szCs w:val="21"/>
          <w:highlight w:val="none"/>
        </w:rPr>
        <w:t>.4.1 保修责任</w:t>
      </w:r>
    </w:p>
    <w:p>
      <w:pPr>
        <w:widowControl/>
        <w:spacing w:line="400" w:lineRule="exact"/>
        <w:ind w:firstLine="460" w:firstLineChars="192"/>
        <w:rPr>
          <w:rFonts w:hint="eastAsia"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自竣工验收合格之日起计算，按</w:t>
      </w:r>
      <w:r>
        <w:rPr>
          <w:rFonts w:hint="eastAsia" w:ascii="宋体" w:hAnsi="宋体" w:cs="宋体"/>
          <w:color w:val="auto"/>
          <w:szCs w:val="21"/>
          <w:highlight w:val="none"/>
          <w:u w:val="single"/>
        </w:rPr>
        <w:t>工程质量保修书</w:t>
      </w:r>
      <w:r>
        <w:rPr>
          <w:rFonts w:hint="eastAsia" w:ascii="宋体" w:hAnsi="宋体" w:cs="宋体"/>
          <w:color w:val="auto"/>
          <w:kern w:val="0"/>
          <w:szCs w:val="21"/>
          <w:highlight w:val="none"/>
          <w:u w:val="single"/>
        </w:rPr>
        <w:t>执行。</w:t>
      </w: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自承包人收到保修通知起12小时内到达工程现场并修复缺陷或损坏 ，如承包人违反此规定，由发包人另行安排队伍进行修整，由此产生的费用将在承包人的质保金中双倍扣除。事后出现漏水、漏电等情况，承包人应在12小时内修复 </w:t>
      </w:r>
      <w:r>
        <w:rPr>
          <w:rFonts w:hint="eastAsia" w:ascii="宋体" w:hAnsi="宋体" w:cs="宋体"/>
          <w:color w:val="auto"/>
          <w:kern w:val="0"/>
          <w:szCs w:val="21"/>
          <w:highlight w:val="none"/>
        </w:rPr>
        <w:t>。</w:t>
      </w:r>
    </w:p>
    <w:p>
      <w:pPr>
        <w:spacing w:line="400" w:lineRule="exact"/>
        <w:ind w:firstLine="468" w:firstLineChars="195"/>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保修期内的维修：一般性维修承包方应在接到通知后12小时内到达；紧急事故承包方应在接到通知后6小时内到达现场抢修；事后出现渗漏水情况，承包方应在12小时内修复。</w:t>
      </w:r>
    </w:p>
    <w:p>
      <w:pPr>
        <w:spacing w:line="400" w:lineRule="exact"/>
        <w:ind w:firstLine="468" w:firstLineChars="195"/>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承包人末及时维修或末在合理期限维修完好、或经过两次维修都末能修好的，发包人有权自行请人代为维修并确定价格，所有修复费用及赔偿费用在支付承包人质保金时直接扣除，但不等于解除承包人应负的责任。</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承包人每次维修完毕，应负责将施工现场清理干净、并取得业主和使用单位的验收签字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原材料、构配件、半成品的检测试验单位必须征得建设单位的书面认可，承包人无权自行委托检测单位。即便承包人自行选择了有相应资质的检测单位，发包人有权否定该检测报告，并要求承包人重新检测试验并承担相应费用。</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承包人项目部管理人员有下列行为之一，经监理人、发包人及有关管理部门确认后，所有违约金经由发包人、监理人现场下发违约金通知单。</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承包人未按照相关规定进行验收，擅自进入下道工序施工的，责令改正，并处以2000元/次违约金。</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如果监理工程师发现承包人的行为违反施工技术规范或不执行监理工程师指令，除了采取措施纠正其错误行为外，处以1000元—2000元/次违约金。</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对于发包人、监理单位巡视或平行检验过程中提出的质量、安全等问题，承包人应在要求时间内整改完毕，否则，监理人发出监理通知，每发一份监理通知处1000元的违约金，同一问题每一次通知逾期仍不整改完毕或未整改的，每二次监理通知处2000元违约金，屡教不改的，责令停工整顿，违约金按5000元/次。</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按照合同专用条款约定及设计和有关标准要求采购材料或设备，并提供产品合格证明，对材料设备质量负责。不符合交易文件及合同约定的，必须及时清场，否则处以该种设备、材料价格10%违约金，由此延误的工期不予顺延。</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需要见证取样的材料必须见证取样，合格方可使用，未送检或送检不合格继续使用的，责令改正并处以 1000元/次违约金。</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对质量安全监督部门下发的关于质量安全问题的通知书，承包人应在规定时间内回复并立即整改，限期内不整改或整改不到位、同一事件引起质量安全监督部门再次下发通知书的，处以5000元/次违约金。</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工程资料不完善，</w:t>
      </w:r>
      <w:r>
        <w:rPr>
          <w:rFonts w:hint="eastAsia" w:ascii="宋体" w:hAnsi="宋体" w:cs="宋体"/>
          <w:bCs/>
          <w:color w:val="auto"/>
          <w:kern w:val="0"/>
          <w:szCs w:val="21"/>
          <w:highlight w:val="none"/>
        </w:rPr>
        <w:t>资料报告或检验结论的时间不符合实际施工节点时间要求的，</w:t>
      </w:r>
      <w:r>
        <w:rPr>
          <w:rFonts w:hint="eastAsia" w:ascii="宋体" w:hAnsi="宋体" w:cs="宋体"/>
          <w:color w:val="auto"/>
          <w:kern w:val="0"/>
          <w:szCs w:val="21"/>
          <w:highlight w:val="none"/>
        </w:rPr>
        <w:t>予以通报批评，并处以1000元/次违约金。</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工程资料必须按有关规定编制，与工程进度同步。发现资料出具不及时、与工程实体不相符的，处以500元/次违约金。</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未健全安全施工日志、台帐、会议纪录，安全资料不完整，责令改正，并处以500元/次违约金。</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未建立符合生产需要的安全经费使用计划、使用记录责令限期改正，如未在限期内整改落实处以5000元/次违约金。</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总包单位对分包单位质量、进度、安全的管理配合，即承包人参加分包工程验收，提出整改验收意见。分包单位的违约行为，均视为承包人违约。</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工程施工期间及保修期内由于施工质量产生的检测鉴定、修补、加固、返工及赔偿等费用由承包人自行承担。</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及时维修或未在合理期限内维修完好、或经过两次维修都未能修好的，发包人有权自行请人代为维修并确定价格，所有修复费用及赔偿费用在支付承包人质保金时直接扣除，但不等于解除承包人应负的责任。</w:t>
      </w:r>
    </w:p>
    <w:p>
      <w:pPr>
        <w:pStyle w:val="6"/>
        <w:spacing w:before="0" w:after="0" w:line="400" w:lineRule="exact"/>
        <w:ind w:firstLine="420" w:firstLineChars="200"/>
        <w:rPr>
          <w:rFonts w:hint="eastAsia" w:ascii="宋体" w:hAnsi="宋体" w:cs="宋体"/>
          <w:b w:val="0"/>
          <w:color w:val="auto"/>
          <w:sz w:val="21"/>
          <w:szCs w:val="21"/>
          <w:highlight w:val="none"/>
        </w:rPr>
      </w:pPr>
      <w:bookmarkStart w:id="757" w:name="_Toc503196175"/>
      <w:bookmarkStart w:id="758" w:name="_Toc12879"/>
      <w:bookmarkStart w:id="759" w:name="_Toc6671"/>
      <w:bookmarkStart w:id="760" w:name="_Toc500174785"/>
      <w:r>
        <w:rPr>
          <w:rFonts w:hint="eastAsia" w:ascii="宋体" w:hAnsi="宋体" w:cs="宋体"/>
          <w:b w:val="0"/>
          <w:color w:val="auto"/>
          <w:sz w:val="21"/>
          <w:szCs w:val="21"/>
          <w:highlight w:val="none"/>
        </w:rPr>
        <w:t>1</w:t>
      </w:r>
      <w:r>
        <w:rPr>
          <w:rFonts w:hint="eastAsia" w:ascii="宋体" w:hAnsi="宋体" w:cs="宋体"/>
          <w:b w:val="0"/>
          <w:color w:val="auto"/>
          <w:sz w:val="21"/>
          <w:szCs w:val="21"/>
          <w:highlight w:val="none"/>
          <w:lang w:val="en-US" w:eastAsia="zh-CN"/>
        </w:rPr>
        <w:t>3</w:t>
      </w:r>
      <w:r>
        <w:rPr>
          <w:rFonts w:hint="eastAsia" w:ascii="宋体" w:hAnsi="宋体" w:cs="宋体"/>
          <w:b w:val="0"/>
          <w:color w:val="auto"/>
          <w:sz w:val="21"/>
          <w:szCs w:val="21"/>
          <w:highlight w:val="none"/>
        </w:rPr>
        <w:t>. 违约</w:t>
      </w:r>
      <w:bookmarkEnd w:id="757"/>
      <w:bookmarkEnd w:id="758"/>
      <w:bookmarkEnd w:id="759"/>
      <w:bookmarkEnd w:id="760"/>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3</w:t>
      </w:r>
      <w:r>
        <w:rPr>
          <w:rFonts w:hint="eastAsia" w:ascii="宋体" w:hAnsi="宋体" w:cs="宋体"/>
          <w:color w:val="auto"/>
          <w:szCs w:val="21"/>
          <w:highlight w:val="none"/>
        </w:rPr>
        <w:t>.1 发包人违约</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3</w:t>
      </w:r>
      <w:r>
        <w:rPr>
          <w:rFonts w:hint="eastAsia" w:ascii="宋体" w:hAnsi="宋体" w:cs="宋体"/>
          <w:color w:val="auto"/>
          <w:szCs w:val="21"/>
          <w:highlight w:val="none"/>
        </w:rPr>
        <w:t>.1.1发包人违约的情形</w:t>
      </w:r>
    </w:p>
    <w:p>
      <w:pPr>
        <w:spacing w:line="40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hAnsi="宋体" w:cs="宋体"/>
          <w:color w:val="auto"/>
          <w:kern w:val="0"/>
          <w:szCs w:val="21"/>
          <w:highlight w:val="none"/>
          <w:lang w:val="en-US" w:eastAsia="zh-CN"/>
        </w:rPr>
        <w:t>3</w:t>
      </w:r>
      <w:r>
        <w:rPr>
          <w:rFonts w:hint="eastAsia" w:ascii="宋体" w:hAnsi="宋体" w:cs="宋体"/>
          <w:color w:val="auto"/>
          <w:kern w:val="0"/>
          <w:szCs w:val="21"/>
          <w:highlight w:val="none"/>
        </w:rPr>
        <w:t>.1.2 发包人违约的责任</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pPr>
        <w:spacing w:line="40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3</w:t>
      </w:r>
      <w:r>
        <w:rPr>
          <w:rFonts w:hint="eastAsia" w:ascii="宋体" w:hAnsi="宋体" w:cs="宋体"/>
          <w:color w:val="auto"/>
          <w:szCs w:val="21"/>
          <w:highlight w:val="none"/>
        </w:rPr>
        <w:t>.1.3 因发包人违约解除合同</w:t>
      </w:r>
    </w:p>
    <w:p>
      <w:pPr>
        <w:autoSpaceDE w:val="0"/>
        <w:autoSpaceDN w:val="0"/>
        <w:adjustRightInd w:val="0"/>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90 </w:t>
      </w:r>
      <w:r>
        <w:rPr>
          <w:rFonts w:hint="eastAsia" w:ascii="宋体" w:hAnsi="宋体" w:cs="宋体"/>
          <w:color w:val="auto"/>
          <w:kern w:val="0"/>
          <w:szCs w:val="21"/>
          <w:highlight w:val="none"/>
        </w:rPr>
        <w:t>天后发包人仍不纠正其违约行为并致使合同目的不能实现的，承包人有权解除合同。</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3</w:t>
      </w:r>
      <w:r>
        <w:rPr>
          <w:rFonts w:hint="eastAsia" w:ascii="宋体" w:hAnsi="宋体" w:cs="宋体"/>
          <w:color w:val="auto"/>
          <w:szCs w:val="21"/>
          <w:highlight w:val="none"/>
        </w:rPr>
        <w:t>.2 承包人违约</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hAnsi="宋体" w:cs="宋体"/>
          <w:color w:val="auto"/>
          <w:kern w:val="0"/>
          <w:szCs w:val="21"/>
          <w:highlight w:val="none"/>
          <w:lang w:val="en-US" w:eastAsia="zh-CN"/>
        </w:rPr>
        <w:t>3</w:t>
      </w:r>
      <w:r>
        <w:rPr>
          <w:rFonts w:hint="eastAsia" w:ascii="宋体" w:hAnsi="宋体" w:cs="宋体"/>
          <w:color w:val="auto"/>
          <w:kern w:val="0"/>
          <w:szCs w:val="21"/>
          <w:highlight w:val="none"/>
        </w:rPr>
        <w:t>.2.1 承包人违约的情形</w:t>
      </w:r>
    </w:p>
    <w:p>
      <w:pPr>
        <w:spacing w:line="40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       执行通用条款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hAnsi="宋体" w:cs="宋体"/>
          <w:color w:val="auto"/>
          <w:kern w:val="0"/>
          <w:szCs w:val="21"/>
          <w:highlight w:val="none"/>
          <w:lang w:val="en-US" w:eastAsia="zh-CN"/>
        </w:rPr>
        <w:t>3</w:t>
      </w:r>
      <w:r>
        <w:rPr>
          <w:rFonts w:hint="eastAsia" w:ascii="宋体" w:hAnsi="宋体" w:cs="宋体"/>
          <w:color w:val="auto"/>
          <w:kern w:val="0"/>
          <w:szCs w:val="21"/>
          <w:highlight w:val="none"/>
        </w:rPr>
        <w:t>.2.2承包人违约的责任</w:t>
      </w:r>
    </w:p>
    <w:p>
      <w:pPr>
        <w:spacing w:line="40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承包人违约责任的承担方式和计算方法：</w:t>
      </w:r>
      <w:r>
        <w:rPr>
          <w:rFonts w:hint="eastAsia" w:ascii="宋体" w:hAnsi="宋体" w:cs="宋体"/>
          <w:color w:val="auto"/>
          <w:kern w:val="0"/>
          <w:szCs w:val="21"/>
          <w:highlight w:val="none"/>
          <w:u w:val="single"/>
        </w:rPr>
        <w:t xml:space="preserve">     详见补充条款               </w:t>
      </w:r>
      <w:r>
        <w:rPr>
          <w:rFonts w:hint="eastAsia" w:ascii="宋体" w:hAnsi="宋体" w:cs="宋体"/>
          <w:color w:val="auto"/>
          <w:szCs w:val="21"/>
          <w:highlight w:val="none"/>
        </w:rPr>
        <w:t xml:space="preserve">   </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3</w:t>
      </w:r>
      <w:r>
        <w:rPr>
          <w:rFonts w:hint="eastAsia" w:ascii="宋体" w:hAnsi="宋体" w:cs="宋体"/>
          <w:color w:val="auto"/>
          <w:szCs w:val="21"/>
          <w:highlight w:val="none"/>
        </w:rPr>
        <w:t>.2.3 因承包人违约解除合同</w:t>
      </w:r>
    </w:p>
    <w:p>
      <w:pPr>
        <w:spacing w:before="120" w:after="120" w:line="400" w:lineRule="exact"/>
        <w:ind w:firstLine="48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w:t>
      </w:r>
    </w:p>
    <w:p>
      <w:pPr>
        <w:spacing w:line="400" w:lineRule="exact"/>
        <w:ind w:firstLine="48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pPr>
        <w:pStyle w:val="6"/>
        <w:spacing w:before="0" w:after="0" w:line="400" w:lineRule="exact"/>
        <w:ind w:firstLine="420" w:firstLineChars="200"/>
        <w:rPr>
          <w:rFonts w:hint="eastAsia" w:ascii="宋体" w:hAnsi="宋体" w:cs="宋体"/>
          <w:b w:val="0"/>
          <w:color w:val="auto"/>
          <w:sz w:val="21"/>
          <w:szCs w:val="21"/>
          <w:highlight w:val="none"/>
        </w:rPr>
      </w:pPr>
      <w:bookmarkStart w:id="761" w:name="_Toc22420"/>
      <w:bookmarkStart w:id="762" w:name="_Toc500174786"/>
      <w:bookmarkStart w:id="763" w:name="_Toc29660"/>
      <w:bookmarkStart w:id="764" w:name="_Toc503196176"/>
      <w:r>
        <w:rPr>
          <w:rFonts w:hint="eastAsia" w:ascii="宋体" w:hAnsi="宋体" w:cs="宋体"/>
          <w:b w:val="0"/>
          <w:color w:val="auto"/>
          <w:sz w:val="21"/>
          <w:szCs w:val="21"/>
          <w:highlight w:val="none"/>
        </w:rPr>
        <w:t>1</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 不可抗力</w:t>
      </w:r>
      <w:bookmarkEnd w:id="761"/>
      <w:bookmarkEnd w:id="762"/>
      <w:bookmarkEnd w:id="763"/>
      <w:bookmarkEnd w:id="764"/>
      <w:r>
        <w:rPr>
          <w:rFonts w:hint="eastAsia" w:ascii="宋体" w:hAnsi="宋体" w:cs="宋体"/>
          <w:b w:val="0"/>
          <w:color w:val="auto"/>
          <w:sz w:val="21"/>
          <w:szCs w:val="21"/>
          <w:highlight w:val="none"/>
        </w:rPr>
        <w:t xml:space="preserve"> </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4</w:t>
      </w:r>
      <w:r>
        <w:rPr>
          <w:rFonts w:hint="eastAsia" w:ascii="宋体" w:hAnsi="宋体" w:cs="宋体"/>
          <w:color w:val="auto"/>
          <w:szCs w:val="21"/>
          <w:highlight w:val="none"/>
        </w:rPr>
        <w:t>.1 不可抗力的确认</w:t>
      </w:r>
    </w:p>
    <w:p>
      <w:pPr>
        <w:spacing w:line="40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4</w:t>
      </w:r>
      <w:r>
        <w:rPr>
          <w:rFonts w:hint="eastAsia" w:ascii="宋体" w:hAnsi="宋体" w:cs="宋体"/>
          <w:color w:val="auto"/>
          <w:szCs w:val="21"/>
          <w:highlight w:val="none"/>
        </w:rPr>
        <w:t>.4 因不可抗力解除合同</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28</w:t>
      </w:r>
      <w:r>
        <w:rPr>
          <w:rFonts w:hint="eastAsia" w:ascii="宋体" w:hAnsi="宋体" w:cs="宋体"/>
          <w:color w:val="auto"/>
          <w:szCs w:val="21"/>
          <w:highlight w:val="none"/>
        </w:rPr>
        <w:t>天内完成款项的支付。</w:t>
      </w:r>
    </w:p>
    <w:p>
      <w:pPr>
        <w:spacing w:line="400" w:lineRule="exact"/>
        <w:ind w:firstLine="480" w:firstLineChars="200"/>
        <w:jc w:val="left"/>
        <w:rPr>
          <w:rFonts w:hint="eastAsia" w:ascii="宋体" w:hAnsi="宋体" w:cs="宋体"/>
          <w:color w:val="auto"/>
          <w:szCs w:val="21"/>
          <w:highlight w:val="none"/>
        </w:rPr>
      </w:pPr>
      <w:bookmarkStart w:id="765" w:name="_Toc503196177"/>
      <w:bookmarkStart w:id="766" w:name="_Toc500174787"/>
      <w:bookmarkStart w:id="767" w:name="_Toc25975"/>
      <w:bookmarkStart w:id="768" w:name="_Toc4380"/>
      <w:r>
        <w:rPr>
          <w:rFonts w:hint="eastAsia" w:ascii="宋体" w:hAnsi="宋体" w:cs="宋体"/>
          <w:color w:val="auto"/>
          <w:szCs w:val="21"/>
          <w:highlight w:val="none"/>
        </w:rPr>
        <w:t>1</w:t>
      </w:r>
      <w:r>
        <w:rPr>
          <w:rFonts w:hint="eastAsia" w:hAnsi="宋体" w:cs="宋体"/>
          <w:color w:val="auto"/>
          <w:szCs w:val="21"/>
          <w:highlight w:val="none"/>
          <w:lang w:val="en-US" w:eastAsia="zh-CN"/>
        </w:rPr>
        <w:t>5</w:t>
      </w:r>
      <w:r>
        <w:rPr>
          <w:rFonts w:hint="eastAsia" w:ascii="宋体" w:hAnsi="宋体" w:cs="宋体"/>
          <w:color w:val="auto"/>
          <w:szCs w:val="21"/>
          <w:highlight w:val="none"/>
        </w:rPr>
        <w:t>. 保险</w:t>
      </w:r>
      <w:bookmarkEnd w:id="765"/>
      <w:bookmarkEnd w:id="766"/>
      <w:bookmarkEnd w:id="767"/>
      <w:bookmarkEnd w:id="768"/>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5</w:t>
      </w:r>
      <w:r>
        <w:rPr>
          <w:rFonts w:hint="eastAsia" w:ascii="宋体" w:hAnsi="宋体" w:cs="宋体"/>
          <w:color w:val="auto"/>
          <w:szCs w:val="21"/>
          <w:highlight w:val="none"/>
        </w:rPr>
        <w:t>.1 工程保险</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 xml:space="preserve">           </w:t>
      </w:r>
      <w:r>
        <w:rPr>
          <w:rFonts w:hint="eastAsia"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5</w:t>
      </w:r>
      <w:r>
        <w:rPr>
          <w:rFonts w:hint="eastAsia" w:ascii="宋体" w:hAnsi="宋体" w:cs="宋体"/>
          <w:color w:val="auto"/>
          <w:szCs w:val="21"/>
          <w:highlight w:val="none"/>
        </w:rPr>
        <w:t>.3 其他保险</w:t>
      </w:r>
    </w:p>
    <w:p>
      <w:pPr>
        <w:spacing w:line="400" w:lineRule="exact"/>
        <w:ind w:firstLine="48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kern w:val="0"/>
          <w:szCs w:val="21"/>
          <w:highlight w:val="none"/>
          <w:u w:val="single"/>
        </w:rPr>
        <w:t xml:space="preserve">           </w:t>
      </w:r>
      <w:r>
        <w:rPr>
          <w:rFonts w:hint="eastAsia"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8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80" w:firstLineChars="200"/>
        <w:rPr>
          <w:rFonts w:hint="eastAsia" w:ascii="宋体" w:hAnsi="宋体" w:cs="宋体"/>
          <w:color w:val="auto"/>
          <w:szCs w:val="21"/>
          <w:highlight w:val="none"/>
        </w:rPr>
      </w:pPr>
      <w:r>
        <w:rPr>
          <w:rFonts w:hint="eastAsia" w:hAnsi="宋体" w:cs="宋体"/>
          <w:color w:val="auto"/>
          <w:szCs w:val="21"/>
          <w:highlight w:val="none"/>
          <w:lang w:val="en-US" w:eastAsia="zh-CN"/>
        </w:rPr>
        <w:t>16</w:t>
      </w:r>
      <w:r>
        <w:rPr>
          <w:rFonts w:hint="eastAsia" w:ascii="宋体" w:hAnsi="宋体" w:cs="宋体"/>
          <w:color w:val="auto"/>
          <w:szCs w:val="21"/>
          <w:highlight w:val="none"/>
        </w:rPr>
        <w:t>仲裁或诉讼</w:t>
      </w:r>
    </w:p>
    <w:p>
      <w:pPr>
        <w:spacing w:after="120"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（1）向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仲裁委员会申请仲裁；</w:t>
      </w:r>
    </w:p>
    <w:p>
      <w:pPr>
        <w:spacing w:line="400" w:lineRule="exact"/>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（2）向 </w:t>
      </w:r>
      <w:r>
        <w:rPr>
          <w:rFonts w:hint="eastAsia" w:ascii="宋体" w:hAnsi="宋体" w:cs="宋体"/>
          <w:color w:val="auto"/>
          <w:szCs w:val="21"/>
          <w:highlight w:val="none"/>
          <w:u w:val="single"/>
        </w:rPr>
        <w:t xml:space="preserve">  工程所在地    </w:t>
      </w:r>
      <w:r>
        <w:rPr>
          <w:rFonts w:hint="eastAsia" w:ascii="宋体" w:hAnsi="宋体" w:cs="宋体"/>
          <w:color w:val="auto"/>
          <w:szCs w:val="21"/>
          <w:highlight w:val="none"/>
        </w:rPr>
        <w:t>人民法院起诉。</w:t>
      </w:r>
    </w:p>
    <w:p>
      <w:pPr>
        <w:spacing w:line="360" w:lineRule="auto"/>
        <w:rPr>
          <w:rFonts w:hint="eastAsia" w:ascii="宋体" w:hAnsi="宋体" w:cs="宋体"/>
          <w:b/>
          <w:color w:val="auto"/>
          <w:highlight w:val="none"/>
        </w:rPr>
      </w:pPr>
    </w:p>
    <w:p>
      <w:pPr>
        <w:pStyle w:val="36"/>
        <w:rPr>
          <w:rFonts w:hint="eastAsia" w:ascii="宋体" w:hAnsi="宋体" w:cs="宋体"/>
          <w:b/>
          <w:color w:val="auto"/>
          <w:highlight w:val="none"/>
        </w:rPr>
      </w:pPr>
    </w:p>
    <w:p>
      <w:pPr>
        <w:adjustRightInd w:val="0"/>
        <w:snapToGrid w:val="0"/>
        <w:spacing w:line="360" w:lineRule="auto"/>
        <w:jc w:val="center"/>
        <w:outlineLvl w:val="0"/>
        <w:rPr>
          <w:rFonts w:hint="eastAsia" w:ascii="宋体" w:hAnsi="宋体" w:cs="宋体"/>
          <w:b/>
          <w:color w:val="auto"/>
          <w:sz w:val="32"/>
          <w:szCs w:val="32"/>
          <w:highlight w:val="none"/>
        </w:rPr>
      </w:pPr>
      <w:bookmarkStart w:id="769" w:name="_Toc19059"/>
      <w:bookmarkStart w:id="770" w:name="_Toc20282"/>
      <w:bookmarkStart w:id="771" w:name="_Toc95223514"/>
      <w:r>
        <w:rPr>
          <w:rFonts w:hint="eastAsia" w:ascii="宋体" w:hAnsi="宋体" w:cs="宋体"/>
          <w:b/>
          <w:color w:val="auto"/>
          <w:sz w:val="32"/>
          <w:szCs w:val="32"/>
          <w:highlight w:val="none"/>
        </w:rPr>
        <w:t>项目经理质量终身责任制承诺</w:t>
      </w:r>
      <w:bookmarkEnd w:id="769"/>
      <w:bookmarkEnd w:id="770"/>
      <w:bookmarkEnd w:id="771"/>
    </w:p>
    <w:p>
      <w:pPr>
        <w:adjustRightInd w:val="0"/>
        <w:snapToGrid w:val="0"/>
        <w:spacing w:line="360" w:lineRule="auto"/>
        <w:jc w:val="center"/>
        <w:outlineLvl w:val="0"/>
        <w:rPr>
          <w:rFonts w:hint="eastAsia" w:ascii="宋体" w:hAnsi="宋体" w:cs="宋体"/>
          <w:b/>
          <w:color w:val="auto"/>
          <w:sz w:val="32"/>
          <w:szCs w:val="32"/>
          <w:highlight w:val="none"/>
        </w:rPr>
      </w:pPr>
    </w:p>
    <w:p>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pPr>
        <w:spacing w:line="360" w:lineRule="auto"/>
        <w:ind w:left="410" w:leftChars="171" w:firstLine="720" w:firstLineChars="300"/>
        <w:rPr>
          <w:rFonts w:hint="eastAsia" w:ascii="宋体" w:hAnsi="宋体" w:cs="宋体"/>
          <w:bCs/>
          <w:color w:val="auto"/>
          <w:sz w:val="24"/>
          <w:szCs w:val="21"/>
          <w:highlight w:val="none"/>
        </w:rPr>
      </w:pPr>
    </w:p>
    <w:p>
      <w:pPr>
        <w:spacing w:line="360" w:lineRule="auto"/>
        <w:ind w:left="410" w:leftChars="171" w:firstLine="720" w:firstLineChars="300"/>
        <w:rPr>
          <w:rFonts w:hint="eastAsia" w:ascii="宋体" w:hAnsi="宋体" w:cs="宋体"/>
          <w:bCs/>
          <w:color w:val="auto"/>
          <w:sz w:val="24"/>
          <w:szCs w:val="21"/>
          <w:highlight w:val="none"/>
        </w:rPr>
      </w:pPr>
    </w:p>
    <w:p>
      <w:pPr>
        <w:spacing w:line="360" w:lineRule="auto"/>
        <w:ind w:left="410"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pPr>
        <w:spacing w:line="360" w:lineRule="auto"/>
        <w:ind w:left="410"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pPr>
        <w:keepNext/>
        <w:keepLines/>
        <w:spacing w:line="360" w:lineRule="auto"/>
        <w:ind w:firstLine="420"/>
        <w:jc w:val="center"/>
        <w:outlineLvl w:val="0"/>
        <w:rPr>
          <w:rFonts w:hint="eastAsia" w:ascii="宋体" w:hAnsi="宋体" w:cs="宋体"/>
          <w:bCs/>
          <w:color w:val="auto"/>
          <w:kern w:val="44"/>
          <w:sz w:val="32"/>
          <w:szCs w:val="44"/>
          <w:highlight w:val="none"/>
        </w:rPr>
      </w:pPr>
      <w:r>
        <w:rPr>
          <w:rFonts w:hint="eastAsia" w:ascii="宋体" w:hAnsi="宋体" w:cs="宋体"/>
          <w:color w:val="auto"/>
          <w:szCs w:val="21"/>
          <w:highlight w:val="none"/>
        </w:rPr>
        <w:br w:type="page"/>
      </w:r>
      <w:bookmarkStart w:id="772" w:name="_Toc4767"/>
      <w:bookmarkStart w:id="773" w:name="_Toc95223515"/>
      <w:r>
        <w:rPr>
          <w:rFonts w:hint="eastAsia" w:ascii="宋体" w:hAnsi="宋体" w:cs="宋体"/>
          <w:bCs/>
          <w:color w:val="auto"/>
          <w:kern w:val="44"/>
          <w:sz w:val="36"/>
          <w:szCs w:val="36"/>
          <w:highlight w:val="none"/>
        </w:rPr>
        <w:t>第六章  工程量清单</w:t>
      </w:r>
      <w:bookmarkEnd w:id="772"/>
      <w:bookmarkEnd w:id="773"/>
    </w:p>
    <w:p>
      <w:pPr>
        <w:spacing w:line="360" w:lineRule="auto"/>
        <w:ind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无</w:t>
      </w:r>
    </w:p>
    <w:p>
      <w:pPr>
        <w:rPr>
          <w:rFonts w:hint="eastAsia" w:ascii="宋体" w:hAnsi="宋体" w:cs="宋体"/>
          <w:b/>
          <w:color w:val="auto"/>
          <w:highlight w:val="none"/>
        </w:rPr>
      </w:pPr>
    </w:p>
    <w:p>
      <w:pPr>
        <w:rPr>
          <w:rFonts w:hint="eastAsia" w:ascii="宋体" w:hAnsi="宋体" w:cs="宋体"/>
          <w:b/>
          <w:color w:val="auto"/>
          <w:highlight w:val="none"/>
        </w:rPr>
      </w:pPr>
    </w:p>
    <w:p>
      <w:pPr>
        <w:pStyle w:val="3"/>
        <w:adjustRightInd w:val="0"/>
        <w:snapToGrid w:val="0"/>
        <w:spacing w:before="0" w:after="0" w:line="560" w:lineRule="exact"/>
        <w:jc w:val="center"/>
        <w:rPr>
          <w:rFonts w:hint="eastAsia" w:ascii="Times New Roman" w:hAnsi="Times New Roman" w:eastAsia="宋体" w:cs="Times New Roman"/>
          <w:b/>
          <w:bCs/>
          <w:color w:val="auto"/>
          <w:highlight w:val="none"/>
        </w:rPr>
      </w:pPr>
      <w:bookmarkStart w:id="774" w:name="_Toc95223522"/>
      <w:r>
        <w:rPr>
          <w:rFonts w:hint="eastAsia" w:ascii="Times New Roman" w:hAnsi="Times New Roman" w:eastAsia="宋体" w:cs="Times New Roman"/>
          <w:b/>
          <w:bCs/>
          <w:color w:val="auto"/>
          <w:highlight w:val="none"/>
        </w:rPr>
        <w:t xml:space="preserve">第七章 </w:t>
      </w:r>
      <w:bookmarkStart w:id="775" w:name="_Toc10656"/>
      <w:r>
        <w:rPr>
          <w:rFonts w:hint="eastAsia" w:ascii="Times New Roman" w:hAnsi="Times New Roman" w:eastAsia="宋体" w:cs="Times New Roman"/>
          <w:b/>
          <w:bCs/>
          <w:color w:val="auto"/>
          <w:highlight w:val="none"/>
        </w:rPr>
        <w:t>图  纸</w:t>
      </w:r>
      <w:bookmarkEnd w:id="774"/>
      <w:bookmarkEnd w:id="775"/>
    </w:p>
    <w:p>
      <w:pPr>
        <w:spacing w:line="360" w:lineRule="auto"/>
        <w:ind w:firstLine="480" w:firstLineChars="200"/>
        <w:rPr>
          <w:rFonts w:hint="eastAsia" w:ascii="宋体" w:hAnsi="宋体" w:cs="宋体"/>
          <w:color w:val="auto"/>
          <w:szCs w:val="21"/>
          <w:highlight w:val="none"/>
        </w:rPr>
      </w:pPr>
    </w:p>
    <w:p>
      <w:pPr>
        <w:spacing w:line="360" w:lineRule="auto"/>
        <w:ind w:firstLine="48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w:t>
      </w:r>
    </w:p>
    <w:p>
      <w:pPr>
        <w:rPr>
          <w:rFonts w:hint="eastAsia" w:ascii="宋体" w:hAnsi="宋体" w:cs="宋体"/>
          <w:color w:val="auto"/>
          <w:highlight w:val="none"/>
        </w:rPr>
      </w:pPr>
    </w:p>
    <w:p>
      <w:pPr>
        <w:pStyle w:val="3"/>
        <w:adjustRightInd w:val="0"/>
        <w:snapToGrid w:val="0"/>
        <w:spacing w:before="0" w:after="0" w:line="560" w:lineRule="exact"/>
        <w:jc w:val="center"/>
        <w:rPr>
          <w:rFonts w:hint="eastAsia"/>
          <w:color w:val="auto"/>
          <w:highlight w:val="none"/>
        </w:rPr>
      </w:pPr>
      <w:bookmarkStart w:id="776" w:name="_Toc4608"/>
      <w:bookmarkStart w:id="777" w:name="_Toc95223525"/>
    </w:p>
    <w:p>
      <w:pPr>
        <w:pStyle w:val="3"/>
        <w:adjustRightInd w:val="0"/>
        <w:snapToGrid w:val="0"/>
        <w:spacing w:before="0" w:after="0" w:line="560" w:lineRule="exact"/>
        <w:jc w:val="center"/>
        <w:rPr>
          <w:rFonts w:hint="eastAsia" w:ascii="宋体" w:hAnsi="宋体" w:cs="宋体"/>
          <w:bCs w:val="0"/>
          <w:color w:val="auto"/>
          <w:sz w:val="32"/>
          <w:highlight w:val="none"/>
        </w:rPr>
      </w:pPr>
      <w:r>
        <w:rPr>
          <w:rFonts w:hint="eastAsia"/>
          <w:color w:val="auto"/>
          <w:highlight w:val="none"/>
        </w:rPr>
        <w:t>第八章  技术标准和要求</w:t>
      </w:r>
      <w:bookmarkEnd w:id="776"/>
      <w:bookmarkEnd w:id="777"/>
    </w:p>
    <w:p>
      <w:pPr>
        <w:spacing w:line="360" w:lineRule="auto"/>
        <w:outlineLvl w:val="1"/>
        <w:rPr>
          <w:rFonts w:hint="eastAsia" w:ascii="宋体" w:hAnsi="宋体" w:cs="宋体"/>
          <w:color w:val="auto"/>
          <w:highlight w:val="none"/>
        </w:rPr>
      </w:pPr>
      <w:bookmarkStart w:id="778" w:name="_Toc95223526"/>
      <w:bookmarkStart w:id="779" w:name="_Toc32647"/>
      <w:r>
        <w:rPr>
          <w:rFonts w:hint="eastAsia" w:ascii="宋体" w:hAnsi="宋体" w:cs="宋体"/>
          <w:bCs/>
          <w:color w:val="auto"/>
          <w:szCs w:val="21"/>
          <w:highlight w:val="none"/>
        </w:rPr>
        <w:t>1.</w:t>
      </w:r>
      <w:r>
        <w:rPr>
          <w:rFonts w:hint="eastAsia" w:ascii="宋体" w:hAnsi="宋体" w:cs="宋体"/>
          <w:b/>
          <w:color w:val="auto"/>
          <w:highlight w:val="none"/>
        </w:rPr>
        <w:t xml:space="preserve"> </w:t>
      </w:r>
      <w:r>
        <w:rPr>
          <w:rFonts w:hint="eastAsia" w:ascii="宋体" w:hAnsi="宋体" w:cs="宋体"/>
          <w:color w:val="auto"/>
          <w:highlight w:val="none"/>
        </w:rPr>
        <w:t>一般要求</w:t>
      </w:r>
      <w:bookmarkEnd w:id="778"/>
      <w:bookmarkEnd w:id="779"/>
    </w:p>
    <w:p>
      <w:pPr>
        <w:spacing w:line="360" w:lineRule="auto"/>
        <w:outlineLvl w:val="1"/>
        <w:rPr>
          <w:rFonts w:hint="eastAsia" w:ascii="宋体" w:hAnsi="宋体" w:cs="宋体"/>
          <w:color w:val="auto"/>
          <w:highlight w:val="none"/>
        </w:rPr>
      </w:pPr>
      <w:bookmarkStart w:id="780" w:name="_Toc95223527"/>
      <w:bookmarkStart w:id="781" w:name="_Toc26107"/>
      <w:r>
        <w:rPr>
          <w:rFonts w:hint="eastAsia" w:ascii="宋体" w:hAnsi="宋体" w:cs="宋体"/>
          <w:bCs/>
          <w:color w:val="auto"/>
          <w:szCs w:val="21"/>
          <w:highlight w:val="none"/>
        </w:rPr>
        <w:t>2.</w:t>
      </w:r>
      <w:r>
        <w:rPr>
          <w:rFonts w:hint="eastAsia" w:ascii="宋体" w:hAnsi="宋体" w:cs="宋体"/>
          <w:b/>
          <w:color w:val="auto"/>
          <w:highlight w:val="none"/>
        </w:rPr>
        <w:t xml:space="preserve"> </w:t>
      </w:r>
      <w:r>
        <w:rPr>
          <w:rFonts w:hint="eastAsia" w:ascii="宋体" w:hAnsi="宋体" w:cs="宋体"/>
          <w:color w:val="auto"/>
          <w:highlight w:val="none"/>
        </w:rPr>
        <w:t>特殊技术标准和要求</w:t>
      </w:r>
      <w:bookmarkEnd w:id="780"/>
      <w:bookmarkEnd w:id="781"/>
    </w:p>
    <w:p>
      <w:pPr>
        <w:outlineLvl w:val="1"/>
        <w:rPr>
          <w:rFonts w:hint="eastAsia" w:ascii="宋体" w:hAnsi="宋体" w:cs="宋体"/>
          <w:color w:val="auto"/>
          <w:highlight w:val="none"/>
        </w:rPr>
      </w:pPr>
      <w:bookmarkStart w:id="782" w:name="_Toc30517"/>
      <w:bookmarkStart w:id="783" w:name="_Toc95223528"/>
      <w:r>
        <w:rPr>
          <w:rFonts w:hint="eastAsia" w:ascii="宋体" w:hAnsi="宋体" w:cs="宋体"/>
          <w:bCs/>
          <w:color w:val="auto"/>
          <w:szCs w:val="21"/>
          <w:highlight w:val="none"/>
        </w:rPr>
        <w:t>3.</w:t>
      </w:r>
      <w:r>
        <w:rPr>
          <w:rFonts w:hint="eastAsia" w:ascii="宋体" w:hAnsi="宋体" w:cs="宋体"/>
          <w:b/>
          <w:color w:val="auto"/>
          <w:highlight w:val="none"/>
        </w:rPr>
        <w:t xml:space="preserve"> </w:t>
      </w:r>
      <w:r>
        <w:rPr>
          <w:rFonts w:hint="eastAsia" w:ascii="宋体" w:hAnsi="宋体" w:cs="宋体"/>
          <w:color w:val="auto"/>
          <w:highlight w:val="none"/>
        </w:rPr>
        <w:t>适用的国家、行业以及地方标准、规范和规程</w:t>
      </w:r>
      <w:bookmarkEnd w:id="782"/>
      <w:bookmarkEnd w:id="783"/>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adjustRightInd w:val="0"/>
        <w:snapToGrid w:val="0"/>
        <w:spacing w:line="520" w:lineRule="exact"/>
        <w:rPr>
          <w:rFonts w:hint="eastAsia" w:ascii="宋体" w:hAnsi="宋体" w:cs="宋体"/>
          <w:color w:val="auto"/>
          <w:kern w:val="0"/>
          <w:szCs w:val="21"/>
          <w:highlight w:val="none"/>
        </w:rPr>
      </w:pPr>
    </w:p>
    <w:p>
      <w:pPr>
        <w:adjustRightInd w:val="0"/>
        <w:snapToGrid w:val="0"/>
        <w:spacing w:line="560" w:lineRule="exact"/>
        <w:rPr>
          <w:rFonts w:hint="eastAsia"/>
          <w:color w:val="auto"/>
          <w:highlight w:val="none"/>
        </w:rPr>
      </w:pPr>
      <w:bookmarkStart w:id="784" w:name="_Toc4784272"/>
      <w:bookmarkEnd w:id="784"/>
      <w:bookmarkStart w:id="785" w:name="_Toc4784277"/>
      <w:bookmarkEnd w:id="785"/>
      <w:bookmarkStart w:id="786" w:name="_Toc4784276"/>
      <w:bookmarkEnd w:id="786"/>
      <w:bookmarkStart w:id="787" w:name="_Toc4784273"/>
      <w:bookmarkEnd w:id="787"/>
    </w:p>
    <w:p>
      <w:pPr>
        <w:adjustRightInd w:val="0"/>
        <w:snapToGrid w:val="0"/>
        <w:spacing w:line="560" w:lineRule="exact"/>
        <w:rPr>
          <w:rFonts w:hint="eastAsia"/>
          <w:color w:val="auto"/>
          <w:highlight w:val="none"/>
        </w:rPr>
      </w:pPr>
    </w:p>
    <w:p>
      <w:pPr>
        <w:pStyle w:val="36"/>
        <w:rPr>
          <w:rFonts w:hint="eastAsia"/>
          <w:color w:val="auto"/>
          <w:highlight w:val="none"/>
        </w:rPr>
      </w:pPr>
      <w:r>
        <w:rPr>
          <w:rFonts w:hint="eastAsia"/>
          <w:color w:val="auto"/>
          <w:highlight w:val="none"/>
        </w:rPr>
        <w:br w:type="page"/>
      </w:r>
    </w:p>
    <w:p>
      <w:pPr>
        <w:pStyle w:val="3"/>
        <w:adjustRightInd w:val="0"/>
        <w:snapToGrid w:val="0"/>
        <w:spacing w:before="0" w:after="0" w:line="560" w:lineRule="exact"/>
        <w:jc w:val="center"/>
        <w:rPr>
          <w:rFonts w:hint="eastAsia"/>
          <w:color w:val="auto"/>
          <w:highlight w:val="none"/>
        </w:rPr>
      </w:pPr>
      <w:bookmarkStart w:id="788" w:name="_Toc95223531"/>
      <w:r>
        <w:rPr>
          <w:rFonts w:hint="eastAsia"/>
          <w:color w:val="auto"/>
          <w:highlight w:val="none"/>
        </w:rPr>
        <w:t>第九章   投标文件格式</w:t>
      </w:r>
      <w:bookmarkEnd w:id="788"/>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bookmarkStart w:id="789" w:name="_Toc15058933"/>
      <w:bookmarkStart w:id="790" w:name="_Toc60061573"/>
      <w:bookmarkStart w:id="791" w:name="_Toc506107339"/>
      <w:bookmarkStart w:id="792" w:name="_Toc484173788"/>
      <w:r>
        <w:rPr>
          <w:rFonts w:hint="eastAsia" w:eastAsia="黑体"/>
          <w:color w:val="auto"/>
          <w:sz w:val="28"/>
          <w:szCs w:val="28"/>
          <w:highlight w:val="none"/>
          <w:u w:val="single"/>
        </w:rPr>
        <w:t xml:space="preserve">            </w:t>
      </w:r>
      <w:bookmarkEnd w:id="789"/>
      <w:bookmarkEnd w:id="790"/>
      <w:bookmarkEnd w:id="791"/>
      <w:bookmarkEnd w:id="792"/>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793" w:name="_Toc144974855"/>
      <w:bookmarkStart w:id="794" w:name="_Toc179632806"/>
      <w:bookmarkStart w:id="795" w:name="_Toc246997097"/>
      <w:bookmarkStart w:id="796" w:name="_Toc247085872"/>
      <w:bookmarkStart w:id="797" w:name="_Toc152042575"/>
      <w:bookmarkStart w:id="798" w:name="_Toc246996354"/>
      <w:bookmarkStart w:id="799" w:name="_Toc152045786"/>
      <w:r>
        <w:rPr>
          <w:rFonts w:eastAsia="黑体"/>
          <w:color w:val="auto"/>
          <w:sz w:val="28"/>
          <w:szCs w:val="28"/>
          <w:highlight w:val="none"/>
        </w:rPr>
        <w:t>）</w:t>
      </w:r>
      <w:bookmarkStart w:id="800" w:name="_Toc60061574"/>
      <w:bookmarkStart w:id="801" w:name="_Toc506107340"/>
      <w:bookmarkStart w:id="802" w:name="_Toc324404888"/>
      <w:bookmarkStart w:id="803" w:name="_Toc15058934"/>
    </w:p>
    <w:p>
      <w:pPr>
        <w:adjustRightInd w:val="0"/>
        <w:snapToGrid w:val="0"/>
        <w:spacing w:line="560" w:lineRule="exact"/>
        <w:jc w:val="center"/>
        <w:rPr>
          <w:rFonts w:hint="eastAsia" w:eastAsia="黑体"/>
          <w:color w:val="auto"/>
          <w:sz w:val="20"/>
          <w:szCs w:val="20"/>
          <w:highlight w:val="none"/>
        </w:rPr>
      </w:pPr>
    </w:p>
    <w:p>
      <w:pPr>
        <w:adjustRightInd w:val="0"/>
        <w:snapToGrid w:val="0"/>
        <w:spacing w:line="560" w:lineRule="exact"/>
        <w:jc w:val="center"/>
        <w:rPr>
          <w:rFonts w:hint="eastAsia" w:eastAsia="黑体"/>
          <w:color w:val="auto"/>
          <w:sz w:val="20"/>
          <w:szCs w:val="20"/>
          <w:highlight w:val="none"/>
        </w:rPr>
      </w:pPr>
    </w:p>
    <w:p>
      <w:pPr>
        <w:adjustRightInd w:val="0"/>
        <w:snapToGrid w:val="0"/>
        <w:spacing w:line="560" w:lineRule="exact"/>
        <w:jc w:val="center"/>
        <w:rPr>
          <w:rFonts w:hint="eastAsia" w:eastAsia="黑体"/>
          <w:color w:val="auto"/>
          <w:sz w:val="20"/>
          <w:szCs w:val="20"/>
          <w:highlight w:val="none"/>
        </w:rPr>
      </w:pPr>
    </w:p>
    <w:p>
      <w:pPr>
        <w:adjustRightInd w:val="0"/>
        <w:snapToGrid w:val="0"/>
        <w:spacing w:line="560" w:lineRule="exact"/>
        <w:rPr>
          <w:rFonts w:hint="eastAsia" w:eastAsia="黑体"/>
          <w:color w:val="auto"/>
          <w:sz w:val="20"/>
          <w:szCs w:val="20"/>
          <w:highlight w:val="none"/>
        </w:rPr>
      </w:pPr>
    </w:p>
    <w:p>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w:t>
      </w:r>
      <w:bookmarkEnd w:id="793"/>
      <w:bookmarkEnd w:id="794"/>
      <w:bookmarkEnd w:id="795"/>
      <w:bookmarkEnd w:id="796"/>
      <w:bookmarkEnd w:id="797"/>
      <w:bookmarkEnd w:id="798"/>
      <w:bookmarkEnd w:id="799"/>
      <w:bookmarkEnd w:id="800"/>
      <w:bookmarkEnd w:id="801"/>
      <w:bookmarkEnd w:id="802"/>
      <w:bookmarkEnd w:id="803"/>
      <w:r>
        <w:rPr>
          <w:rFonts w:eastAsia="黑体"/>
          <w:color w:val="auto"/>
          <w:sz w:val="44"/>
          <w:szCs w:val="44"/>
          <w:highlight w:val="none"/>
        </w:rPr>
        <w:t xml:space="preserve">  件</w:t>
      </w:r>
      <w:r>
        <w:rPr>
          <w:rFonts w:hint="eastAsia" w:eastAsia="黑体"/>
          <w:color w:val="auto"/>
          <w:sz w:val="44"/>
          <w:szCs w:val="44"/>
          <w:highlight w:val="none"/>
        </w:rPr>
        <w:t xml:space="preserve"> 一</w:t>
      </w:r>
    </w:p>
    <w:p>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（资信证明文件）</w:t>
      </w:r>
    </w:p>
    <w:p>
      <w:pPr>
        <w:adjustRightInd w:val="0"/>
        <w:snapToGrid w:val="0"/>
        <w:spacing w:line="560" w:lineRule="exact"/>
        <w:rPr>
          <w:rFonts w:hint="eastAsia"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hint="eastAsia" w:eastAsia="黑体"/>
          <w:color w:val="auto"/>
          <w:sz w:val="28"/>
          <w:szCs w:val="28"/>
          <w:highlight w:val="none"/>
        </w:rPr>
      </w:pPr>
    </w:p>
    <w:p>
      <w:pPr>
        <w:adjustRightInd w:val="0"/>
        <w:snapToGrid w:val="0"/>
        <w:spacing w:line="560" w:lineRule="exact"/>
        <w:rPr>
          <w:rFonts w:hint="eastAsia"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ascii="宋体" w:hAnsi="Times New Roman" w:eastAsia="黑体" w:cs="Times New Roman"/>
          <w:color w:val="auto"/>
          <w:sz w:val="28"/>
          <w:szCs w:val="28"/>
          <w:highlight w:val="none"/>
          <w:lang w:val="en-US" w:eastAsia="zh-CN"/>
        </w:rPr>
        <w:t>盖章</w:t>
      </w:r>
      <w:r>
        <w:rPr>
          <w:rFonts w:eastAsia="黑体"/>
          <w:color w:val="auto"/>
          <w:sz w:val="28"/>
          <w:szCs w:val="28"/>
          <w:highlight w:val="none"/>
        </w:rPr>
        <w:t>）</w:t>
      </w:r>
    </w:p>
    <w:p>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ascii="宋体" w:hAnsi="Times New Roman" w:eastAsia="黑体" w:cs="Times New Roman"/>
          <w:color w:val="auto"/>
          <w:sz w:val="28"/>
          <w:szCs w:val="28"/>
          <w:highlight w:val="none"/>
          <w:lang w:val="en-US" w:eastAsia="zh-CN"/>
        </w:rPr>
        <w:t>签字或盖章</w:t>
      </w:r>
      <w:r>
        <w:rPr>
          <w:rFonts w:eastAsia="黑体"/>
          <w:color w:val="auto"/>
          <w:sz w:val="28"/>
          <w:szCs w:val="28"/>
          <w:highlight w:val="none"/>
        </w:rPr>
        <w:t>）</w:t>
      </w:r>
    </w:p>
    <w:p>
      <w:pPr>
        <w:adjustRightInd w:val="0"/>
        <w:snapToGrid w:val="0"/>
        <w:spacing w:line="560" w:lineRule="exact"/>
        <w:jc w:val="center"/>
        <w:rPr>
          <w:rFonts w:hint="eastAsia"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pStyle w:val="4"/>
        <w:rPr>
          <w:rFonts w:hint="eastAsia"/>
          <w:color w:val="auto"/>
          <w:highlight w:val="none"/>
        </w:rPr>
      </w:pPr>
      <w:bookmarkStart w:id="804" w:name="_Toc95223532"/>
      <w:bookmarkStart w:id="805" w:name="_Toc296602622"/>
      <w:bookmarkStart w:id="806" w:name="_Toc247085892"/>
      <w:bookmarkStart w:id="807" w:name="_Toc246997117"/>
      <w:bookmarkStart w:id="808" w:name="_Toc152045813"/>
      <w:bookmarkStart w:id="809" w:name="_Toc144974881"/>
      <w:bookmarkStart w:id="810" w:name="_Toc179632833"/>
      <w:bookmarkStart w:id="811" w:name="_Toc152042602"/>
      <w:bookmarkStart w:id="812" w:name="_Toc246996374"/>
      <w:r>
        <w:rPr>
          <w:rFonts w:hint="eastAsia"/>
          <w:color w:val="auto"/>
          <w:highlight w:val="none"/>
        </w:rPr>
        <w:t>投标文件一：资信证明文件目录</w:t>
      </w:r>
      <w:bookmarkEnd w:id="804"/>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①法定代表人身份证明和本人身份证(或法定代表人授权委托书和委托代理人身份证)；</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②诚信投标承诺书；</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③企业法人营业执照；</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④</w:t>
      </w:r>
      <w:r>
        <w:rPr>
          <w:rFonts w:hint="eastAsia" w:ascii="宋体" w:hAnsi="宋体" w:cs="宋体"/>
          <w:color w:val="auto"/>
          <w:szCs w:val="21"/>
          <w:highlight w:val="none"/>
        </w:rPr>
        <w:t>企业资质证书；</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⑤</w:t>
      </w:r>
      <w:r>
        <w:rPr>
          <w:rFonts w:hint="eastAsia" w:ascii="宋体" w:hAnsi="宋体" w:cs="宋体"/>
          <w:color w:val="auto"/>
          <w:szCs w:val="21"/>
          <w:highlight w:val="none"/>
        </w:rPr>
        <w:t>企业安全生产许可证；</w:t>
      </w:r>
    </w:p>
    <w:p>
      <w:pPr>
        <w:adjustRightInd w:val="0"/>
        <w:snapToGrid w:val="0"/>
        <w:spacing w:line="56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⑥</w:t>
      </w:r>
      <w:r>
        <w:rPr>
          <w:rFonts w:hint="eastAsia" w:ascii="宋体" w:hAnsi="宋体" w:cs="宋体"/>
          <w:color w:val="auto"/>
          <w:szCs w:val="21"/>
          <w:highlight w:val="none"/>
        </w:rPr>
        <w:t>建造师（拟任项目经理（建造师））身份证、建造师注册证书以及安全生产考核合格证书（B证）；</w:t>
      </w:r>
    </w:p>
    <w:p>
      <w:pPr>
        <w:widowControl/>
        <w:adjustRightInd w:val="0"/>
        <w:snapToGrid w:val="0"/>
        <w:spacing w:line="560" w:lineRule="exact"/>
        <w:ind w:firstLine="48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⑦</w:t>
      </w:r>
      <w:r>
        <w:rPr>
          <w:rFonts w:hint="eastAsia" w:ascii="宋体" w:hAnsi="宋体" w:cs="宋体"/>
          <w:color w:val="auto"/>
          <w:szCs w:val="21"/>
          <w:highlight w:val="none"/>
        </w:rPr>
        <w:t>投标申请人的法定代表人(或委托代理人)和拟任项目经理（建造师）须持有社保部门出具的本单位为其缴纳的投标前近三个月连续的养老保险证明</w:t>
      </w:r>
      <w:r>
        <w:rPr>
          <w:rFonts w:hint="eastAsia" w:hAnsi="宋体" w:cs="宋体"/>
          <w:color w:val="auto"/>
          <w:szCs w:val="21"/>
          <w:highlight w:val="none"/>
          <w:lang w:eastAsia="zh-CN"/>
        </w:rPr>
        <w:t>。</w:t>
      </w:r>
    </w:p>
    <w:p>
      <w:pPr>
        <w:adjustRightInd w:val="0"/>
        <w:snapToGrid w:val="0"/>
        <w:spacing w:line="560" w:lineRule="exact"/>
        <w:ind w:firstLine="480" w:firstLineChars="200"/>
        <w:rPr>
          <w:rFonts w:hint="eastAsia" w:ascii="宋体" w:hAnsi="宋体" w:cs="宋体"/>
          <w:color w:val="auto"/>
          <w:highlight w:val="none"/>
        </w:rPr>
      </w:pPr>
      <w:r>
        <w:rPr>
          <w:rFonts w:hint="eastAsia" w:ascii="宋体" w:hAnsi="宋体" w:cs="宋体"/>
          <w:color w:val="auto"/>
          <w:szCs w:val="21"/>
          <w:highlight w:val="none"/>
        </w:rPr>
        <w:t>⑧</w:t>
      </w:r>
      <w:r>
        <w:rPr>
          <w:rFonts w:hint="eastAsia" w:ascii="宋体" w:hAnsi="宋体" w:cs="宋体"/>
          <w:color w:val="auto"/>
          <w:highlight w:val="none"/>
        </w:rPr>
        <w:t>资信评审业绩、得分业绩等证明和投标人认为需要的其它证明材料；</w:t>
      </w:r>
    </w:p>
    <w:p>
      <w:pPr>
        <w:adjustRightInd w:val="0"/>
        <w:snapToGrid w:val="0"/>
        <w:spacing w:line="560" w:lineRule="exact"/>
        <w:ind w:firstLine="480" w:firstLineChars="200"/>
        <w:rPr>
          <w:rFonts w:hint="eastAsia" w:eastAsia="黑体"/>
          <w:color w:val="auto"/>
          <w:sz w:val="20"/>
          <w:szCs w:val="20"/>
          <w:highlight w:val="none"/>
        </w:rPr>
      </w:pPr>
      <w:r>
        <w:rPr>
          <w:rFonts w:hint="eastAsia" w:ascii="宋体" w:hAnsi="宋体" w:cs="宋体"/>
          <w:color w:val="auto"/>
          <w:highlight w:val="none"/>
        </w:rPr>
        <w:t>⑨</w:t>
      </w:r>
      <w:r>
        <w:rPr>
          <w:rFonts w:hint="eastAsia" w:ascii="宋体" w:hAnsi="宋体" w:cs="宋体"/>
          <w:color w:val="auto"/>
          <w:highlight w:val="none"/>
        </w:rPr>
        <w:t>资信评审业绩、得分业绩清单一览表。</w:t>
      </w:r>
    </w:p>
    <w:p>
      <w:pPr>
        <w:adjustRightInd w:val="0"/>
        <w:snapToGrid w:val="0"/>
        <w:spacing w:line="560" w:lineRule="exact"/>
        <w:rPr>
          <w:rFonts w:hint="eastAsia"/>
          <w:color w:val="auto"/>
          <w:highlight w:val="none"/>
        </w:rPr>
      </w:pPr>
    </w:p>
    <w:p>
      <w:pPr>
        <w:adjustRightInd w:val="0"/>
        <w:snapToGrid w:val="0"/>
        <w:spacing w:line="560" w:lineRule="exact"/>
        <w:rPr>
          <w:rFonts w:hint="eastAsia"/>
          <w:b/>
          <w:color w:val="auto"/>
          <w:sz w:val="28"/>
          <w:szCs w:val="28"/>
          <w:highlight w:val="none"/>
        </w:rPr>
      </w:pPr>
    </w:p>
    <w:p>
      <w:pPr>
        <w:adjustRightInd w:val="0"/>
        <w:snapToGrid w:val="0"/>
        <w:spacing w:line="560" w:lineRule="exact"/>
        <w:jc w:val="center"/>
        <w:rPr>
          <w:rFonts w:hint="eastAsia"/>
          <w:b/>
          <w:color w:val="auto"/>
          <w:sz w:val="28"/>
          <w:szCs w:val="28"/>
          <w:highlight w:val="none"/>
        </w:rPr>
      </w:pPr>
      <w:bookmarkStart w:id="813" w:name="_Toc506107353"/>
      <w:bookmarkStart w:id="814" w:name="_Toc58229121"/>
      <w:bookmarkStart w:id="815" w:name="_Toc15058940"/>
      <w:bookmarkStart w:id="816" w:name="_Toc60061581"/>
      <w:bookmarkStart w:id="817" w:name="_Toc484173797"/>
      <w:bookmarkStart w:id="818" w:name="_Toc499804616"/>
      <w:bookmarkStart w:id="819" w:name="_Toc324404893"/>
      <w:bookmarkStart w:id="820" w:name="_Toc11719"/>
    </w:p>
    <w:p>
      <w:pPr>
        <w:pStyle w:val="4"/>
        <w:rPr>
          <w:rFonts w:hint="eastAsia"/>
          <w:b w:val="0"/>
          <w:color w:val="auto"/>
          <w:sz w:val="28"/>
          <w:szCs w:val="28"/>
          <w:highlight w:val="none"/>
        </w:rPr>
      </w:pPr>
    </w:p>
    <w:p>
      <w:pPr>
        <w:rPr>
          <w:rFonts w:hint="eastAsia"/>
          <w:b/>
          <w:color w:val="auto"/>
          <w:sz w:val="28"/>
          <w:szCs w:val="28"/>
          <w:highlight w:val="none"/>
        </w:rPr>
      </w:pPr>
    </w:p>
    <w:p>
      <w:pPr>
        <w:pStyle w:val="4"/>
        <w:rPr>
          <w:rFonts w:hint="eastAsia"/>
          <w:b w:val="0"/>
          <w:color w:val="auto"/>
          <w:sz w:val="28"/>
          <w:szCs w:val="28"/>
          <w:highlight w:val="none"/>
        </w:rPr>
      </w:pPr>
    </w:p>
    <w:p>
      <w:pPr>
        <w:rPr>
          <w:rFonts w:hint="eastAsia"/>
          <w:color w:val="auto"/>
          <w:highlight w:val="none"/>
        </w:rPr>
      </w:pPr>
    </w:p>
    <w:p>
      <w:pPr>
        <w:pStyle w:val="4"/>
        <w:rPr>
          <w:rFonts w:hint="eastAsia"/>
          <w:b w:val="0"/>
          <w:color w:val="auto"/>
          <w:sz w:val="28"/>
          <w:szCs w:val="28"/>
          <w:highlight w:val="none"/>
        </w:rPr>
      </w:pPr>
    </w:p>
    <w:p>
      <w:pPr>
        <w:rPr>
          <w:rFonts w:hint="eastAsia"/>
          <w:b/>
          <w:color w:val="auto"/>
          <w:sz w:val="28"/>
          <w:szCs w:val="28"/>
          <w:highlight w:val="none"/>
        </w:rPr>
      </w:pPr>
    </w:p>
    <w:p>
      <w:pPr>
        <w:adjustRightInd w:val="0"/>
        <w:snapToGrid w:val="0"/>
        <w:spacing w:line="560" w:lineRule="exact"/>
        <w:jc w:val="center"/>
        <w:rPr>
          <w:rFonts w:hint="eastAsia" w:ascii="宋体"/>
          <w:b/>
          <w:color w:val="auto"/>
          <w:sz w:val="28"/>
          <w:szCs w:val="28"/>
          <w:highlight w:val="none"/>
        </w:rPr>
      </w:pPr>
      <w:r>
        <w:rPr>
          <w:rFonts w:hint="eastAsia"/>
          <w:b/>
          <w:color w:val="auto"/>
          <w:sz w:val="28"/>
          <w:szCs w:val="28"/>
          <w:highlight w:val="none"/>
        </w:rPr>
        <w:t>①法定代表人身份证</w:t>
      </w:r>
      <w:bookmarkEnd w:id="813"/>
      <w:bookmarkEnd w:id="814"/>
      <w:bookmarkEnd w:id="815"/>
      <w:bookmarkEnd w:id="816"/>
      <w:bookmarkEnd w:id="817"/>
      <w:bookmarkEnd w:id="818"/>
      <w:r>
        <w:rPr>
          <w:rFonts w:hint="eastAsia"/>
          <w:b/>
          <w:color w:val="auto"/>
          <w:sz w:val="28"/>
          <w:szCs w:val="28"/>
          <w:highlight w:val="none"/>
        </w:rPr>
        <w:t>明或授权委托书</w:t>
      </w:r>
      <w:bookmarkEnd w:id="805"/>
      <w:bookmarkEnd w:id="806"/>
      <w:bookmarkEnd w:id="807"/>
      <w:bookmarkEnd w:id="808"/>
      <w:bookmarkEnd w:id="809"/>
      <w:bookmarkEnd w:id="810"/>
      <w:bookmarkEnd w:id="811"/>
      <w:bookmarkEnd w:id="812"/>
      <w:bookmarkEnd w:id="819"/>
      <w:bookmarkEnd w:id="820"/>
    </w:p>
    <w:p>
      <w:pPr>
        <w:pStyle w:val="92"/>
        <w:adjustRightInd w:val="0"/>
        <w:snapToGrid w:val="0"/>
        <w:spacing w:line="560" w:lineRule="exact"/>
        <w:rPr>
          <w:rFonts w:hint="eastAsia" w:ascii="宋体"/>
          <w:b/>
          <w:color w:val="auto"/>
          <w:sz w:val="30"/>
          <w:szCs w:val="30"/>
          <w:highlight w:val="none"/>
        </w:rPr>
      </w:pPr>
      <w:r>
        <w:rPr>
          <w:rFonts w:hint="eastAsia" w:ascii="宋体"/>
          <w:color w:val="auto"/>
          <w:sz w:val="30"/>
          <w:szCs w:val="30"/>
          <w:highlight w:val="none"/>
        </w:rPr>
        <w:t>1.法定代表人身份证明</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投标人名称：</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单位性质：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地    址：</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成立时间：</w:t>
      </w: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经营期限：</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pPr>
        <w:adjustRightInd w:val="0"/>
        <w:snapToGrid w:val="0"/>
        <w:spacing w:line="560" w:lineRule="exact"/>
        <w:jc w:val="left"/>
        <w:rPr>
          <w:rFonts w:hint="eastAsia" w:ascii="宋体"/>
          <w:color w:val="auto"/>
          <w:sz w:val="28"/>
          <w:szCs w:val="28"/>
          <w:highlight w:val="none"/>
          <w:u w:val="single"/>
        </w:rPr>
      </w:pPr>
      <w:r>
        <w:rPr>
          <w:rFonts w:hint="eastAsia" w:ascii="宋体"/>
          <w:color w:val="auto"/>
          <w:spacing w:val="240"/>
          <w:sz w:val="28"/>
          <w:szCs w:val="28"/>
          <w:highlight w:val="none"/>
        </w:rPr>
        <w:t>姓</w:t>
      </w:r>
      <w:r>
        <w:rPr>
          <w:rFonts w:hint="eastAsia" w:ascii="宋体"/>
          <w:color w:val="auto"/>
          <w:sz w:val="28"/>
          <w:szCs w:val="28"/>
          <w:highlight w:val="none"/>
        </w:rPr>
        <w:t>名：</w:t>
      </w:r>
      <w:r>
        <w:rPr>
          <w:rFonts w:hint="eastAsia" w:ascii="宋体"/>
          <w:color w:val="auto"/>
          <w:sz w:val="28"/>
          <w:szCs w:val="28"/>
          <w:highlight w:val="none"/>
          <w:u w:val="single"/>
        </w:rPr>
        <w:t xml:space="preserve">           </w:t>
      </w:r>
      <w:r>
        <w:rPr>
          <w:rFonts w:hint="eastAsia" w:ascii="宋体"/>
          <w:color w:val="auto"/>
          <w:sz w:val="28"/>
          <w:szCs w:val="28"/>
          <w:highlight w:val="none"/>
        </w:rPr>
        <w:t>身份证号码：</w:t>
      </w:r>
      <w:r>
        <w:rPr>
          <w:rFonts w:hint="eastAsia" w:ascii="宋体"/>
          <w:color w:val="auto"/>
          <w:sz w:val="28"/>
          <w:szCs w:val="28"/>
          <w:highlight w:val="none"/>
          <w:u w:val="single"/>
        </w:rPr>
        <w:t xml:space="preserve">             </w:t>
      </w:r>
      <w:r>
        <w:rPr>
          <w:rFonts w:hint="eastAsia" w:ascii="宋体"/>
          <w:color w:val="auto"/>
          <w:sz w:val="28"/>
          <w:szCs w:val="28"/>
          <w:highlight w:val="none"/>
        </w:rPr>
        <w:t>性别</w:t>
      </w:r>
      <w:r>
        <w:rPr>
          <w:rFonts w:hint="eastAsia" w:ascii="宋体"/>
          <w:color w:val="auto"/>
          <w:sz w:val="28"/>
          <w:szCs w:val="28"/>
          <w:highlight w:val="none"/>
          <w:u w:val="single"/>
        </w:rPr>
        <w:t xml:space="preserve">：            </w:t>
      </w:r>
      <w:r>
        <w:rPr>
          <w:rFonts w:hint="eastAsia"/>
          <w:color w:val="auto"/>
          <w:sz w:val="28"/>
          <w:szCs w:val="28"/>
          <w:highlight w:val="none"/>
          <w:u w:val="single"/>
          <w:lang w:eastAsia="zh-CN"/>
        </w:rPr>
        <w:t>。</w:t>
      </w:r>
      <w:r>
        <w:rPr>
          <w:rFonts w:hint="eastAsia" w:ascii="宋体"/>
          <w:color w:val="auto"/>
          <w:sz w:val="28"/>
          <w:szCs w:val="28"/>
          <w:highlight w:val="none"/>
        </w:rPr>
        <w:t>年龄：</w:t>
      </w:r>
      <w:r>
        <w:rPr>
          <w:rFonts w:hint="eastAsia" w:ascii="宋体"/>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color w:val="auto"/>
          <w:sz w:val="28"/>
          <w:szCs w:val="28"/>
          <w:highlight w:val="none"/>
          <w:u w:val="single"/>
          <w:lang w:eastAsia="zh-CN"/>
        </w:rPr>
        <w:t>，</w:t>
      </w:r>
      <w:r>
        <w:rPr>
          <w:rFonts w:hint="eastAsia" w:ascii="宋体"/>
          <w:color w:val="auto"/>
          <w:sz w:val="28"/>
          <w:szCs w:val="28"/>
          <w:highlight w:val="none"/>
        </w:rPr>
        <w:t>职务：</w:t>
      </w:r>
      <w:r>
        <w:rPr>
          <w:rFonts w:hint="eastAsia" w:ascii="宋体"/>
          <w:color w:val="auto"/>
          <w:sz w:val="28"/>
          <w:szCs w:val="28"/>
          <w:highlight w:val="none"/>
          <w:u w:val="single"/>
        </w:rPr>
        <w:t xml:space="preserve">       </w:t>
      </w:r>
      <w:r>
        <w:rPr>
          <w:rFonts w:hint="eastAsia" w:ascii="宋体"/>
          <w:color w:val="auto"/>
          <w:sz w:val="28"/>
          <w:szCs w:val="28"/>
          <w:highlight w:val="none"/>
        </w:rPr>
        <w:t>，系</w:t>
      </w:r>
      <w:r>
        <w:rPr>
          <w:rFonts w:hint="eastAsia" w:ascii="宋体"/>
          <w:color w:val="auto"/>
          <w:sz w:val="28"/>
          <w:szCs w:val="28"/>
          <w:highlight w:val="none"/>
          <w:u w:val="single"/>
        </w:rPr>
        <w:t xml:space="preserve">                                </w:t>
      </w:r>
      <w:r>
        <w:rPr>
          <w:rFonts w:hint="eastAsia" w:ascii="宋体"/>
          <w:color w:val="auto"/>
          <w:sz w:val="28"/>
          <w:szCs w:val="28"/>
          <w:highlight w:val="none"/>
        </w:rPr>
        <w:t>（投标人名称）的法定代表人。</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特此证明。</w:t>
      </w:r>
    </w:p>
    <w:p>
      <w:pPr>
        <w:adjustRightInd w:val="0"/>
        <w:snapToGrid w:val="0"/>
        <w:spacing w:line="560" w:lineRule="exact"/>
        <w:rPr>
          <w:rFonts w:hint="eastAsia" w:ascii="宋体"/>
          <w:color w:val="auto"/>
          <w:sz w:val="28"/>
          <w:szCs w:val="28"/>
          <w:highlight w:val="none"/>
        </w:rPr>
      </w:pPr>
    </w:p>
    <w:p>
      <w:pPr>
        <w:adjustRightInd w:val="0"/>
        <w:snapToGrid w:val="0"/>
        <w:spacing w:line="560" w:lineRule="exact"/>
        <w:rPr>
          <w:rFonts w:hint="eastAsia" w:ascii="宋体"/>
          <w:color w:val="auto"/>
          <w:sz w:val="28"/>
          <w:szCs w:val="28"/>
          <w:highlight w:val="none"/>
        </w:rPr>
      </w:pPr>
    </w:p>
    <w:p>
      <w:pPr>
        <w:adjustRightInd w:val="0"/>
        <w:snapToGrid w:val="0"/>
        <w:spacing w:line="560" w:lineRule="exact"/>
        <w:rPr>
          <w:rFonts w:hint="eastAsia" w:ascii="宋体"/>
          <w:color w:val="auto"/>
          <w:sz w:val="28"/>
          <w:szCs w:val="28"/>
          <w:highlight w:val="none"/>
        </w:rPr>
      </w:pPr>
    </w:p>
    <w:p>
      <w:pPr>
        <w:adjustRightInd w:val="0"/>
        <w:snapToGrid w:val="0"/>
        <w:spacing w:line="560" w:lineRule="exact"/>
        <w:ind w:firstLine="4340" w:firstLineChars="1550"/>
        <w:rPr>
          <w:rFonts w:hint="eastAsia" w:ascii="宋体"/>
          <w:color w:val="auto"/>
          <w:sz w:val="28"/>
          <w:szCs w:val="28"/>
          <w:highlight w:val="non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hAnsi="Times New Roman" w:eastAsia="宋体" w:cs="Times New Roman"/>
          <w:color w:val="auto"/>
          <w:sz w:val="28"/>
          <w:szCs w:val="28"/>
          <w:highlight w:val="none"/>
          <w:lang w:val="en-US" w:eastAsia="zh-CN"/>
        </w:rPr>
        <w:t>盖章</w:t>
      </w:r>
      <w:r>
        <w:rPr>
          <w:rFonts w:hint="eastAsia" w:ascii="宋体"/>
          <w:color w:val="auto"/>
          <w:sz w:val="28"/>
          <w:szCs w:val="28"/>
          <w:highlight w:val="none"/>
        </w:rPr>
        <w:t>）</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                                        年    月     日</w:t>
      </w:r>
    </w:p>
    <w:p>
      <w:pPr>
        <w:adjustRightInd w:val="0"/>
        <w:snapToGrid w:val="0"/>
        <w:spacing w:line="560" w:lineRule="exact"/>
        <w:rPr>
          <w:rFonts w:hint="eastAsia" w:ascii="宋体"/>
          <w:color w:val="auto"/>
          <w:sz w:val="28"/>
          <w:szCs w:val="28"/>
          <w:highlight w:val="none"/>
        </w:rPr>
      </w:pPr>
    </w:p>
    <w:p>
      <w:pPr>
        <w:adjustRightInd w:val="0"/>
        <w:snapToGrid w:val="0"/>
        <w:spacing w:line="560" w:lineRule="exact"/>
        <w:rPr>
          <w:rFonts w:hint="eastAsia" w:ascii="宋体"/>
          <w:color w:val="auto"/>
          <w:sz w:val="28"/>
          <w:szCs w:val="28"/>
          <w:highlight w:val="none"/>
        </w:rPr>
      </w:pPr>
    </w:p>
    <w:p>
      <w:pPr>
        <w:pStyle w:val="92"/>
        <w:adjustRightInd w:val="0"/>
        <w:snapToGrid w:val="0"/>
        <w:spacing w:line="560" w:lineRule="exact"/>
        <w:rPr>
          <w:rFonts w:hint="eastAsia" w:ascii="宋体"/>
          <w:color w:val="auto"/>
          <w:sz w:val="30"/>
          <w:szCs w:val="30"/>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pStyle w:val="92"/>
        <w:adjustRightInd w:val="0"/>
        <w:snapToGrid w:val="0"/>
        <w:spacing w:line="560" w:lineRule="exact"/>
        <w:rPr>
          <w:rFonts w:hint="eastAsia" w:ascii="宋体"/>
          <w:color w:val="auto"/>
          <w:sz w:val="30"/>
          <w:szCs w:val="30"/>
          <w:highlight w:val="none"/>
        </w:rPr>
      </w:pPr>
    </w:p>
    <w:p>
      <w:pPr>
        <w:pStyle w:val="92"/>
        <w:adjustRightInd w:val="0"/>
        <w:snapToGrid w:val="0"/>
        <w:spacing w:line="560" w:lineRule="exact"/>
        <w:jc w:val="both"/>
        <w:rPr>
          <w:rFonts w:hint="eastAsia" w:ascii="宋体"/>
          <w:color w:val="auto"/>
          <w:sz w:val="30"/>
          <w:szCs w:val="30"/>
          <w:highlight w:val="none"/>
        </w:rPr>
      </w:pPr>
    </w:p>
    <w:p>
      <w:pPr>
        <w:pStyle w:val="92"/>
        <w:adjustRightInd w:val="0"/>
        <w:snapToGrid w:val="0"/>
        <w:spacing w:line="560" w:lineRule="exact"/>
        <w:rPr>
          <w:rFonts w:hint="eastAsia" w:ascii="宋体"/>
          <w:color w:val="auto"/>
          <w:sz w:val="30"/>
          <w:szCs w:val="30"/>
          <w:highlight w:val="none"/>
        </w:rPr>
      </w:pPr>
      <w:r>
        <w:rPr>
          <w:rFonts w:hint="eastAsia" w:ascii="宋体"/>
          <w:color w:val="auto"/>
          <w:sz w:val="30"/>
          <w:szCs w:val="30"/>
          <w:highlight w:val="none"/>
        </w:rPr>
        <w:t>2. 授权委托书</w:t>
      </w:r>
    </w:p>
    <w:p>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 xml:space="preserve">本人 </w:t>
      </w:r>
      <w:r>
        <w:rPr>
          <w:rFonts w:hint="eastAsia" w:ascii="宋体"/>
          <w:color w:val="auto"/>
          <w:sz w:val="28"/>
          <w:szCs w:val="28"/>
          <w:highlight w:val="none"/>
          <w:u w:val="single"/>
        </w:rPr>
        <w:t xml:space="preserve">    </w:t>
      </w:r>
      <w:r>
        <w:rPr>
          <w:rFonts w:hint="eastAsia" w:ascii="宋体"/>
          <w:color w:val="auto"/>
          <w:sz w:val="28"/>
          <w:szCs w:val="28"/>
          <w:highlight w:val="none"/>
        </w:rPr>
        <w:t>（姓名）系</w:t>
      </w:r>
      <w:r>
        <w:rPr>
          <w:rFonts w:hint="eastAsia" w:ascii="宋体"/>
          <w:color w:val="auto"/>
          <w:sz w:val="28"/>
          <w:szCs w:val="28"/>
          <w:highlight w:val="none"/>
          <w:u w:val="single"/>
        </w:rPr>
        <w:t xml:space="preserve">       </w:t>
      </w:r>
      <w:r>
        <w:rPr>
          <w:rFonts w:hint="eastAsia" w:ascii="宋体"/>
          <w:color w:val="auto"/>
          <w:sz w:val="28"/>
          <w:szCs w:val="28"/>
          <w:highlight w:val="none"/>
        </w:rPr>
        <w:t>（投标人）的法定代表人，现委托</w:t>
      </w:r>
      <w:r>
        <w:rPr>
          <w:rFonts w:hint="eastAsia" w:ascii="宋体"/>
          <w:color w:val="auto"/>
          <w:sz w:val="28"/>
          <w:szCs w:val="28"/>
          <w:highlight w:val="none"/>
          <w:u w:val="single"/>
        </w:rPr>
        <w:t xml:space="preserve">   </w:t>
      </w:r>
      <w:r>
        <w:rPr>
          <w:rFonts w:hint="eastAsia" w:ascii="宋体"/>
          <w:color w:val="auto"/>
          <w:sz w:val="28"/>
          <w:szCs w:val="28"/>
          <w:highlight w:val="none"/>
        </w:rPr>
        <w:t>（姓名）为我方代理人。代理人根据授权，以我方名义签署、澄清、说明、补正、递交、撤回、修改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”(项目名称、编号）投标文件，全权处理与该项目投标、评审答疑、签订合同以及与合同执行有关的一切事务，其法律后果由我方承担。</w:t>
      </w:r>
    </w:p>
    <w:p>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 xml:space="preserve">委托期限： </w:t>
      </w:r>
      <w:r>
        <w:rPr>
          <w:rFonts w:hint="eastAsia" w:ascii="宋体" w:cs="宋体"/>
          <w:color w:val="auto"/>
          <w:sz w:val="28"/>
          <w:szCs w:val="28"/>
          <w:highlight w:val="none"/>
          <w:u w:val="single"/>
        </w:rPr>
        <w:t xml:space="preserve">  </w:t>
      </w:r>
      <w:r>
        <w:rPr>
          <w:rFonts w:hint="eastAsia" w:cs="宋体"/>
          <w:color w:val="auto"/>
          <w:sz w:val="28"/>
          <w:szCs w:val="28"/>
          <w:highlight w:val="none"/>
          <w:u w:val="single"/>
          <w:lang w:val="en-US" w:eastAsia="zh-CN"/>
        </w:rPr>
        <w:t>同投标有效期</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代理人无转委托权。</w:t>
      </w:r>
    </w:p>
    <w:p>
      <w:pPr>
        <w:adjustRightInd w:val="0"/>
        <w:snapToGrid w:val="0"/>
        <w:spacing w:line="560" w:lineRule="exact"/>
        <w:ind w:firstLine="562" w:firstLineChars="200"/>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附：委托代理人有效身份证扫描件</w:t>
      </w:r>
    </w:p>
    <w:p>
      <w:pPr>
        <w:adjustRightInd w:val="0"/>
        <w:snapToGrid w:val="0"/>
        <w:spacing w:line="560" w:lineRule="exact"/>
        <w:ind w:firstLine="1124" w:firstLineChars="400"/>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法定代表人有效身份证扫描件</w:t>
      </w:r>
    </w:p>
    <w:p>
      <w:pPr>
        <w:adjustRightInd w:val="0"/>
        <w:snapToGrid w:val="0"/>
        <w:spacing w:line="560" w:lineRule="exact"/>
        <w:ind w:firstLine="1124" w:firstLineChars="400"/>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val="en-US" w:eastAsia="zh-CN"/>
        </w:rPr>
        <w:t>项目负责人</w:t>
      </w:r>
      <w:r>
        <w:rPr>
          <w:rFonts w:hint="eastAsia" w:ascii="宋体" w:hAnsi="Times New Roman" w:eastAsia="宋体" w:cs="Times New Roman"/>
          <w:b/>
          <w:color w:val="auto"/>
          <w:sz w:val="28"/>
          <w:szCs w:val="28"/>
          <w:highlight w:val="none"/>
        </w:rPr>
        <w:t>有效身份证扫描件</w:t>
      </w:r>
    </w:p>
    <w:p>
      <w:pPr>
        <w:adjustRightInd w:val="0"/>
        <w:snapToGrid w:val="0"/>
        <w:spacing w:line="560" w:lineRule="exact"/>
        <w:ind w:firstLine="560" w:firstLineChars="200"/>
        <w:rPr>
          <w:rFonts w:hint="eastAsia" w:ascii="宋体"/>
          <w:color w:val="auto"/>
          <w:sz w:val="28"/>
          <w:szCs w:val="28"/>
          <w:highlight w:val="none"/>
        </w:rPr>
      </w:pPr>
    </w:p>
    <w:p>
      <w:pPr>
        <w:adjustRightInd w:val="0"/>
        <w:snapToGrid w:val="0"/>
        <w:spacing w:line="560" w:lineRule="exact"/>
        <w:jc w:val="both"/>
        <w:rPr>
          <w:rFonts w:hint="eastAsia" w:ascii="宋体"/>
          <w:color w:val="auto"/>
          <w:sz w:val="28"/>
          <w:szCs w:val="28"/>
          <w:highlight w:val="none"/>
        </w:rPr>
      </w:pPr>
      <w:r>
        <w:rPr>
          <w:rFonts w:hint="eastAsia" w:ascii="宋体"/>
          <w:color w:val="auto"/>
          <w:sz w:val="28"/>
          <w:szCs w:val="28"/>
          <w:highlight w:val="none"/>
        </w:rPr>
        <w:t xml:space="preserve"> 投标人（</w:t>
      </w:r>
      <w:r>
        <w:rPr>
          <w:rFonts w:hint="eastAsia"/>
          <w:color w:val="auto"/>
          <w:sz w:val="28"/>
          <w:szCs w:val="28"/>
          <w:highlight w:val="none"/>
          <w:lang w:val="en-US" w:eastAsia="zh-CN"/>
        </w:rPr>
        <w:t>盖章</w:t>
      </w:r>
      <w:r>
        <w:rPr>
          <w:rFonts w:hint="eastAsia" w:ascii="宋体"/>
          <w:color w:val="auto"/>
          <w:sz w:val="28"/>
          <w:szCs w:val="28"/>
          <w:highlight w:val="none"/>
        </w:rPr>
        <w:t>）：</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法定代表人（身份证号码）：             </w:t>
      </w:r>
    </w:p>
    <w:p>
      <w:pPr>
        <w:pStyle w:val="36"/>
        <w:ind w:left="0" w:leftChars="0" w:firstLine="0" w:firstLineChars="0"/>
        <w:rPr>
          <w:rFonts w:hint="eastAsia" w:ascii="宋体"/>
          <w:color w:val="auto"/>
          <w:sz w:val="28"/>
          <w:szCs w:val="28"/>
          <w:highlight w:val="none"/>
        </w:rPr>
      </w:pPr>
      <w:r>
        <w:rPr>
          <w:rFonts w:hint="eastAsia" w:ascii="宋体"/>
          <w:color w:val="auto"/>
          <w:sz w:val="28"/>
          <w:szCs w:val="28"/>
          <w:highlight w:val="none"/>
        </w:rPr>
        <w:t xml:space="preserve"> 联系方式：</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委托代理人</w:t>
      </w:r>
      <w:r>
        <w:rPr>
          <w:rFonts w:hint="eastAsia"/>
          <w:color w:val="auto"/>
          <w:sz w:val="28"/>
          <w:szCs w:val="28"/>
          <w:highlight w:val="none"/>
          <w:lang w:val="en-US" w:eastAsia="zh-CN"/>
        </w:rPr>
        <w:t>签字或盖章：</w:t>
      </w:r>
      <w:r>
        <w:rPr>
          <w:rFonts w:hint="eastAsia" w:ascii="宋体"/>
          <w:color w:val="auto"/>
          <w:sz w:val="28"/>
          <w:szCs w:val="28"/>
          <w:highlight w:val="none"/>
        </w:rPr>
        <w:t xml:space="preserve">（身份证号码）：      </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 联系方式：</w:t>
      </w:r>
    </w:p>
    <w:p>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年    月    日</w:t>
      </w:r>
    </w:p>
    <w:p>
      <w:pPr>
        <w:adjustRightInd w:val="0"/>
        <w:snapToGrid w:val="0"/>
        <w:spacing w:line="560" w:lineRule="exact"/>
        <w:rPr>
          <w:rFonts w:hint="eastAsia"/>
          <w:color w:val="auto"/>
          <w:highlight w:val="none"/>
        </w:rPr>
      </w:pPr>
    </w:p>
    <w:p>
      <w:pPr>
        <w:pStyle w:val="36"/>
        <w:adjustRightInd w:val="0"/>
        <w:snapToGrid w:val="0"/>
        <w:spacing w:after="0" w:line="560" w:lineRule="exact"/>
        <w:ind w:left="0" w:leftChars="0"/>
        <w:rPr>
          <w:rFonts w:hint="eastAsia"/>
          <w:color w:val="auto"/>
          <w:highlight w:val="none"/>
        </w:rPr>
      </w:pPr>
    </w:p>
    <w:p>
      <w:pPr>
        <w:adjustRightInd w:val="0"/>
        <w:snapToGrid w:val="0"/>
        <w:spacing w:line="560" w:lineRule="exact"/>
        <w:rPr>
          <w:rFonts w:hint="eastAsia"/>
          <w:color w:val="auto"/>
          <w:highlight w:val="none"/>
        </w:rPr>
      </w:pPr>
    </w:p>
    <w:p>
      <w:pPr>
        <w:pStyle w:val="36"/>
        <w:adjustRightInd w:val="0"/>
        <w:snapToGrid w:val="0"/>
        <w:spacing w:after="0" w:line="560" w:lineRule="exact"/>
        <w:ind w:left="0" w:leftChars="0"/>
        <w:rPr>
          <w:rFonts w:hint="eastAsia"/>
          <w:color w:val="auto"/>
          <w:highlight w:val="none"/>
        </w:rPr>
      </w:pPr>
    </w:p>
    <w:p>
      <w:pPr>
        <w:adjustRightInd w:val="0"/>
        <w:snapToGrid w:val="0"/>
        <w:spacing w:line="560" w:lineRule="exact"/>
        <w:jc w:val="center"/>
        <w:rPr>
          <w:rFonts w:hint="eastAsia"/>
          <w:b/>
          <w:color w:val="auto"/>
          <w:sz w:val="28"/>
          <w:szCs w:val="28"/>
          <w:highlight w:val="none"/>
        </w:rPr>
      </w:pPr>
    </w:p>
    <w:p>
      <w:pPr>
        <w:adjustRightInd w:val="0"/>
        <w:snapToGrid w:val="0"/>
        <w:spacing w:line="560" w:lineRule="exact"/>
        <w:jc w:val="center"/>
        <w:rPr>
          <w:rFonts w:hint="eastAsia"/>
          <w:b/>
          <w:color w:val="auto"/>
          <w:sz w:val="28"/>
          <w:szCs w:val="28"/>
          <w:highlight w:val="none"/>
        </w:rPr>
      </w:pPr>
    </w:p>
    <w:p>
      <w:pPr>
        <w:adjustRightInd w:val="0"/>
        <w:snapToGrid w:val="0"/>
        <w:spacing w:line="560" w:lineRule="exact"/>
        <w:jc w:val="center"/>
        <w:rPr>
          <w:rFonts w:hint="eastAsia"/>
          <w:b/>
          <w:color w:val="auto"/>
          <w:sz w:val="28"/>
          <w:szCs w:val="28"/>
          <w:highlight w:val="none"/>
        </w:rPr>
      </w:pPr>
    </w:p>
    <w:p>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rPr>
        <w:t>②诚信投标承诺书  </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本人以企业法定代表人的身份郑重承诺：</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一、将遵循公</w:t>
      </w:r>
      <w:bookmarkStart w:id="821" w:name="_Toc506107356"/>
      <w:bookmarkStart w:id="822" w:name="_Toc503196197"/>
      <w:bookmarkStart w:id="823" w:name="_Toc26598"/>
      <w:r>
        <w:rPr>
          <w:rFonts w:hint="eastAsia" w:ascii="宋体" w:hAnsi="宋体"/>
          <w:color w:val="auto"/>
          <w:sz w:val="21"/>
          <w:szCs w:val="21"/>
          <w:highlight w:val="none"/>
        </w:rPr>
        <w:t>开、公正和诚实信用</w:t>
      </w:r>
      <w:bookmarkEnd w:id="821"/>
      <w:bookmarkEnd w:id="822"/>
      <w:r>
        <w:rPr>
          <w:rFonts w:hint="eastAsia" w:ascii="宋体" w:hAnsi="宋体"/>
          <w:color w:val="auto"/>
          <w:sz w:val="21"/>
          <w:szCs w:val="21"/>
          <w:highlight w:val="none"/>
        </w:rPr>
        <w:t>的</w:t>
      </w:r>
      <w:bookmarkEnd w:id="823"/>
      <w:r>
        <w:rPr>
          <w:rFonts w:hint="eastAsia" w:ascii="宋体" w:hAnsi="宋体"/>
          <w:color w:val="auto"/>
          <w:sz w:val="21"/>
          <w:szCs w:val="21"/>
          <w:highlight w:val="none"/>
        </w:rPr>
        <w:t>原则自愿参加</w:t>
      </w:r>
      <w:r>
        <w:rPr>
          <w:rFonts w:hint="eastAsia" w:ascii="宋体" w:hAnsi="宋体"/>
          <w:color w:val="auto"/>
          <w:sz w:val="21"/>
          <w:szCs w:val="21"/>
          <w:highlight w:val="none"/>
          <w:u w:val="single"/>
        </w:rPr>
        <w:t xml:space="preserve">                     （项目名称）</w:t>
      </w:r>
      <w:r>
        <w:rPr>
          <w:rFonts w:hint="eastAsia" w:ascii="宋体" w:hAnsi="宋体"/>
          <w:color w:val="auto"/>
          <w:sz w:val="21"/>
          <w:szCs w:val="21"/>
          <w:highlight w:val="none"/>
        </w:rPr>
        <w:t>项目的投标；</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二、所提供的一切材料都是真实、合法的；</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六、</w:t>
      </w:r>
      <w:r>
        <w:rPr>
          <w:rFonts w:hint="eastAsia" w:ascii="宋体" w:hAnsi="宋体"/>
          <w:color w:val="auto"/>
          <w:sz w:val="21"/>
          <w:szCs w:val="21"/>
          <w:highlight w:val="none"/>
          <w:u w:val="single"/>
        </w:rPr>
        <w:t xml:space="preserve">              </w:t>
      </w:r>
      <w:r>
        <w:rPr>
          <w:rFonts w:hint="eastAsia" w:hAnsi="宋体"/>
          <w:color w:val="auto"/>
          <w:sz w:val="21"/>
          <w:szCs w:val="21"/>
          <w:highlight w:val="none"/>
          <w:u w:val="single"/>
          <w:lang w:eastAsia="zh-CN"/>
        </w:rPr>
        <w:t>（</w:t>
      </w:r>
      <w:r>
        <w:rPr>
          <w:rFonts w:hint="eastAsia" w:hAnsi="宋体"/>
          <w:color w:val="auto"/>
          <w:sz w:val="21"/>
          <w:szCs w:val="21"/>
          <w:highlight w:val="none"/>
          <w:u w:val="single"/>
          <w:lang w:val="en-US" w:eastAsia="zh-CN"/>
        </w:rPr>
        <w:t>投标人名称</w:t>
      </w:r>
      <w:r>
        <w:rPr>
          <w:rFonts w:hint="eastAsia" w:hAnsi="宋体"/>
          <w:color w:val="auto"/>
          <w:sz w:val="21"/>
          <w:szCs w:val="21"/>
          <w:highlight w:val="none"/>
          <w:u w:val="single"/>
          <w:lang w:eastAsia="zh-CN"/>
        </w:rPr>
        <w:t>）</w:t>
      </w:r>
      <w:r>
        <w:rPr>
          <w:rFonts w:hint="eastAsia" w:ascii="宋体" w:hAnsi="宋体"/>
          <w:color w:val="auto"/>
          <w:sz w:val="21"/>
          <w:szCs w:val="21"/>
          <w:highlight w:val="none"/>
        </w:rPr>
        <w:t>没有下列情形： 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 w:val="21"/>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若招标文件对投标人所属分公司、办事处等分支机构有上述1-9项信誉要求，在此一并承诺我公司所属分公司、办事处等分支机构没有上述1-9项情形）</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七、严格遵守开标现场纪律，服从监管人员管理；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八、保证中标后不转包及使用挂靠施工队伍，若有分包征得建设单位同意；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九、保证中标之后，按照投标文件承诺派驻管理人员及投入机械设备，如有违反，同意接受建设单位违约处罚；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取消中标资格、记入不良行为记录等处理；项目在滁州市区域外的，保证在中标候选人公示期第一日起开始计算7日内，提供经行政主管部门备案的变更证明材料，否则接受取消中标资格、记入不良行为记录等处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十四、我公司拟任项目经理（建造师）不是投标截止时间前六个月内在滁州市区域内办理过项目经理（建造师）变更备案手续的原项目经理（建造师）。</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开户银行：</w:t>
      </w:r>
      <w:r>
        <w:rPr>
          <w:rFonts w:hint="eastAsia" w:ascii="宋体" w:hAnsi="宋体"/>
          <w:color w:val="auto"/>
          <w:sz w:val="21"/>
          <w:szCs w:val="21"/>
          <w:highlight w:val="none"/>
          <w:u w:val="none"/>
          <w:lang w:val="en-US" w:eastAsia="zh-CN"/>
        </w:rPr>
        <w:t xml:space="preserve">                  </w:t>
      </w:r>
      <w:r>
        <w:rPr>
          <w:rFonts w:hint="eastAsia" w:ascii="宋体" w:hAnsi="宋体"/>
          <w:color w:val="auto"/>
          <w:sz w:val="21"/>
          <w:szCs w:val="21"/>
          <w:highlight w:val="none"/>
          <w:u w:val="none"/>
        </w:rPr>
        <w:t xml:space="preserve"> </w:t>
      </w:r>
      <w:r>
        <w:rPr>
          <w:rFonts w:hint="eastAsia" w:ascii="宋体" w:hAnsi="宋体"/>
          <w:color w:val="auto"/>
          <w:sz w:val="21"/>
          <w:szCs w:val="21"/>
          <w:highlight w:val="none"/>
        </w:rPr>
        <w:t xml:space="preserve"> 基本账户：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投标人（</w:t>
      </w:r>
      <w:r>
        <w:rPr>
          <w:rFonts w:hint="eastAsia" w:ascii="宋体" w:hAnsi="宋体" w:eastAsia="宋体" w:cs="Times New Roman"/>
          <w:color w:val="auto"/>
          <w:sz w:val="21"/>
          <w:szCs w:val="21"/>
          <w:highlight w:val="none"/>
          <w:lang w:val="en-US" w:eastAsia="zh-CN"/>
        </w:rPr>
        <w:t>盖章</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法定代表人（</w:t>
      </w:r>
      <w:r>
        <w:rPr>
          <w:rFonts w:hint="eastAsia" w:ascii="宋体" w:hAnsi="宋体" w:eastAsia="宋体" w:cs="Times New Roman"/>
          <w:color w:val="auto"/>
          <w:sz w:val="21"/>
          <w:szCs w:val="21"/>
          <w:highlight w:val="none"/>
          <w:lang w:val="en-US" w:eastAsia="zh-CN"/>
        </w:rPr>
        <w:t>签字或盖章）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sz w:val="21"/>
          <w:szCs w:val="21"/>
          <w:highlight w:val="none"/>
        </w:rPr>
      </w:pPr>
    </w:p>
    <w:p>
      <w:pPr>
        <w:pStyle w:val="36"/>
        <w:keepNext w:val="0"/>
        <w:keepLines w:val="0"/>
        <w:pageBreakBefore w:val="0"/>
        <w:widowControl w:val="0"/>
        <w:kinsoku/>
        <w:wordWrap/>
        <w:overflowPunct/>
        <w:topLinePunct w:val="0"/>
        <w:autoSpaceDE/>
        <w:autoSpaceDN/>
        <w:bidi w:val="0"/>
        <w:spacing w:after="0" w:afterLines="0" w:line="440" w:lineRule="exact"/>
        <w:ind w:left="0" w:leftChars="0" w:firstLine="420" w:firstLineChars="200"/>
        <w:textAlignment w:val="auto"/>
        <w:rPr>
          <w:rFonts w:hint="eastAsia"/>
          <w:color w:val="auto"/>
          <w:sz w:val="21"/>
          <w:szCs w:val="21"/>
          <w:highlight w:val="none"/>
        </w:rPr>
      </w:pPr>
      <w:r>
        <w:rPr>
          <w:rFonts w:hint="eastAsia" w:ascii="宋体" w:hAnsi="宋体"/>
          <w:color w:val="auto"/>
          <w:sz w:val="21"/>
          <w:szCs w:val="21"/>
          <w:highlight w:val="none"/>
        </w:rPr>
        <w:t>日期：</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360" w:lineRule="auto"/>
        <w:jc w:val="center"/>
        <w:rPr>
          <w:rFonts w:ascii="Cambria Math" w:hAnsi="Cambria Math" w:cs="Cambria Math"/>
          <w:b/>
          <w:bCs/>
          <w:color w:val="auto"/>
          <w:sz w:val="32"/>
          <w:szCs w:val="32"/>
          <w:highlight w:val="none"/>
        </w:rPr>
      </w:pPr>
    </w:p>
    <w:p>
      <w:pPr>
        <w:spacing w:line="360" w:lineRule="auto"/>
        <w:jc w:val="center"/>
        <w:rPr>
          <w:rFonts w:ascii="Cambria Math" w:hAnsi="Cambria Math" w:cs="Cambria Math"/>
          <w:b/>
          <w:bCs/>
          <w:color w:val="auto"/>
          <w:sz w:val="32"/>
          <w:szCs w:val="32"/>
          <w:highlight w:val="none"/>
        </w:rPr>
      </w:pPr>
    </w:p>
    <w:p>
      <w:pPr>
        <w:spacing w:line="360" w:lineRule="auto"/>
        <w:jc w:val="center"/>
        <w:rPr>
          <w:rFonts w:ascii="Cambria Math" w:hAnsi="Cambria Math" w:cs="Cambria Math"/>
          <w:b/>
          <w:bCs/>
          <w:color w:val="auto"/>
          <w:sz w:val="32"/>
          <w:szCs w:val="32"/>
          <w:highlight w:val="none"/>
        </w:rPr>
      </w:pPr>
    </w:p>
    <w:p>
      <w:pPr>
        <w:spacing w:line="360" w:lineRule="auto"/>
        <w:jc w:val="center"/>
        <w:rPr>
          <w:rFonts w:ascii="Cambria Math" w:hAnsi="Cambria Math" w:cs="Cambria Math"/>
          <w:b/>
          <w:bCs/>
          <w:color w:val="auto"/>
          <w:sz w:val="32"/>
          <w:szCs w:val="32"/>
          <w:highlight w:val="none"/>
        </w:rPr>
      </w:pPr>
    </w:p>
    <w:p>
      <w:pPr>
        <w:spacing w:line="360" w:lineRule="auto"/>
        <w:jc w:val="center"/>
        <w:rPr>
          <w:rFonts w:ascii="Cambria Math" w:hAnsi="Cambria Math" w:cs="Cambria Math"/>
          <w:b/>
          <w:bCs/>
          <w:color w:val="auto"/>
          <w:sz w:val="32"/>
          <w:szCs w:val="32"/>
          <w:highlight w:val="none"/>
        </w:rPr>
      </w:pPr>
    </w:p>
    <w:p>
      <w:pPr>
        <w:spacing w:line="360" w:lineRule="auto"/>
        <w:jc w:val="center"/>
        <w:rPr>
          <w:rFonts w:ascii="Cambria Math" w:hAnsi="Cambria Math" w:cs="Cambria Math"/>
          <w:b/>
          <w:bCs/>
          <w:color w:val="auto"/>
          <w:sz w:val="32"/>
          <w:szCs w:val="32"/>
          <w:highlight w:val="none"/>
        </w:rPr>
      </w:pPr>
    </w:p>
    <w:p>
      <w:pPr>
        <w:spacing w:line="360" w:lineRule="auto"/>
        <w:jc w:val="center"/>
        <w:rPr>
          <w:rFonts w:ascii="Cambria Math" w:hAnsi="Cambria Math" w:cs="Cambria Math"/>
          <w:b/>
          <w:bCs/>
          <w:color w:val="auto"/>
          <w:sz w:val="32"/>
          <w:szCs w:val="32"/>
          <w:highlight w:val="none"/>
        </w:rPr>
      </w:pPr>
    </w:p>
    <w:p>
      <w:pPr>
        <w:spacing w:line="360" w:lineRule="auto"/>
        <w:jc w:val="center"/>
        <w:rPr>
          <w:rFonts w:ascii="Cambria Math" w:hAnsi="Cambria Math" w:cs="Cambria Math"/>
          <w:b/>
          <w:bCs/>
          <w:color w:val="auto"/>
          <w:sz w:val="32"/>
          <w:szCs w:val="32"/>
          <w:highlight w:val="none"/>
        </w:rPr>
      </w:pPr>
    </w:p>
    <w:p>
      <w:pPr>
        <w:spacing w:line="360" w:lineRule="auto"/>
        <w:jc w:val="center"/>
        <w:rPr>
          <w:rFonts w:ascii="Cambria Math" w:hAnsi="Cambria Math" w:cs="Cambria Math"/>
          <w:b/>
          <w:bCs/>
          <w:color w:val="auto"/>
          <w:sz w:val="32"/>
          <w:szCs w:val="32"/>
          <w:highlight w:val="none"/>
        </w:rPr>
      </w:pPr>
    </w:p>
    <w:p>
      <w:pPr>
        <w:pStyle w:val="4"/>
        <w:rPr>
          <w:rFonts w:hint="eastAsia"/>
          <w:color w:val="auto"/>
          <w:highlight w:val="none"/>
        </w:rPr>
      </w:pPr>
    </w:p>
    <w:p>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pPr>
        <w:adjustRightInd w:val="0"/>
        <w:snapToGrid w:val="0"/>
        <w:spacing w:line="560" w:lineRule="exact"/>
        <w:jc w:val="center"/>
        <w:rPr>
          <w:rFonts w:hint="eastAsia" w:eastAsia="黑体"/>
          <w:color w:val="auto"/>
          <w:sz w:val="20"/>
          <w:szCs w:val="20"/>
          <w:highlight w:val="none"/>
        </w:rPr>
      </w:pPr>
    </w:p>
    <w:p>
      <w:pPr>
        <w:adjustRightInd w:val="0"/>
        <w:snapToGrid w:val="0"/>
        <w:spacing w:line="560" w:lineRule="exact"/>
        <w:rPr>
          <w:rFonts w:hint="eastAsia" w:eastAsia="黑体"/>
          <w:color w:val="auto"/>
          <w:sz w:val="20"/>
          <w:szCs w:val="20"/>
          <w:highlight w:val="none"/>
        </w:rPr>
      </w:pPr>
    </w:p>
    <w:p>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（技术标文件）</w:t>
      </w: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pStyle w:val="36"/>
        <w:adjustRightInd w:val="0"/>
        <w:snapToGrid w:val="0"/>
        <w:spacing w:after="0" w:line="560" w:lineRule="exact"/>
        <w:ind w:left="0" w:leftChars="0" w:firstLine="560"/>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pStyle w:val="36"/>
        <w:adjustRightInd w:val="0"/>
        <w:snapToGrid w:val="0"/>
        <w:spacing w:after="0" w:line="560" w:lineRule="exact"/>
        <w:ind w:left="0" w:leftChars="0" w:firstLine="0" w:firstLineChars="0"/>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pStyle w:val="36"/>
        <w:adjustRightInd w:val="0"/>
        <w:snapToGrid w:val="0"/>
        <w:spacing w:after="0" w:line="560" w:lineRule="exact"/>
        <w:ind w:left="0" w:leftChars="0" w:firstLine="0" w:firstLineChars="0"/>
        <w:rPr>
          <w:color w:val="auto"/>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jc w:val="center"/>
        <w:rPr>
          <w:rFonts w:hint="eastAsia"/>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pStyle w:val="36"/>
        <w:rPr>
          <w:rFonts w:hint="eastAsia"/>
          <w:color w:val="auto"/>
          <w:highlight w:val="none"/>
        </w:rPr>
      </w:pPr>
    </w:p>
    <w:p>
      <w:pPr>
        <w:pStyle w:val="4"/>
        <w:rPr>
          <w:rFonts w:hint="eastAsia"/>
          <w:color w:val="auto"/>
          <w:highlight w:val="none"/>
        </w:rPr>
      </w:pPr>
      <w:bookmarkStart w:id="824" w:name="_Toc95223539"/>
      <w:r>
        <w:rPr>
          <w:rFonts w:hint="eastAsia"/>
          <w:color w:val="auto"/>
          <w:highlight w:val="none"/>
          <w:lang w:val="en-US" w:eastAsia="zh-CN"/>
        </w:rPr>
        <w:t>投</w:t>
      </w:r>
      <w:r>
        <w:rPr>
          <w:rFonts w:hint="eastAsia"/>
          <w:color w:val="auto"/>
          <w:highlight w:val="none"/>
        </w:rPr>
        <w:t>标文件二：技术标目录</w:t>
      </w:r>
      <w:bookmarkEnd w:id="824"/>
    </w:p>
    <w:p>
      <w:pPr>
        <w:adjustRightInd w:val="0"/>
        <w:snapToGrid w:val="0"/>
        <w:spacing w:line="560" w:lineRule="exact"/>
        <w:ind w:firstLine="48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hAnsi="宋体"/>
          <w:color w:val="auto"/>
          <w:szCs w:val="21"/>
          <w:highlight w:val="none"/>
          <w:lang w:val="en-US" w:eastAsia="zh-CN"/>
        </w:rPr>
        <w:t>按技术部分评审要求顺序提供；</w:t>
      </w:r>
    </w:p>
    <w:p>
      <w:pPr>
        <w:adjustRightInd w:val="0"/>
        <w:snapToGrid w:val="0"/>
        <w:spacing w:line="560" w:lineRule="exact"/>
        <w:ind w:firstLine="480" w:firstLineChars="200"/>
        <w:rPr>
          <w:rFonts w:hint="eastAsia" w:hAnsi="宋体"/>
          <w:color w:val="auto"/>
          <w:szCs w:val="21"/>
          <w:highlight w:val="none"/>
          <w:lang w:eastAsia="zh-CN"/>
        </w:rPr>
      </w:pPr>
      <w:r>
        <w:rPr>
          <w:rFonts w:hint="eastAsia" w:ascii="宋体" w:hAnsi="宋体"/>
          <w:color w:val="auto"/>
          <w:szCs w:val="21"/>
          <w:highlight w:val="none"/>
        </w:rPr>
        <w:t>（2）其他技术标评审所需资料</w:t>
      </w:r>
      <w:r>
        <w:rPr>
          <w:rFonts w:hint="eastAsia" w:hAnsi="宋体"/>
          <w:color w:val="auto"/>
          <w:szCs w:val="21"/>
          <w:highlight w:val="none"/>
          <w:lang w:eastAsia="zh-CN"/>
        </w:rPr>
        <w:t>。</w:t>
      </w:r>
    </w:p>
    <w:p>
      <w:pPr>
        <w:spacing w:line="360" w:lineRule="exact"/>
        <w:ind w:firstLine="482" w:firstLineChars="200"/>
        <w:rPr>
          <w:rFonts w:hint="eastAsia" w:ascii="宋体" w:hAnsi="宋体" w:cs="宋体"/>
          <w:b/>
          <w:bCs/>
          <w:color w:val="auto"/>
          <w:szCs w:val="21"/>
          <w:highlight w:val="none"/>
        </w:rPr>
      </w:pPr>
    </w:p>
    <w:p>
      <w:pPr>
        <w:spacing w:line="360" w:lineRule="exact"/>
        <w:ind w:firstLine="482" w:firstLineChars="200"/>
        <w:rPr>
          <w:rFonts w:hint="eastAsia" w:ascii="宋体" w:hAnsi="宋体" w:cs="宋体"/>
          <w:b/>
          <w:bCs/>
          <w:color w:val="auto"/>
          <w:szCs w:val="21"/>
          <w:highlight w:val="none"/>
        </w:rPr>
      </w:pPr>
    </w:p>
    <w:p>
      <w:pPr>
        <w:spacing w:line="360" w:lineRule="exact"/>
        <w:ind w:firstLine="48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注：1.本项目技术标为暗标评审，评审前</w:t>
      </w:r>
      <w:r>
        <w:rPr>
          <w:rFonts w:hint="eastAsia" w:ascii="宋体" w:hAnsi="宋体" w:cs="宋体"/>
          <w:b/>
          <w:bCs/>
          <w:color w:val="auto"/>
          <w:szCs w:val="21"/>
          <w:highlight w:val="none"/>
          <w:lang w:val="en-US" w:eastAsia="zh-CN"/>
        </w:rPr>
        <w:t>代理机构</w:t>
      </w:r>
      <w:r>
        <w:rPr>
          <w:rFonts w:hint="eastAsia" w:ascii="宋体" w:hAnsi="宋体" w:cs="宋体"/>
          <w:b/>
          <w:bCs/>
          <w:color w:val="auto"/>
          <w:szCs w:val="21"/>
          <w:highlight w:val="none"/>
        </w:rPr>
        <w:t>对所有投标人的技术标进行</w:t>
      </w:r>
      <w:r>
        <w:rPr>
          <w:rFonts w:hint="eastAsia" w:ascii="宋体" w:hAnsi="宋体" w:cs="宋体"/>
          <w:b/>
          <w:bCs/>
          <w:color w:val="auto"/>
          <w:szCs w:val="21"/>
          <w:highlight w:val="none"/>
          <w:lang w:val="en-US" w:eastAsia="zh-CN"/>
        </w:rPr>
        <w:t>随机</w:t>
      </w:r>
      <w:r>
        <w:rPr>
          <w:rFonts w:hint="eastAsia" w:ascii="宋体" w:hAnsi="宋体" w:cs="宋体"/>
          <w:b/>
          <w:bCs/>
          <w:color w:val="auto"/>
          <w:szCs w:val="21"/>
          <w:highlight w:val="none"/>
        </w:rPr>
        <w:t>编号；投标企业制作的技术标部分不得出现可能泄露投标人单位及个人信息的文字、图片、图表等有关表述，否则技术标按零分处理；</w:t>
      </w:r>
    </w:p>
    <w:p>
      <w:pPr>
        <w:spacing w:line="360" w:lineRule="exact"/>
        <w:ind w:firstLine="48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2.各评委得分的平均值为投标人技术标得分，分值保留两位小数点。</w:t>
      </w:r>
    </w:p>
    <w:p>
      <w:pPr>
        <w:pStyle w:val="2"/>
        <w:rPr>
          <w:rFonts w:hint="eastAsia"/>
          <w:highlight w:val="none"/>
          <w:lang w:eastAsia="zh-CN"/>
        </w:rPr>
      </w:pPr>
    </w:p>
    <w:p>
      <w:pPr>
        <w:adjustRightInd w:val="0"/>
        <w:snapToGrid w:val="0"/>
        <w:spacing w:line="560" w:lineRule="exact"/>
        <w:rPr>
          <w:rFonts w:hint="eastAsia" w:ascii="宋体" w:hAnsi="宋体"/>
          <w:color w:val="auto"/>
          <w:szCs w:val="21"/>
          <w:highlight w:val="none"/>
        </w:rPr>
      </w:pPr>
    </w:p>
    <w:p>
      <w:pPr>
        <w:adjustRightInd w:val="0"/>
        <w:snapToGrid w:val="0"/>
        <w:spacing w:line="560" w:lineRule="exact"/>
        <w:rPr>
          <w:rFonts w:hint="eastAsia" w:ascii="仿宋_GB2312" w:eastAsia="仿宋_GB2312"/>
          <w:color w:val="auto"/>
          <w:szCs w:val="21"/>
          <w:highlight w:val="none"/>
        </w:rPr>
      </w:pPr>
    </w:p>
    <w:p>
      <w:pPr>
        <w:adjustRightInd w:val="0"/>
        <w:snapToGrid w:val="0"/>
        <w:spacing w:line="560" w:lineRule="exact"/>
        <w:rPr>
          <w:rFonts w:hint="eastAsia" w:eastAsia="黑体"/>
          <w:color w:val="auto"/>
          <w:sz w:val="20"/>
          <w:szCs w:val="20"/>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adjustRightInd w:val="0"/>
        <w:snapToGrid w:val="0"/>
        <w:spacing w:line="560" w:lineRule="exact"/>
        <w:rPr>
          <w:rFonts w:hint="eastAsia"/>
          <w:color w:val="auto"/>
          <w:highlight w:val="none"/>
        </w:rPr>
      </w:pPr>
    </w:p>
    <w:p>
      <w:pPr>
        <w:rPr>
          <w:rFonts w:hint="eastAsia"/>
          <w:color w:val="auto"/>
          <w:highlight w:val="none"/>
        </w:rPr>
      </w:pPr>
    </w:p>
    <w:p>
      <w:pPr>
        <w:rPr>
          <w:rFonts w:hint="eastAsia"/>
          <w:color w:val="auto"/>
          <w:highlight w:val="none"/>
        </w:rPr>
      </w:pPr>
    </w:p>
    <w:p>
      <w:pPr>
        <w:adjustRightInd w:val="0"/>
        <w:snapToGrid w:val="0"/>
        <w:spacing w:line="560" w:lineRule="exact"/>
        <w:jc w:val="center"/>
        <w:rPr>
          <w:rFonts w:hint="eastAsia" w:eastAsia="黑体"/>
          <w:color w:val="auto"/>
          <w:sz w:val="28"/>
          <w:szCs w:val="28"/>
          <w:highlight w:val="none"/>
          <w:u w:val="single"/>
        </w:rPr>
      </w:pPr>
    </w:p>
    <w:p>
      <w:pPr>
        <w:adjustRightInd w:val="0"/>
        <w:snapToGrid w:val="0"/>
        <w:spacing w:line="560" w:lineRule="exact"/>
        <w:jc w:val="center"/>
        <w:rPr>
          <w:rFonts w:hint="eastAsia" w:eastAsia="黑体"/>
          <w:color w:val="auto"/>
          <w:sz w:val="28"/>
          <w:szCs w:val="28"/>
          <w:highlight w:val="none"/>
          <w:u w:val="single"/>
        </w:rPr>
      </w:pPr>
    </w:p>
    <w:p>
      <w:pPr>
        <w:adjustRightInd w:val="0"/>
        <w:snapToGrid w:val="0"/>
        <w:spacing w:line="560" w:lineRule="exact"/>
        <w:jc w:val="center"/>
        <w:rPr>
          <w:rFonts w:hint="eastAsia" w:eastAsia="黑体"/>
          <w:color w:val="auto"/>
          <w:sz w:val="28"/>
          <w:szCs w:val="28"/>
          <w:highlight w:val="none"/>
          <w:u w:val="single"/>
        </w:rPr>
      </w:pPr>
    </w:p>
    <w:p>
      <w:pPr>
        <w:adjustRightInd w:val="0"/>
        <w:snapToGrid w:val="0"/>
        <w:spacing w:line="560" w:lineRule="exact"/>
        <w:jc w:val="center"/>
        <w:rPr>
          <w:rFonts w:hint="eastAsia" w:eastAsia="黑体"/>
          <w:color w:val="auto"/>
          <w:sz w:val="28"/>
          <w:szCs w:val="28"/>
          <w:highlight w:val="none"/>
          <w:u w:val="single"/>
        </w:rPr>
      </w:pPr>
    </w:p>
    <w:p>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pPr>
        <w:adjustRightInd w:val="0"/>
        <w:snapToGrid w:val="0"/>
        <w:spacing w:line="560" w:lineRule="exact"/>
        <w:jc w:val="center"/>
        <w:rPr>
          <w:rFonts w:hint="eastAsia" w:eastAsia="黑体"/>
          <w:color w:val="auto"/>
          <w:sz w:val="20"/>
          <w:szCs w:val="20"/>
          <w:highlight w:val="none"/>
        </w:rPr>
      </w:pPr>
    </w:p>
    <w:p>
      <w:pPr>
        <w:adjustRightInd w:val="0"/>
        <w:snapToGrid w:val="0"/>
        <w:spacing w:line="560" w:lineRule="exact"/>
        <w:rPr>
          <w:rFonts w:hint="eastAsia" w:eastAsia="黑体"/>
          <w:color w:val="auto"/>
          <w:sz w:val="20"/>
          <w:szCs w:val="20"/>
          <w:highlight w:val="none"/>
        </w:rPr>
      </w:pPr>
    </w:p>
    <w:p>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（商务标文件）</w:t>
      </w:r>
    </w:p>
    <w:p>
      <w:pPr>
        <w:adjustRightInd w:val="0"/>
        <w:snapToGrid w:val="0"/>
        <w:spacing w:line="560" w:lineRule="exact"/>
        <w:rPr>
          <w:rFonts w:hint="eastAsia" w:eastAsia="黑体"/>
          <w:color w:val="auto"/>
          <w:sz w:val="28"/>
          <w:szCs w:val="28"/>
          <w:highlight w:val="none"/>
        </w:rPr>
      </w:pPr>
    </w:p>
    <w:p>
      <w:pPr>
        <w:pStyle w:val="36"/>
        <w:adjustRightInd w:val="0"/>
        <w:snapToGrid w:val="0"/>
        <w:spacing w:after="0" w:line="560" w:lineRule="exact"/>
        <w:ind w:left="0" w:leftChars="0" w:firstLine="560"/>
        <w:rPr>
          <w:rFonts w:hint="eastAsia" w:eastAsia="黑体"/>
          <w:color w:val="auto"/>
          <w:sz w:val="28"/>
          <w:szCs w:val="28"/>
          <w:highlight w:val="none"/>
        </w:rPr>
      </w:pPr>
    </w:p>
    <w:p>
      <w:pPr>
        <w:adjustRightInd w:val="0"/>
        <w:snapToGrid w:val="0"/>
        <w:spacing w:line="560" w:lineRule="exact"/>
        <w:rPr>
          <w:rFonts w:hint="eastAsia" w:eastAsia="黑体"/>
          <w:color w:val="auto"/>
          <w:sz w:val="28"/>
          <w:szCs w:val="28"/>
          <w:highlight w:val="none"/>
        </w:rPr>
      </w:pPr>
    </w:p>
    <w:p>
      <w:pPr>
        <w:pStyle w:val="36"/>
        <w:adjustRightInd w:val="0"/>
        <w:snapToGrid w:val="0"/>
        <w:spacing w:after="0" w:line="560" w:lineRule="exact"/>
        <w:ind w:left="0" w:leftChars="0"/>
        <w:rPr>
          <w:rFonts w:hint="eastAsia"/>
          <w:color w:val="auto"/>
          <w:highlight w:val="none"/>
        </w:rPr>
      </w:pPr>
    </w:p>
    <w:p>
      <w:pPr>
        <w:adjustRightInd w:val="0"/>
        <w:snapToGrid w:val="0"/>
        <w:spacing w:line="560" w:lineRule="exact"/>
        <w:rPr>
          <w:rFonts w:hint="eastAsia"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hint="eastAsia" w:eastAsia="黑体"/>
          <w:color w:val="auto"/>
          <w:sz w:val="28"/>
          <w:szCs w:val="28"/>
          <w:highlight w:val="none"/>
        </w:rPr>
      </w:pPr>
    </w:p>
    <w:p>
      <w:pPr>
        <w:adjustRightInd w:val="0"/>
        <w:snapToGrid w:val="0"/>
        <w:spacing w:line="560" w:lineRule="exact"/>
        <w:rPr>
          <w:rFonts w:hint="eastAsia" w:eastAsia="黑体"/>
          <w:color w:val="auto"/>
          <w:sz w:val="28"/>
          <w:szCs w:val="28"/>
          <w:highlight w:val="none"/>
        </w:rPr>
      </w:pPr>
    </w:p>
    <w:p>
      <w:pPr>
        <w:adjustRightInd w:val="0"/>
        <w:snapToGrid w:val="0"/>
        <w:spacing w:line="560" w:lineRule="exact"/>
        <w:rPr>
          <w:rFonts w:hint="eastAsia"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rPr>
          <w:rFonts w:eastAsia="黑体"/>
          <w:color w:val="auto"/>
          <w:sz w:val="28"/>
          <w:szCs w:val="28"/>
          <w:highlight w:val="none"/>
        </w:rPr>
      </w:pPr>
    </w:p>
    <w:p>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签字或盖章</w:t>
      </w:r>
      <w:r>
        <w:rPr>
          <w:rFonts w:eastAsia="黑体"/>
          <w:color w:val="auto"/>
          <w:sz w:val="28"/>
          <w:szCs w:val="28"/>
          <w:highlight w:val="none"/>
        </w:rPr>
        <w:t>）</w:t>
      </w:r>
    </w:p>
    <w:p>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adjustRightInd w:val="0"/>
        <w:snapToGrid w:val="0"/>
        <w:spacing w:line="560" w:lineRule="exact"/>
        <w:rPr>
          <w:rFonts w:hint="eastAsia"/>
          <w:color w:val="auto"/>
          <w:highlight w:val="none"/>
        </w:rPr>
      </w:pPr>
    </w:p>
    <w:p>
      <w:pPr>
        <w:pStyle w:val="4"/>
        <w:rPr>
          <w:rFonts w:hint="eastAsia"/>
          <w:color w:val="auto"/>
          <w:highlight w:val="none"/>
        </w:rPr>
      </w:pPr>
      <w:bookmarkStart w:id="825" w:name="_Toc95223542"/>
      <w:r>
        <w:rPr>
          <w:rFonts w:hint="eastAsia"/>
          <w:color w:val="auto"/>
          <w:highlight w:val="none"/>
        </w:rPr>
        <w:t>投标文件三：商务标目录</w:t>
      </w:r>
      <w:bookmarkEnd w:id="825"/>
    </w:p>
    <w:p>
      <w:pPr>
        <w:adjustRightInd w:val="0"/>
        <w:snapToGrid w:val="0"/>
        <w:spacing w:line="560" w:lineRule="exact"/>
        <w:ind w:firstLine="480" w:firstLineChars="200"/>
        <w:rPr>
          <w:rFonts w:hint="eastAsia" w:ascii="宋体" w:hAnsi="宋体"/>
          <w:color w:val="auto"/>
          <w:szCs w:val="21"/>
          <w:highlight w:val="none"/>
        </w:rPr>
      </w:pPr>
      <w:r>
        <w:rPr>
          <w:rFonts w:hint="eastAsia" w:ascii="宋体" w:hAnsi="宋体"/>
          <w:color w:val="auto"/>
          <w:szCs w:val="21"/>
          <w:highlight w:val="none"/>
        </w:rPr>
        <w:t>（1）投标函；</w:t>
      </w:r>
    </w:p>
    <w:p>
      <w:pPr>
        <w:adjustRightInd w:val="0"/>
        <w:snapToGrid w:val="0"/>
        <w:spacing w:line="560" w:lineRule="exact"/>
        <w:ind w:firstLine="480" w:firstLineChars="200"/>
        <w:rPr>
          <w:color w:val="auto"/>
          <w:highlight w:val="none"/>
        </w:rPr>
      </w:pPr>
      <w:r>
        <w:rPr>
          <w:rFonts w:hint="eastAsia" w:ascii="宋体" w:hAnsi="宋体"/>
          <w:color w:val="auto"/>
          <w:szCs w:val="21"/>
          <w:highlight w:val="none"/>
        </w:rPr>
        <w:t>（2）工程量清单报价书</w:t>
      </w:r>
    </w:p>
    <w:p>
      <w:pPr>
        <w:adjustRightInd w:val="0"/>
        <w:snapToGrid w:val="0"/>
        <w:spacing w:line="560" w:lineRule="exact"/>
        <w:ind w:firstLine="480" w:firstLineChars="200"/>
        <w:rPr>
          <w:rFonts w:hint="eastAsia"/>
          <w:color w:val="auto"/>
          <w:highlight w:val="none"/>
        </w:rPr>
      </w:pPr>
      <w:r>
        <w:rPr>
          <w:rFonts w:hint="eastAsia" w:ascii="宋体" w:hAnsi="宋体"/>
          <w:color w:val="auto"/>
          <w:szCs w:val="21"/>
          <w:highlight w:val="none"/>
        </w:rPr>
        <w:t>（3）详细评审所需其他材料。</w:t>
      </w:r>
    </w:p>
    <w:p>
      <w:pPr>
        <w:adjustRightInd w:val="0"/>
        <w:snapToGrid w:val="0"/>
        <w:spacing w:line="560" w:lineRule="exact"/>
        <w:rPr>
          <w:rFonts w:hint="eastAsia"/>
          <w:color w:val="auto"/>
          <w:highlight w:val="none"/>
        </w:rPr>
      </w:pPr>
    </w:p>
    <w:p>
      <w:pPr>
        <w:adjustRightInd w:val="0"/>
        <w:snapToGrid w:val="0"/>
        <w:spacing w:line="560" w:lineRule="exact"/>
        <w:rPr>
          <w:rFonts w:hint="eastAsia" w:eastAsia="黑体"/>
          <w:color w:val="auto"/>
          <w:sz w:val="20"/>
          <w:szCs w:val="20"/>
          <w:highlight w:val="none"/>
        </w:rPr>
      </w:pPr>
    </w:p>
    <w:p>
      <w:pPr>
        <w:adjustRightInd w:val="0"/>
        <w:snapToGrid w:val="0"/>
        <w:spacing w:line="560" w:lineRule="exact"/>
        <w:rPr>
          <w:rFonts w:hint="eastAsia" w:eastAsia="黑体"/>
          <w:color w:val="auto"/>
          <w:sz w:val="20"/>
          <w:szCs w:val="20"/>
          <w:highlight w:val="none"/>
        </w:rPr>
      </w:pPr>
    </w:p>
    <w:p>
      <w:pPr>
        <w:adjustRightInd w:val="0"/>
        <w:snapToGrid w:val="0"/>
        <w:spacing w:line="560" w:lineRule="exact"/>
        <w:rPr>
          <w:rFonts w:hint="eastAsia" w:eastAsia="黑体"/>
          <w:color w:val="auto"/>
          <w:sz w:val="20"/>
          <w:szCs w:val="20"/>
          <w:highlight w:val="none"/>
        </w:rPr>
      </w:pPr>
    </w:p>
    <w:p>
      <w:pPr>
        <w:adjustRightInd w:val="0"/>
        <w:snapToGrid w:val="0"/>
        <w:spacing w:line="560" w:lineRule="exact"/>
        <w:ind w:right="420"/>
        <w:rPr>
          <w:rFonts w:hint="eastAsia"/>
          <w:color w:val="auto"/>
          <w:szCs w:val="21"/>
          <w:highlight w:val="none"/>
          <w:u w:val="singl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5"/>
        <w:adjustRightInd w:val="0"/>
        <w:snapToGrid w:val="0"/>
        <w:spacing w:before="0" w:after="0" w:line="560" w:lineRule="exact"/>
        <w:jc w:val="center"/>
        <w:rPr>
          <w:rFonts w:hint="eastAsia"/>
          <w:color w:val="auto"/>
          <w:highlight w:val="none"/>
        </w:rPr>
      </w:pPr>
      <w:bookmarkStart w:id="826" w:name="_Toc95223543"/>
      <w:r>
        <w:rPr>
          <w:rFonts w:hint="eastAsia"/>
          <w:color w:val="auto"/>
          <w:highlight w:val="none"/>
        </w:rPr>
        <w:t>（1）投</w:t>
      </w:r>
      <w:r>
        <w:rPr>
          <w:color w:val="auto"/>
          <w:highlight w:val="none"/>
        </w:rPr>
        <w:t xml:space="preserve"> </w:t>
      </w:r>
      <w:r>
        <w:rPr>
          <w:rFonts w:hint="eastAsia"/>
          <w:color w:val="auto"/>
          <w:highlight w:val="none"/>
        </w:rPr>
        <w:t>标 函</w:t>
      </w:r>
      <w:bookmarkEnd w:id="826"/>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1、根据你方招</w:t>
      </w:r>
      <w:bookmarkStart w:id="827"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827"/>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 w:val="24"/>
          <w:highlight w:val="none"/>
        </w:rPr>
        <w:t xml:space="preserve"> </w:t>
      </w:r>
      <w:r>
        <w:rPr>
          <w:rFonts w:hint="eastAsia" w:ascii="宋体" w:hAnsi="宋体"/>
          <w:color w:val="auto"/>
          <w:sz w:val="24"/>
          <w:highlight w:val="none"/>
        </w:rPr>
        <w:t>（币种，金额、单位）</w:t>
      </w:r>
      <w:r>
        <w:rPr>
          <w:rFonts w:hint="eastAsia" w:ascii="宋体" w:hAnsi="宋体"/>
          <w:color w:val="auto"/>
          <w:sz w:val="24"/>
          <w:highlight w:val="none"/>
          <w:u w:val="single"/>
        </w:rPr>
        <w:t>人民币</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大写</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小写</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的投标总报价承包上述工程的施工、竣工，并承担任何质量缺陷保修责任。</w:t>
      </w:r>
    </w:p>
    <w:p>
      <w:pPr>
        <w:keepNext w:val="0"/>
        <w:keepLines w:val="0"/>
        <w:pageBreakBefore w:val="0"/>
        <w:widowControl w:val="0"/>
        <w:tabs>
          <w:tab w:val="left" w:pos="840"/>
        </w:tabs>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3、一旦我方中标，我方将派出</w:t>
      </w:r>
      <w:r>
        <w:rPr>
          <w:rFonts w:hint="eastAsia" w:ascii="宋体" w:hAnsi="宋体"/>
          <w:color w:val="auto"/>
          <w:sz w:val="24"/>
          <w:highlight w:val="none"/>
          <w:u w:val="single"/>
        </w:rPr>
        <w:t xml:space="preserve">           </w:t>
      </w:r>
      <w:r>
        <w:rPr>
          <w:rFonts w:hint="eastAsia" w:ascii="宋体" w:hAnsi="宋体"/>
          <w:color w:val="auto"/>
          <w:sz w:val="24"/>
          <w:highlight w:val="none"/>
        </w:rPr>
        <w:t>建造师为本工程项目经理，保证按照招标人要求开始本工程的施工，并在</w:t>
      </w:r>
      <w:r>
        <w:rPr>
          <w:rFonts w:ascii="宋体" w:hAnsi="宋体"/>
          <w:color w:val="auto"/>
          <w:sz w:val="24"/>
          <w:highlight w:val="none"/>
          <w:u w:val="single"/>
        </w:rPr>
        <w:t xml:space="preserve">       </w:t>
      </w:r>
      <w:r>
        <w:rPr>
          <w:rFonts w:hint="eastAsia" w:ascii="宋体" w:hAnsi="宋体"/>
          <w:color w:val="auto"/>
          <w:sz w:val="24"/>
          <w:highlight w:val="none"/>
        </w:rPr>
        <w:t>个日历天（工期）内完成本合同的施工，并移交整个工程，工程质量达到</w:t>
      </w:r>
      <w:r>
        <w:rPr>
          <w:rFonts w:ascii="宋体" w:hAnsi="宋体"/>
          <w:color w:val="auto"/>
          <w:sz w:val="24"/>
          <w:highlight w:val="none"/>
          <w:u w:val="single"/>
        </w:rPr>
        <w:t xml:space="preserve">          </w:t>
      </w:r>
      <w:r>
        <w:rPr>
          <w:rFonts w:hint="eastAsia" w:ascii="宋体" w:hAnsi="宋体"/>
          <w:color w:val="auto"/>
          <w:sz w:val="24"/>
          <w:highlight w:val="none"/>
        </w:rPr>
        <w:t xml:space="preserve"> 标准。</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color w:val="auto"/>
          <w:sz w:val="24"/>
          <w:highlight w:val="none"/>
        </w:rPr>
      </w:pPr>
      <w:r>
        <w:rPr>
          <w:rFonts w:hint="eastAsia" w:hAnsi="宋体"/>
          <w:color w:val="auto"/>
          <w:sz w:val="24"/>
          <w:highlight w:val="none"/>
          <w:lang w:val="en-US" w:eastAsia="zh-CN"/>
        </w:rPr>
        <w:t>4</w:t>
      </w:r>
      <w:r>
        <w:rPr>
          <w:rFonts w:hint="eastAsia" w:ascii="宋体" w:hAnsi="宋体"/>
          <w:color w:val="auto"/>
          <w:sz w:val="24"/>
          <w:highlight w:val="none"/>
        </w:rPr>
        <w:t>、我方承诺在招标文件规定的投标有效期内不撤销投标文件。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color w:val="auto"/>
          <w:sz w:val="24"/>
          <w:highlight w:val="none"/>
        </w:rPr>
      </w:pPr>
      <w:r>
        <w:rPr>
          <w:rFonts w:hint="eastAsia" w:hAnsi="宋体"/>
          <w:color w:val="auto"/>
          <w:sz w:val="24"/>
          <w:highlight w:val="none"/>
          <w:lang w:val="en-US" w:eastAsia="zh-CN"/>
        </w:rPr>
        <w:t>5</w:t>
      </w:r>
      <w:r>
        <w:rPr>
          <w:rFonts w:hint="eastAsia" w:ascii="宋体" w:hAnsi="宋体"/>
          <w:color w:val="auto"/>
          <w:sz w:val="24"/>
          <w:highlight w:val="none"/>
        </w:rPr>
        <w:t>、我单位提供如下通讯地址：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r>
        <w:rPr>
          <w:rFonts w:hint="eastAsia" w:hAnsi="宋体"/>
          <w:color w:val="auto"/>
          <w:sz w:val="24"/>
          <w:highlight w:val="none"/>
          <w:lang w:val="en-US" w:eastAsia="zh-CN"/>
        </w:rPr>
        <w:t>盖章</w:t>
      </w:r>
      <w:r>
        <w:rPr>
          <w:rFonts w:hint="eastAsia" w:ascii="宋体" w:hAnsi="宋体"/>
          <w:color w:val="auto"/>
          <w:sz w:val="24"/>
          <w:highlight w:val="none"/>
        </w:rPr>
        <w:t>）</w:t>
      </w:r>
      <w:r>
        <w:rPr>
          <w:rFonts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hAnsi="宋体"/>
          <w:color w:val="auto"/>
          <w:sz w:val="24"/>
          <w:highlight w:val="none"/>
          <w:lang w:val="en-US" w:eastAsia="zh-CN"/>
        </w:rPr>
        <w:t>签字或盖章</w:t>
      </w:r>
      <w:r>
        <w:rPr>
          <w:rFonts w:hint="eastAsia" w:ascii="宋体" w:hAnsi="宋体"/>
          <w:color w:val="auto"/>
          <w:sz w:val="24"/>
          <w:highlight w:val="none"/>
        </w:rPr>
        <w:t>）</w:t>
      </w:r>
      <w:r>
        <w:rPr>
          <w:rFonts w:hint="eastAsia" w:hAnsi="宋体"/>
          <w:color w:val="auto"/>
          <w:sz w:val="24"/>
          <w:highlight w:val="none"/>
          <w:lang w:eastAsia="zh-CN"/>
        </w:rPr>
        <w:t>，</w:t>
      </w:r>
      <w:r>
        <w:rPr>
          <w:rFonts w:hint="eastAsia" w:ascii="宋体" w:hAnsi="宋体"/>
          <w:color w:val="auto"/>
          <w:sz w:val="24"/>
          <w:highlight w:val="none"/>
        </w:rPr>
        <w:t>联系人：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单位地址：</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hAnsi="宋体"/>
          <w:color w:val="auto"/>
          <w:sz w:val="24"/>
          <w:highlight w:val="none"/>
          <w:u w:val="single"/>
          <w:lang w:eastAsia="zh-CN"/>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Times New Roman"/>
          <w:color w:val="auto"/>
          <w:sz w:val="24"/>
          <w:highlight w:val="none"/>
        </w:rPr>
      </w:pPr>
      <w:bookmarkStart w:id="828" w:name="_Toc95223544"/>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Times New Roman"/>
          <w:color w:val="auto"/>
          <w:sz w:val="24"/>
          <w:highlight w:val="none"/>
        </w:rPr>
      </w:pPr>
    </w:p>
    <w:p>
      <w:pPr>
        <w:pStyle w:val="27"/>
        <w:rPr>
          <w:rFonts w:hint="eastAsia" w:ascii="宋体" w:hAnsi="宋体" w:eastAsia="宋体" w:cs="Times New Roman"/>
          <w:color w:val="auto"/>
          <w:sz w:val="24"/>
          <w:highlight w:val="none"/>
        </w:rPr>
      </w:pPr>
    </w:p>
    <w:p>
      <w:pPr>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Times New Roman"/>
          <w:color w:val="auto"/>
          <w:sz w:val="24"/>
          <w:highlight w:val="none"/>
        </w:rPr>
      </w:pPr>
    </w:p>
    <w:p>
      <w:pPr>
        <w:pStyle w:val="5"/>
        <w:adjustRightInd w:val="0"/>
        <w:snapToGrid w:val="0"/>
        <w:spacing w:before="0" w:after="0" w:line="560" w:lineRule="exact"/>
        <w:jc w:val="center"/>
        <w:rPr>
          <w:rFonts w:hint="eastAsia" w:ascii="Times New Roman" w:hAnsi="Times New Roman" w:eastAsia="宋体" w:cs="Times New Roman"/>
          <w:b/>
          <w:bCs/>
          <w:color w:val="auto"/>
          <w:highlight w:val="none"/>
        </w:rPr>
        <w:sectPr>
          <w:headerReference r:id="rId6" w:type="default"/>
          <w:footerReference r:id="rId7" w:type="default"/>
          <w:pgSz w:w="11906" w:h="16838"/>
          <w:pgMar w:top="1440" w:right="1080" w:bottom="1440" w:left="1080" w:header="851" w:footer="992" w:gutter="0"/>
          <w:pgNumType w:fmt="decimal"/>
          <w:cols w:space="720" w:num="1"/>
          <w:docGrid w:type="lines" w:linePitch="312" w:charSpace="0"/>
        </w:sectPr>
      </w:pPr>
    </w:p>
    <w:p>
      <w:pPr>
        <w:pStyle w:val="5"/>
        <w:adjustRightInd w:val="0"/>
        <w:snapToGrid w:val="0"/>
        <w:spacing w:before="0" w:after="0" w:line="560" w:lineRule="exact"/>
        <w:jc w:val="center"/>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（2）工程量清单报价书</w:t>
      </w:r>
      <w:bookmarkEnd w:id="828"/>
    </w:p>
    <w:tbl>
      <w:tblPr>
        <w:tblStyle w:val="73"/>
        <w:tblW w:w="1470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4"/>
        <w:gridCol w:w="1495"/>
        <w:gridCol w:w="802"/>
        <w:gridCol w:w="1298"/>
        <w:gridCol w:w="2133"/>
        <w:gridCol w:w="1637"/>
        <w:gridCol w:w="1400"/>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74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single"/>
              </w:rPr>
            </w:pPr>
            <w:r>
              <w:rPr>
                <w:rFonts w:hint="eastAsia" w:ascii="宋体" w:hAnsi="宋体" w:eastAsia="宋体" w:cs="宋体"/>
                <w:b/>
                <w:bCs/>
                <w:i w:val="0"/>
                <w:iCs w:val="0"/>
                <w:color w:val="000000"/>
                <w:kern w:val="0"/>
                <w:sz w:val="21"/>
                <w:szCs w:val="21"/>
                <w:highlight w:val="none"/>
                <w:u w:val="single"/>
                <w:lang w:val="en-US" w:eastAsia="zh-CN" w:bidi="ar"/>
              </w:rPr>
              <w:t>招标范围</w:t>
            </w:r>
          </w:p>
        </w:tc>
        <w:tc>
          <w:tcPr>
            <w:tcW w:w="149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single"/>
              </w:rPr>
            </w:pPr>
            <w:r>
              <w:rPr>
                <w:rFonts w:hint="eastAsia" w:ascii="宋体" w:hAnsi="宋体" w:eastAsia="宋体" w:cs="宋体"/>
                <w:b/>
                <w:bCs/>
                <w:i w:val="0"/>
                <w:iCs w:val="0"/>
                <w:color w:val="000000"/>
                <w:kern w:val="0"/>
                <w:sz w:val="21"/>
                <w:szCs w:val="21"/>
                <w:highlight w:val="none"/>
                <w:u w:val="single"/>
                <w:lang w:val="en-US" w:eastAsia="zh-CN" w:bidi="ar"/>
              </w:rPr>
              <w:t>规格型号</w:t>
            </w:r>
          </w:p>
        </w:tc>
        <w:tc>
          <w:tcPr>
            <w:tcW w:w="80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single"/>
              </w:rPr>
            </w:pPr>
            <w:r>
              <w:rPr>
                <w:rFonts w:hint="eastAsia" w:ascii="宋体" w:hAnsi="宋体" w:eastAsia="宋体" w:cs="宋体"/>
                <w:b/>
                <w:bCs/>
                <w:i w:val="0"/>
                <w:iCs w:val="0"/>
                <w:color w:val="000000"/>
                <w:kern w:val="0"/>
                <w:sz w:val="21"/>
                <w:szCs w:val="21"/>
                <w:highlight w:val="none"/>
                <w:u w:val="single"/>
                <w:lang w:val="en-US" w:eastAsia="zh-CN" w:bidi="ar"/>
              </w:rPr>
              <w:t>建设地点</w:t>
            </w:r>
          </w:p>
        </w:tc>
        <w:tc>
          <w:tcPr>
            <w:tcW w:w="129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single"/>
              </w:rPr>
            </w:pPr>
            <w:r>
              <w:rPr>
                <w:rFonts w:hint="eastAsia" w:ascii="宋体" w:hAnsi="宋体" w:eastAsia="宋体" w:cs="宋体"/>
                <w:b/>
                <w:bCs/>
                <w:i w:val="0"/>
                <w:iCs w:val="0"/>
                <w:color w:val="000000"/>
                <w:kern w:val="0"/>
                <w:sz w:val="21"/>
                <w:szCs w:val="21"/>
                <w:highlight w:val="none"/>
                <w:u w:val="single"/>
                <w:lang w:val="en-US" w:eastAsia="zh-CN" w:bidi="ar"/>
              </w:rPr>
              <w:t>总容量（直流侧）（KWp）</w:t>
            </w:r>
          </w:p>
        </w:tc>
        <w:tc>
          <w:tcPr>
            <w:tcW w:w="213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single"/>
                <w:lang w:val="en-US" w:eastAsia="zh-CN" w:bidi="ar-SA"/>
              </w:rPr>
            </w:pPr>
            <w:r>
              <w:rPr>
                <w:rFonts w:hint="eastAsia" w:ascii="宋体" w:hAnsi="宋体" w:eastAsia="宋体" w:cs="宋体"/>
                <w:b/>
                <w:bCs/>
                <w:i w:val="0"/>
                <w:iCs w:val="0"/>
                <w:color w:val="000000"/>
                <w:kern w:val="0"/>
                <w:sz w:val="21"/>
                <w:szCs w:val="21"/>
                <w:highlight w:val="none"/>
                <w:u w:val="single"/>
                <w:lang w:val="en-US" w:eastAsia="zh-CN" w:bidi="ar"/>
              </w:rPr>
              <w:t>最高限价单价（含税）</w:t>
            </w:r>
          </w:p>
        </w:tc>
        <w:tc>
          <w:tcPr>
            <w:tcW w:w="1637"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single"/>
                <w:lang w:val="en-US" w:eastAsia="zh-CN" w:bidi="ar"/>
              </w:rPr>
            </w:pPr>
            <w:r>
              <w:rPr>
                <w:rFonts w:hint="eastAsia" w:hAnsi="宋体" w:eastAsia="宋体" w:cs="宋体"/>
                <w:b/>
                <w:bCs/>
                <w:i w:val="0"/>
                <w:iCs w:val="0"/>
                <w:color w:val="000000"/>
                <w:kern w:val="0"/>
                <w:sz w:val="21"/>
                <w:szCs w:val="21"/>
                <w:highlight w:val="none"/>
                <w:u w:val="single"/>
                <w:lang w:val="en-US" w:eastAsia="zh-CN" w:bidi="ar"/>
              </w:rPr>
              <w:t>投标报价（单价，含税）</w:t>
            </w:r>
          </w:p>
        </w:tc>
        <w:tc>
          <w:tcPr>
            <w:tcW w:w="14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single"/>
                <w:lang w:val="en-US" w:eastAsia="zh-CN" w:bidi="ar"/>
              </w:rPr>
            </w:pPr>
            <w:r>
              <w:rPr>
                <w:rFonts w:hint="eastAsia" w:hAnsi="宋体" w:eastAsia="宋体" w:cs="宋体"/>
                <w:b/>
                <w:bCs/>
                <w:i w:val="0"/>
                <w:iCs w:val="0"/>
                <w:color w:val="000000"/>
                <w:kern w:val="0"/>
                <w:sz w:val="21"/>
                <w:szCs w:val="21"/>
                <w:highlight w:val="none"/>
                <w:u w:val="single"/>
                <w:lang w:val="en-US" w:eastAsia="zh-CN" w:bidi="ar"/>
              </w:rPr>
              <w:t>投标报价（总价，含税）</w:t>
            </w:r>
          </w:p>
        </w:tc>
        <w:tc>
          <w:tcPr>
            <w:tcW w:w="219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single"/>
              </w:rPr>
            </w:pPr>
            <w:r>
              <w:rPr>
                <w:rFonts w:hint="eastAsia" w:ascii="宋体" w:hAnsi="宋体" w:eastAsia="宋体" w:cs="宋体"/>
                <w:b/>
                <w:bCs/>
                <w:i w:val="0"/>
                <w:iCs w:val="0"/>
                <w:color w:val="000000"/>
                <w:kern w:val="0"/>
                <w:sz w:val="21"/>
                <w:szCs w:val="21"/>
                <w:highlight w:val="none"/>
                <w:u w:val="singl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374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光伏组件</w:t>
            </w:r>
          </w:p>
        </w:tc>
        <w:tc>
          <w:tcPr>
            <w:tcW w:w="14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0.13MW</w:t>
            </w:r>
          </w:p>
        </w:tc>
        <w:tc>
          <w:tcPr>
            <w:tcW w:w="8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130</w:t>
            </w:r>
          </w:p>
        </w:tc>
        <w:tc>
          <w:tcPr>
            <w:tcW w:w="21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1.0元/Wp</w:t>
            </w:r>
          </w:p>
        </w:tc>
        <w:tc>
          <w:tcPr>
            <w:tcW w:w="1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single"/>
                <w:lang w:val="en-US" w:eastAsia="zh-CN" w:bidi="ar"/>
              </w:rPr>
            </w:pPr>
          </w:p>
        </w:tc>
        <w:tc>
          <w:tcPr>
            <w:tcW w:w="14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single"/>
                <w:lang w:val="en-US" w:eastAsia="zh-CN" w:bidi="ar"/>
              </w:rPr>
            </w:pPr>
          </w:p>
        </w:tc>
        <w:tc>
          <w:tcPr>
            <w:tcW w:w="219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建议参照晶科、晶澳、天合等技术参数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374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光伏逆变器</w:t>
            </w:r>
          </w:p>
        </w:tc>
        <w:tc>
          <w:tcPr>
            <w:tcW w:w="14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0.13MW</w:t>
            </w:r>
          </w:p>
        </w:tc>
        <w:tc>
          <w:tcPr>
            <w:tcW w:w="8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130</w:t>
            </w:r>
          </w:p>
        </w:tc>
        <w:tc>
          <w:tcPr>
            <w:tcW w:w="21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0.4元/Wp</w:t>
            </w:r>
          </w:p>
        </w:tc>
        <w:tc>
          <w:tcPr>
            <w:tcW w:w="1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single"/>
                <w:lang w:val="en-US" w:eastAsia="zh-CN" w:bidi="ar"/>
              </w:rPr>
            </w:pPr>
          </w:p>
        </w:tc>
        <w:tc>
          <w:tcPr>
            <w:tcW w:w="14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single"/>
                <w:lang w:val="en-US" w:eastAsia="zh-CN" w:bidi="ar"/>
              </w:rPr>
            </w:pPr>
          </w:p>
        </w:tc>
        <w:tc>
          <w:tcPr>
            <w:tcW w:w="219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建议参照华为、锦浪、阳光等技术参数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5" w:hRule="atLeast"/>
        </w:trPr>
        <w:tc>
          <w:tcPr>
            <w:tcW w:w="374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包括但不限于；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夹具、常规支架、直流电缆、交流低压电缆、桥架、扁铁、接地线、水清洗系统、检修通道、视频监控、光伏并网柜等材料采购(2)项目光伏安装施工、逆变器安装调试、支架拼装、组件拼装、交直流电缆敷设、线槽敷设接线、并网柜安装等(3)配合发包人完成发改委备案、并网申请、并网验收（发电能力需满足国家规定的标准）。(4)项目质保期2年，免维期2年，其中光伏组件质保25年，逆变器质保10年。（5）包括设计、备案、接入手续的办理及后续的全部验收工作。</w:t>
            </w:r>
          </w:p>
        </w:tc>
        <w:tc>
          <w:tcPr>
            <w:tcW w:w="14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100天（为日历工期，包括法定节假日，以开工令为准）</w:t>
            </w:r>
          </w:p>
        </w:tc>
        <w:tc>
          <w:tcPr>
            <w:tcW w:w="8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滁州市第一人民医院北区扩建门诊医技综合楼</w:t>
            </w:r>
          </w:p>
        </w:tc>
        <w:tc>
          <w:tcPr>
            <w:tcW w:w="12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130</w:t>
            </w:r>
          </w:p>
        </w:tc>
        <w:tc>
          <w:tcPr>
            <w:tcW w:w="21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2.50元/Wp</w:t>
            </w:r>
          </w:p>
        </w:tc>
        <w:tc>
          <w:tcPr>
            <w:tcW w:w="1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single"/>
                <w:lang w:val="en-US" w:eastAsia="zh-CN" w:bidi="ar"/>
              </w:rPr>
            </w:pPr>
          </w:p>
        </w:tc>
        <w:tc>
          <w:tcPr>
            <w:tcW w:w="14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single"/>
                <w:lang w:val="en-US" w:eastAsia="zh-CN" w:bidi="ar"/>
              </w:rPr>
            </w:pPr>
          </w:p>
        </w:tc>
        <w:tc>
          <w:tcPr>
            <w:tcW w:w="219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p>
        </w:tc>
      </w:tr>
    </w:tbl>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r>
        <w:rPr>
          <w:rFonts w:hint="eastAsia" w:hAnsi="宋体"/>
          <w:color w:val="auto"/>
          <w:sz w:val="24"/>
          <w:highlight w:val="none"/>
          <w:lang w:val="en-US" w:eastAsia="zh-CN"/>
        </w:rPr>
        <w:t>盖章</w:t>
      </w:r>
      <w:r>
        <w:rPr>
          <w:rFonts w:hint="eastAsia" w:ascii="宋体" w:hAnsi="宋体"/>
          <w:color w:val="auto"/>
          <w:sz w:val="24"/>
          <w:highlight w:val="none"/>
        </w:rPr>
        <w:t>）</w:t>
      </w:r>
      <w:r>
        <w:rPr>
          <w:rFonts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hAnsi="宋体"/>
          <w:color w:val="auto"/>
          <w:sz w:val="24"/>
          <w:highlight w:val="none"/>
          <w:lang w:val="en-US" w:eastAsia="zh-CN"/>
        </w:rPr>
        <w:t>签字或盖章</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pStyle w:val="5"/>
        <w:adjustRightInd w:val="0"/>
        <w:snapToGrid w:val="0"/>
        <w:spacing w:before="0" w:after="0" w:line="560" w:lineRule="exact"/>
        <w:ind w:firstLine="1285" w:firstLineChars="400"/>
        <w:jc w:val="both"/>
        <w:rPr>
          <w:rFonts w:hint="eastAsia" w:ascii="Times New Roman" w:hAnsi="Times New Roman" w:eastAsia="宋体" w:cs="Times New Roman"/>
          <w:b/>
          <w:bCs/>
          <w:color w:val="auto"/>
          <w:highlight w:val="none"/>
        </w:rPr>
        <w:sectPr>
          <w:pgSz w:w="16838" w:h="11906" w:orient="landscape"/>
          <w:pgMar w:top="1083" w:right="1440" w:bottom="1083" w:left="1440" w:header="851" w:footer="992" w:gutter="0"/>
          <w:paperSrc/>
          <w:pgNumType w:fmt="decimal"/>
          <w:cols w:space="720" w:num="1"/>
          <w:rtlGutter w:val="0"/>
          <w:docGrid w:type="lines" w:linePitch="335" w:charSpace="0"/>
        </w:sectPr>
      </w:pPr>
    </w:p>
    <w:p>
      <w:pPr>
        <w:pStyle w:val="5"/>
        <w:adjustRightInd w:val="0"/>
        <w:snapToGrid w:val="0"/>
        <w:spacing w:before="0" w:after="0" w:line="560" w:lineRule="exact"/>
        <w:jc w:val="center"/>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w:t>
      </w:r>
      <w:r>
        <w:rPr>
          <w:rFonts w:hint="eastAsia" w:ascii="Times New Roman" w:hAnsi="Times New Roman" w:eastAsia="宋体" w:cs="Times New Roman"/>
          <w:b/>
          <w:bCs/>
          <w:color w:val="auto"/>
          <w:highlight w:val="none"/>
          <w:lang w:val="en-US" w:eastAsia="zh-CN"/>
        </w:rPr>
        <w:t>3</w:t>
      </w:r>
      <w:r>
        <w:rPr>
          <w:rFonts w:hint="eastAsia" w:ascii="Times New Roman" w:hAnsi="Times New Roman" w:eastAsia="宋体" w:cs="Times New Roman"/>
          <w:b/>
          <w:bCs/>
          <w:color w:val="auto"/>
          <w:highlight w:val="none"/>
        </w:rPr>
        <w:t>）详细评审所需其他材料（如有）</w:t>
      </w:r>
    </w:p>
    <w:p>
      <w:pPr>
        <w:pStyle w:val="2"/>
        <w:adjustRightInd w:val="0"/>
        <w:snapToGrid w:val="0"/>
        <w:spacing w:after="0" w:line="560" w:lineRule="exact"/>
        <w:jc w:val="center"/>
        <w:outlineLvl w:val="0"/>
        <w:rPr>
          <w:rFonts w:eastAsia="黑体"/>
          <w:b/>
          <w:bCs/>
          <w:color w:val="auto"/>
          <w:sz w:val="32"/>
          <w:highlight w:val="none"/>
        </w:rPr>
      </w:pPr>
      <w:bookmarkStart w:id="829" w:name="_Toc95223547"/>
      <w:r>
        <w:rPr>
          <w:rFonts w:hint="eastAsia" w:eastAsia="黑体"/>
          <w:b/>
          <w:bCs/>
          <w:color w:val="auto"/>
          <w:sz w:val="32"/>
          <w:highlight w:val="none"/>
        </w:rPr>
        <w:t>第十章  招标</w:t>
      </w:r>
      <w:bookmarkStart w:id="830" w:name="_Toc60061593"/>
      <w:r>
        <w:rPr>
          <w:rFonts w:hint="eastAsia" w:eastAsia="黑体"/>
          <w:b/>
          <w:bCs/>
          <w:color w:val="auto"/>
          <w:sz w:val="32"/>
          <w:highlight w:val="none"/>
        </w:rPr>
        <w:t>人、招标代理机构对本招标文件的确认</w:t>
      </w:r>
      <w:bookmarkEnd w:id="829"/>
      <w:bookmarkEnd w:id="830"/>
    </w:p>
    <w:tbl>
      <w:tblPr>
        <w:tblStyle w:val="73"/>
        <w:tblW w:w="9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2" w:hRule="atLeast"/>
          <w:jc w:val="center"/>
        </w:trPr>
        <w:tc>
          <w:tcPr>
            <w:tcW w:w="9580" w:type="dxa"/>
            <w:vAlign w:val="top"/>
          </w:tcPr>
          <w:p>
            <w:pPr>
              <w:adjustRightInd w:val="0"/>
              <w:snapToGrid w:val="0"/>
              <w:spacing w:line="560" w:lineRule="exact"/>
              <w:rPr>
                <w:rFonts w:hint="eastAsia"/>
                <w:color w:val="auto"/>
                <w:sz w:val="28"/>
                <w:szCs w:val="28"/>
                <w:highlight w:val="none"/>
              </w:rPr>
            </w:pPr>
          </w:p>
          <w:p>
            <w:pPr>
              <w:adjustRightInd w:val="0"/>
              <w:snapToGrid w:val="0"/>
              <w:spacing w:line="560" w:lineRule="exact"/>
              <w:ind w:firstLine="560" w:firstLineChars="200"/>
              <w:rPr>
                <w:rFonts w:hint="eastAsia" w:ascii="宋体" w:hAnsi="宋体" w:eastAsia="宋体" w:cs="宋体"/>
                <w:i w:val="0"/>
                <w:iCs w:val="0"/>
                <w:caps w:val="0"/>
                <w:color w:val="auto"/>
                <w:spacing w:val="0"/>
                <w:kern w:val="2"/>
                <w:sz w:val="28"/>
                <w:szCs w:val="28"/>
                <w:highlight w:val="none"/>
                <w:shd w:val="clear" w:color="auto" w:fill="FFFFFF"/>
              </w:rPr>
            </w:pPr>
            <w:r>
              <w:rPr>
                <w:rFonts w:hint="eastAsia" w:ascii="宋体" w:hAnsi="宋体" w:eastAsia="宋体" w:cs="宋体"/>
                <w:i w:val="0"/>
                <w:iCs w:val="0"/>
                <w:caps w:val="0"/>
                <w:color w:val="auto"/>
                <w:spacing w:val="0"/>
                <w:kern w:val="2"/>
                <w:sz w:val="28"/>
                <w:szCs w:val="28"/>
                <w:highlight w:val="none"/>
                <w:shd w:val="clear" w:color="auto" w:fill="FFFFFF"/>
              </w:rPr>
              <w:t>我单位对</w:t>
            </w:r>
            <w:r>
              <w:rPr>
                <w:rFonts w:hint="eastAsia" w:ascii="宋体" w:hAnsi="宋体" w:eastAsia="宋体" w:cs="宋体"/>
                <w:i w:val="0"/>
                <w:iCs w:val="0"/>
                <w:caps w:val="0"/>
                <w:color w:val="auto"/>
                <w:spacing w:val="0"/>
                <w:kern w:val="2"/>
                <w:sz w:val="28"/>
                <w:szCs w:val="28"/>
                <w:highlight w:val="none"/>
                <w:u w:val="single"/>
                <w:shd w:val="clear" w:color="auto" w:fill="FFFFFF"/>
              </w:rPr>
              <w:t xml:space="preserve"> </w:t>
            </w:r>
            <w:bookmarkStart w:id="831" w:name="_Toc15058950"/>
            <w:bookmarkStart w:id="832" w:name="_Toc60061594"/>
            <w:bookmarkStart w:id="833" w:name="_Toc506107366"/>
            <w:r>
              <w:rPr>
                <w:rFonts w:hint="eastAsia" w:ascii="宋体" w:hAnsi="宋体" w:eastAsia="宋体" w:cs="宋体"/>
                <w:i w:val="0"/>
                <w:iCs w:val="0"/>
                <w:caps w:val="0"/>
                <w:color w:val="auto"/>
                <w:spacing w:val="0"/>
                <w:kern w:val="2"/>
                <w:sz w:val="28"/>
                <w:szCs w:val="28"/>
                <w:highlight w:val="none"/>
                <w:u w:val="single"/>
                <w:shd w:val="clear" w:color="auto" w:fill="FFFFFF"/>
                <w:lang w:val="en-US" w:eastAsia="zh-CN"/>
              </w:rPr>
              <w:t>滁州市第一人民医院北区扩建项目分布式光伏发电EPC总承包工程</w:t>
            </w:r>
            <w:r>
              <w:rPr>
                <w:rFonts w:hint="eastAsia" w:ascii="宋体" w:hAnsi="宋体" w:eastAsia="宋体" w:cs="宋体"/>
                <w:i w:val="0"/>
                <w:iCs w:val="0"/>
                <w:caps w:val="0"/>
                <w:color w:val="auto"/>
                <w:spacing w:val="0"/>
                <w:kern w:val="2"/>
                <w:sz w:val="28"/>
                <w:szCs w:val="28"/>
                <w:highlight w:val="none"/>
                <w:u w:val="single"/>
                <w:shd w:val="clear" w:color="auto" w:fill="FFFFFF"/>
              </w:rPr>
              <w:t xml:space="preserve"> </w:t>
            </w:r>
            <w:r>
              <w:rPr>
                <w:rFonts w:hint="eastAsia" w:ascii="宋体" w:hAnsi="宋体" w:eastAsia="宋体" w:cs="宋体"/>
                <w:i w:val="0"/>
                <w:iCs w:val="0"/>
                <w:caps w:val="0"/>
                <w:color w:val="auto"/>
                <w:spacing w:val="0"/>
                <w:kern w:val="2"/>
                <w:sz w:val="28"/>
                <w:szCs w:val="28"/>
                <w:highlight w:val="none"/>
                <w:shd w:val="clear" w:color="auto" w:fill="FFFFFF"/>
              </w:rPr>
              <w:t xml:space="preserve"> 施工招</w:t>
            </w:r>
            <w:bookmarkEnd w:id="831"/>
            <w:bookmarkEnd w:id="832"/>
            <w:bookmarkEnd w:id="833"/>
            <w:r>
              <w:rPr>
                <w:rFonts w:hint="eastAsia" w:ascii="宋体" w:hAnsi="宋体" w:eastAsia="宋体" w:cs="宋体"/>
                <w:i w:val="0"/>
                <w:iCs w:val="0"/>
                <w:caps w:val="0"/>
                <w:color w:val="auto"/>
                <w:spacing w:val="0"/>
                <w:kern w:val="2"/>
                <w:sz w:val="28"/>
                <w:szCs w:val="28"/>
                <w:highlight w:val="none"/>
                <w:shd w:val="clear" w:color="auto" w:fill="FFFFFF"/>
              </w:rPr>
              <w:t>标的招标文件进行确认。</w:t>
            </w:r>
          </w:p>
          <w:p>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招标人：</w:t>
            </w:r>
            <w:r>
              <w:rPr>
                <w:rFonts w:hint="eastAsia" w:hAnsi="宋体" w:eastAsia="宋体" w:cs="宋体"/>
                <w:i w:val="0"/>
                <w:iCs w:val="0"/>
                <w:caps w:val="0"/>
                <w:color w:val="auto"/>
                <w:spacing w:val="0"/>
                <w:kern w:val="2"/>
                <w:sz w:val="28"/>
                <w:szCs w:val="28"/>
                <w:highlight w:val="none"/>
                <w:shd w:val="clear" w:color="auto" w:fill="FFFFFF"/>
                <w:lang w:eastAsia="zh-CN"/>
              </w:rPr>
              <w:t>滁州市第一人民医院</w:t>
            </w:r>
            <w:r>
              <w:rPr>
                <w:rFonts w:hint="eastAsia" w:ascii="宋体" w:hAnsi="宋体"/>
                <w:color w:val="auto"/>
                <w:sz w:val="28"/>
                <w:szCs w:val="28"/>
                <w:highlight w:val="none"/>
              </w:rPr>
              <w:t xml:space="preserve"> </w:t>
            </w:r>
          </w:p>
          <w:p>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联系</w:t>
            </w:r>
            <w:r>
              <w:rPr>
                <w:rFonts w:hint="eastAsia" w:ascii="宋体" w:hAnsi="宋体" w:eastAsia="宋体" w:cs="宋体"/>
                <w:i w:val="0"/>
                <w:iCs w:val="0"/>
                <w:caps w:val="0"/>
                <w:color w:val="auto"/>
                <w:spacing w:val="0"/>
                <w:kern w:val="2"/>
                <w:sz w:val="28"/>
                <w:szCs w:val="28"/>
                <w:highlight w:val="none"/>
                <w:shd w:val="clear" w:color="auto" w:fill="FFFFFF"/>
                <w:lang w:eastAsia="zh-CN"/>
              </w:rPr>
              <w:t>人：</w:t>
            </w:r>
            <w:r>
              <w:rPr>
                <w:rFonts w:hint="eastAsia" w:ascii="宋体" w:hAnsi="宋体" w:eastAsia="宋体" w:cs="宋体"/>
                <w:i w:val="0"/>
                <w:iCs w:val="0"/>
                <w:caps w:val="0"/>
                <w:color w:val="auto"/>
                <w:spacing w:val="0"/>
                <w:kern w:val="2"/>
                <w:sz w:val="28"/>
                <w:szCs w:val="28"/>
                <w:highlight w:val="none"/>
                <w:shd w:val="clear" w:color="auto" w:fill="FFFFFF"/>
                <w:lang w:val="en-US" w:eastAsia="zh-CN"/>
              </w:rPr>
              <w:t>招标办</w:t>
            </w:r>
            <w:r>
              <w:rPr>
                <w:rFonts w:hint="eastAsia" w:ascii="宋体" w:hAnsi="宋体" w:eastAsia="宋体" w:cs="宋体"/>
                <w:i w:val="0"/>
                <w:iCs w:val="0"/>
                <w:caps w:val="0"/>
                <w:color w:val="auto"/>
                <w:spacing w:val="0"/>
                <w:kern w:val="2"/>
                <w:sz w:val="28"/>
                <w:szCs w:val="28"/>
                <w:highlight w:val="none"/>
                <w:shd w:val="clear" w:color="auto" w:fill="FFFFFF"/>
                <w:lang w:eastAsia="zh-CN"/>
              </w:rPr>
              <w:t xml:space="preserve"> </w:t>
            </w:r>
          </w:p>
          <w:p>
            <w:pPr>
              <w:adjustRightInd w:val="0"/>
              <w:snapToGrid w:val="0"/>
              <w:spacing w:line="56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联系电话：</w:t>
            </w:r>
            <w:r>
              <w:rPr>
                <w:rFonts w:hint="eastAsia" w:hAnsi="宋体" w:eastAsia="宋体" w:cs="宋体"/>
                <w:i w:val="0"/>
                <w:iCs w:val="0"/>
                <w:caps w:val="0"/>
                <w:color w:val="auto"/>
                <w:spacing w:val="0"/>
                <w:kern w:val="2"/>
                <w:sz w:val="28"/>
                <w:szCs w:val="28"/>
                <w:highlight w:val="none"/>
                <w:shd w:val="clear" w:color="auto" w:fill="FFFFFF"/>
                <w:lang w:eastAsia="zh-CN"/>
              </w:rPr>
              <w:t xml:space="preserve">0550-3526032 </w:t>
            </w:r>
          </w:p>
          <w:p>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pStyle w:val="36"/>
              <w:ind w:left="0" w:leftChars="0" w:firstLine="0" w:firstLineChars="0"/>
              <w:rPr>
                <w:rFonts w:hint="eastAsia"/>
                <w:color w:val="auto"/>
                <w:sz w:val="28"/>
                <w:szCs w:val="28"/>
                <w:highlight w:val="none"/>
              </w:rPr>
            </w:pPr>
          </w:p>
          <w:p>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line="560" w:lineRule="exact"/>
              <w:ind w:firstLine="6580" w:firstLineChars="2350"/>
              <w:rPr>
                <w:rFonts w:hint="eastAsia" w:ascii="宋体" w:hAnsi="宋体"/>
                <w:color w:val="auto"/>
                <w:sz w:val="28"/>
                <w:szCs w:val="28"/>
                <w:highlight w:val="none"/>
              </w:rPr>
            </w:pPr>
            <w:r>
              <w:rPr>
                <w:rFonts w:hint="eastAsia" w:ascii="宋体" w:hAnsi="宋体"/>
                <w:color w:val="auto"/>
                <w:sz w:val="28"/>
                <w:szCs w:val="28"/>
                <w:highlight w:val="none"/>
              </w:rPr>
              <w:t>（</w:t>
            </w:r>
            <w:r>
              <w:rPr>
                <w:rFonts w:hint="eastAsia" w:hAnsi="宋体"/>
                <w:b/>
                <w:bCs/>
                <w:color w:val="auto"/>
                <w:sz w:val="28"/>
                <w:szCs w:val="28"/>
                <w:highlight w:val="none"/>
                <w:u w:val="none"/>
                <w:lang w:val="en-US" w:eastAsia="zh-CN"/>
              </w:rPr>
              <w:t>盖章</w:t>
            </w:r>
            <w:r>
              <w:rPr>
                <w:rFonts w:hint="eastAsia" w:ascii="宋体" w:hAnsi="宋体"/>
                <w:color w:val="auto"/>
                <w:sz w:val="28"/>
                <w:szCs w:val="28"/>
                <w:highlight w:val="none"/>
              </w:rPr>
              <w:t>）</w:t>
            </w:r>
          </w:p>
          <w:p>
            <w:pPr>
              <w:adjustRightInd w:val="0"/>
              <w:snapToGrid w:val="0"/>
              <w:spacing w:line="560" w:lineRule="exact"/>
              <w:ind w:firstLine="5040" w:firstLineChars="1800"/>
              <w:rPr>
                <w:rFonts w:hint="eastAsia"/>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202</w:t>
            </w:r>
            <w:r>
              <w:rPr>
                <w:rFonts w:hint="eastAsia"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hAnsi="宋体"/>
                <w:color w:val="auto"/>
                <w:sz w:val="28"/>
                <w:szCs w:val="28"/>
                <w:highlight w:val="none"/>
                <w:lang w:val="en-US" w:eastAsia="zh-CN"/>
              </w:rPr>
              <w:t>11</w:t>
            </w:r>
            <w:r>
              <w:rPr>
                <w:rFonts w:hint="eastAsia" w:ascii="宋体" w:hAnsi="宋体"/>
                <w:color w:val="auto"/>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80" w:type="dxa"/>
            <w:vAlign w:val="top"/>
          </w:tcPr>
          <w:p>
            <w:pPr>
              <w:adjustRightInd w:val="0"/>
              <w:snapToGrid w:val="0"/>
              <w:spacing w:line="560" w:lineRule="exact"/>
              <w:ind w:firstLine="560" w:firstLineChars="200"/>
              <w:rPr>
                <w:rFonts w:hint="eastAsia"/>
                <w:color w:val="auto"/>
                <w:sz w:val="28"/>
                <w:szCs w:val="28"/>
                <w:highlight w:val="none"/>
              </w:rPr>
            </w:pP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招标代理机构：</w:t>
            </w:r>
            <w:r>
              <w:rPr>
                <w:rFonts w:hint="eastAsia" w:ascii="宋体" w:hAnsi="宋体" w:eastAsia="宋体" w:cs="宋体"/>
                <w:color w:val="auto"/>
                <w:sz w:val="28"/>
                <w:szCs w:val="28"/>
                <w:highlight w:val="none"/>
                <w:lang w:eastAsia="zh-CN"/>
              </w:rPr>
              <w:t>江苏川页工程项目管理有限公司</w:t>
            </w:r>
          </w:p>
          <w:p>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val="en-US" w:eastAsia="zh-CN"/>
              </w:rPr>
              <w:t>赵建飞</w:t>
            </w:r>
            <w:r>
              <w:rPr>
                <w:rFonts w:hint="eastAsia" w:ascii="宋体" w:hAnsi="宋体" w:eastAsia="宋体" w:cs="宋体"/>
                <w:color w:val="auto"/>
                <w:sz w:val="28"/>
                <w:szCs w:val="28"/>
                <w:highlight w:val="none"/>
                <w:lang w:eastAsia="zh-CN"/>
              </w:rPr>
              <w:t xml:space="preserve"> </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18755018236</w:t>
            </w:r>
          </w:p>
          <w:p>
            <w:pPr>
              <w:spacing w:line="56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56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560" w:lineRule="exact"/>
              <w:ind w:firstLine="280" w:firstLineChars="10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p>
          <w:p>
            <w:pPr>
              <w:spacing w:line="560" w:lineRule="exact"/>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pPr>
              <w:adjustRightInd w:val="0"/>
              <w:snapToGrid w:val="0"/>
              <w:spacing w:line="560" w:lineRule="exact"/>
              <w:ind w:firstLine="7000" w:firstLineChars="2500"/>
              <w:jc w:val="both"/>
              <w:rPr>
                <w:rFonts w:hint="eastAsia" w:ascii="宋体" w:hAnsi="宋体" w:eastAsia="宋体" w:cs="宋体"/>
                <w:color w:val="auto"/>
                <w:sz w:val="28"/>
                <w:szCs w:val="28"/>
                <w:highlight w:val="none"/>
              </w:rPr>
            </w:pPr>
            <w:r>
              <w:rPr>
                <w:rFonts w:hint="eastAsia" w:ascii="宋体" w:hAnsi="宋体"/>
                <w:color w:val="auto"/>
                <w:sz w:val="28"/>
                <w:szCs w:val="28"/>
                <w:highlight w:val="none"/>
              </w:rPr>
              <w:t>（</w:t>
            </w:r>
            <w:r>
              <w:rPr>
                <w:rFonts w:hint="eastAsia" w:hAnsi="宋体"/>
                <w:b/>
                <w:bCs/>
                <w:color w:val="auto"/>
                <w:sz w:val="28"/>
                <w:szCs w:val="28"/>
                <w:highlight w:val="none"/>
                <w:lang w:val="en-US" w:eastAsia="zh-CN"/>
              </w:rPr>
              <w:t>盖章</w:t>
            </w:r>
            <w:r>
              <w:rPr>
                <w:rFonts w:hint="eastAsia" w:ascii="宋体" w:hAnsi="宋体"/>
                <w:color w:val="auto"/>
                <w:sz w:val="28"/>
                <w:szCs w:val="28"/>
                <w:highlight w:val="none"/>
              </w:rPr>
              <w:t>）</w:t>
            </w:r>
          </w:p>
          <w:p>
            <w:pPr>
              <w:adjustRightInd w:val="0"/>
              <w:snapToGrid w:val="0"/>
              <w:spacing w:line="560" w:lineRule="exact"/>
              <w:ind w:firstLine="4900" w:firstLineChars="1750"/>
              <w:rPr>
                <w:rFonts w:hint="eastAsia"/>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月</w:t>
            </w:r>
          </w:p>
        </w:tc>
      </w:tr>
      <w:bookmarkEnd w:id="4"/>
      <w:bookmarkEnd w:id="5"/>
      <w:bookmarkEnd w:id="6"/>
      <w:bookmarkEnd w:id="7"/>
      <w:bookmarkEnd w:id="8"/>
    </w:tbl>
    <w:p>
      <w:pPr>
        <w:adjustRightInd w:val="0"/>
        <w:snapToGrid w:val="0"/>
        <w:spacing w:line="560" w:lineRule="exact"/>
        <w:rPr>
          <w:rFonts w:hint="eastAsia" w:ascii="仿宋_GB2312" w:eastAsia="仿宋_GB2312"/>
          <w:b/>
          <w:color w:val="auto"/>
          <w:sz w:val="32"/>
          <w:szCs w:val="32"/>
          <w:highlight w:val="none"/>
        </w:rPr>
      </w:pPr>
    </w:p>
    <w:sectPr>
      <w:pgSz w:w="11906" w:h="16838"/>
      <w:pgMar w:top="1440" w:right="1083" w:bottom="1440" w:left="1083" w:header="851" w:footer="992" w:gutter="0"/>
      <w:paperSrc/>
      <w:pgNumType w:fmt="decimal"/>
      <w:cols w:space="720" w:num="1"/>
      <w:rtlGutter w:val="0"/>
      <w:docGrid w:type="lines" w:linePitch="3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3000509000000000000"/>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E0002AFF" w:usb1="C0007841" w:usb2="00000009" w:usb3="00000000" w:csb0="000001FF"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FFFFFFFF" w:usb1="E9FFFFFF" w:usb2="0000003F" w:usb3="00000000" w:csb0="603F01FF" w:csb1="FFFF0000"/>
  </w:font>
  <w:font w:name="???|CS?o｡ﾀ?">
    <w:altName w:val="Yu Gothic"/>
    <w:panose1 w:val="00000000000000000000"/>
    <w:charset w:val="80"/>
    <w:family w:val="modern"/>
    <w:pitch w:val="default"/>
    <w:sig w:usb0="00000000" w:usb1="00000000" w:usb2="00000010" w:usb3="00000000" w:csb0="00020000" w:csb1="0000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5"/>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HOijHAQAAbAMAAA4AAABkcnMvZTJvRG9jLnhtbK1TzY7TMBC+&#10;I+07WL5vky1a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pHOijHAQAAbAMAAA4AAAAAAAAAAQAgAAAAIgEAAGRycy9lMm9E&#10;b2MueG1sUEsFBgAAAAAGAAYAWQEAAFsFAAAAAA==&#10;">
              <v:fill on="f" focussize="0,0"/>
              <v:stroke on="f" weight="1.2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p>
    <w:pPr>
      <w:pStyle w:val="37"/>
    </w:pPr>
  </w:p>
  <w:p>
    <w:pPr>
      <w:pStyle w:val="37"/>
    </w:pPr>
  </w:p>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8"/>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172A27"/>
    <w:rsid w:val="00000E41"/>
    <w:rsid w:val="00004526"/>
    <w:rsid w:val="00006123"/>
    <w:rsid w:val="000070B7"/>
    <w:rsid w:val="00010F4B"/>
    <w:rsid w:val="00010FE5"/>
    <w:rsid w:val="000119B8"/>
    <w:rsid w:val="00017114"/>
    <w:rsid w:val="000179C9"/>
    <w:rsid w:val="0002567F"/>
    <w:rsid w:val="000258D3"/>
    <w:rsid w:val="0002695F"/>
    <w:rsid w:val="00031BC7"/>
    <w:rsid w:val="000324F9"/>
    <w:rsid w:val="000328DD"/>
    <w:rsid w:val="000330C1"/>
    <w:rsid w:val="00040224"/>
    <w:rsid w:val="00040673"/>
    <w:rsid w:val="0004332D"/>
    <w:rsid w:val="00043C58"/>
    <w:rsid w:val="00044A9B"/>
    <w:rsid w:val="0006307D"/>
    <w:rsid w:val="0006411D"/>
    <w:rsid w:val="000642AF"/>
    <w:rsid w:val="000650FB"/>
    <w:rsid w:val="00071F65"/>
    <w:rsid w:val="00075D06"/>
    <w:rsid w:val="00083807"/>
    <w:rsid w:val="00083D1E"/>
    <w:rsid w:val="00083F97"/>
    <w:rsid w:val="000844BB"/>
    <w:rsid w:val="00085CFA"/>
    <w:rsid w:val="0008662D"/>
    <w:rsid w:val="0008669C"/>
    <w:rsid w:val="00086C18"/>
    <w:rsid w:val="00087CA6"/>
    <w:rsid w:val="00090F90"/>
    <w:rsid w:val="00093100"/>
    <w:rsid w:val="0009392E"/>
    <w:rsid w:val="00094E9D"/>
    <w:rsid w:val="000A078C"/>
    <w:rsid w:val="000A11AD"/>
    <w:rsid w:val="000A1CF8"/>
    <w:rsid w:val="000A4002"/>
    <w:rsid w:val="000A4AC1"/>
    <w:rsid w:val="000A72CF"/>
    <w:rsid w:val="000B0548"/>
    <w:rsid w:val="000B3A75"/>
    <w:rsid w:val="000B40AB"/>
    <w:rsid w:val="000B7A7E"/>
    <w:rsid w:val="000C09E0"/>
    <w:rsid w:val="000C26FD"/>
    <w:rsid w:val="000C57E8"/>
    <w:rsid w:val="000C797B"/>
    <w:rsid w:val="000D126D"/>
    <w:rsid w:val="000D203E"/>
    <w:rsid w:val="000D2177"/>
    <w:rsid w:val="000D289C"/>
    <w:rsid w:val="000D2ACC"/>
    <w:rsid w:val="000D538F"/>
    <w:rsid w:val="000D55C2"/>
    <w:rsid w:val="000D7664"/>
    <w:rsid w:val="000E0643"/>
    <w:rsid w:val="000E1F7F"/>
    <w:rsid w:val="000E57E9"/>
    <w:rsid w:val="000E64FE"/>
    <w:rsid w:val="000E6D6C"/>
    <w:rsid w:val="000E7C96"/>
    <w:rsid w:val="000F1F77"/>
    <w:rsid w:val="000F37B0"/>
    <w:rsid w:val="000F3A73"/>
    <w:rsid w:val="000F4005"/>
    <w:rsid w:val="000F46EF"/>
    <w:rsid w:val="000F4B12"/>
    <w:rsid w:val="000F5B3A"/>
    <w:rsid w:val="000F6491"/>
    <w:rsid w:val="000F6D87"/>
    <w:rsid w:val="000F75F6"/>
    <w:rsid w:val="000F7845"/>
    <w:rsid w:val="00103338"/>
    <w:rsid w:val="00104E44"/>
    <w:rsid w:val="001106D2"/>
    <w:rsid w:val="0011140E"/>
    <w:rsid w:val="00112EE5"/>
    <w:rsid w:val="00113A2E"/>
    <w:rsid w:val="00114730"/>
    <w:rsid w:val="00116988"/>
    <w:rsid w:val="00122AD3"/>
    <w:rsid w:val="00125553"/>
    <w:rsid w:val="00126611"/>
    <w:rsid w:val="00131494"/>
    <w:rsid w:val="00133955"/>
    <w:rsid w:val="00133C18"/>
    <w:rsid w:val="0014023F"/>
    <w:rsid w:val="0014715D"/>
    <w:rsid w:val="0015292B"/>
    <w:rsid w:val="0015363F"/>
    <w:rsid w:val="00154C59"/>
    <w:rsid w:val="00155EDB"/>
    <w:rsid w:val="001564C3"/>
    <w:rsid w:val="00165414"/>
    <w:rsid w:val="00165F97"/>
    <w:rsid w:val="0016706C"/>
    <w:rsid w:val="00167090"/>
    <w:rsid w:val="00167847"/>
    <w:rsid w:val="00170097"/>
    <w:rsid w:val="00171EBC"/>
    <w:rsid w:val="00174020"/>
    <w:rsid w:val="00174766"/>
    <w:rsid w:val="00174BD2"/>
    <w:rsid w:val="00180836"/>
    <w:rsid w:val="001834BA"/>
    <w:rsid w:val="001931BD"/>
    <w:rsid w:val="001932C9"/>
    <w:rsid w:val="00194121"/>
    <w:rsid w:val="00195012"/>
    <w:rsid w:val="001963BD"/>
    <w:rsid w:val="001A120B"/>
    <w:rsid w:val="001A254E"/>
    <w:rsid w:val="001A37E0"/>
    <w:rsid w:val="001A3EC9"/>
    <w:rsid w:val="001A7120"/>
    <w:rsid w:val="001B1DF0"/>
    <w:rsid w:val="001B21A5"/>
    <w:rsid w:val="001B33C9"/>
    <w:rsid w:val="001B4BDE"/>
    <w:rsid w:val="001B524A"/>
    <w:rsid w:val="001B5617"/>
    <w:rsid w:val="001B5775"/>
    <w:rsid w:val="001D0B87"/>
    <w:rsid w:val="001D0C94"/>
    <w:rsid w:val="001D6687"/>
    <w:rsid w:val="001D79D9"/>
    <w:rsid w:val="001D7E45"/>
    <w:rsid w:val="001E0C1E"/>
    <w:rsid w:val="001E2548"/>
    <w:rsid w:val="001E2D2E"/>
    <w:rsid w:val="001E34B9"/>
    <w:rsid w:val="001E5F2F"/>
    <w:rsid w:val="001E785B"/>
    <w:rsid w:val="001F0060"/>
    <w:rsid w:val="001F11C9"/>
    <w:rsid w:val="001F2935"/>
    <w:rsid w:val="001F5943"/>
    <w:rsid w:val="001F68B1"/>
    <w:rsid w:val="001F6928"/>
    <w:rsid w:val="001F7A2F"/>
    <w:rsid w:val="001F7C6E"/>
    <w:rsid w:val="002037DA"/>
    <w:rsid w:val="0020582D"/>
    <w:rsid w:val="00207065"/>
    <w:rsid w:val="00207999"/>
    <w:rsid w:val="00213FCA"/>
    <w:rsid w:val="00214F76"/>
    <w:rsid w:val="00216F21"/>
    <w:rsid w:val="00220481"/>
    <w:rsid w:val="00226A92"/>
    <w:rsid w:val="002300A0"/>
    <w:rsid w:val="00230A2B"/>
    <w:rsid w:val="00230FBE"/>
    <w:rsid w:val="002334EC"/>
    <w:rsid w:val="00236A90"/>
    <w:rsid w:val="00237F2E"/>
    <w:rsid w:val="00240423"/>
    <w:rsid w:val="00241CDE"/>
    <w:rsid w:val="00241DE7"/>
    <w:rsid w:val="002420D2"/>
    <w:rsid w:val="00242B15"/>
    <w:rsid w:val="00244F79"/>
    <w:rsid w:val="002458E3"/>
    <w:rsid w:val="002464A8"/>
    <w:rsid w:val="00246566"/>
    <w:rsid w:val="00246655"/>
    <w:rsid w:val="002466E1"/>
    <w:rsid w:val="00246924"/>
    <w:rsid w:val="00250662"/>
    <w:rsid w:val="00253591"/>
    <w:rsid w:val="00253765"/>
    <w:rsid w:val="00255670"/>
    <w:rsid w:val="00256568"/>
    <w:rsid w:val="00257F3A"/>
    <w:rsid w:val="00262840"/>
    <w:rsid w:val="0026437D"/>
    <w:rsid w:val="0027049E"/>
    <w:rsid w:val="002739E5"/>
    <w:rsid w:val="00273CD2"/>
    <w:rsid w:val="00277D06"/>
    <w:rsid w:val="00280C42"/>
    <w:rsid w:val="0028177C"/>
    <w:rsid w:val="00281EB2"/>
    <w:rsid w:val="00286980"/>
    <w:rsid w:val="00286C00"/>
    <w:rsid w:val="002928A3"/>
    <w:rsid w:val="00292A23"/>
    <w:rsid w:val="00294D31"/>
    <w:rsid w:val="00295AEE"/>
    <w:rsid w:val="002A1522"/>
    <w:rsid w:val="002A3C99"/>
    <w:rsid w:val="002A52A9"/>
    <w:rsid w:val="002A599F"/>
    <w:rsid w:val="002A6E60"/>
    <w:rsid w:val="002B1326"/>
    <w:rsid w:val="002B43A7"/>
    <w:rsid w:val="002B4DDB"/>
    <w:rsid w:val="002B5C9B"/>
    <w:rsid w:val="002B7621"/>
    <w:rsid w:val="002C2E22"/>
    <w:rsid w:val="002C5643"/>
    <w:rsid w:val="002C7426"/>
    <w:rsid w:val="002D0AA8"/>
    <w:rsid w:val="002D34A1"/>
    <w:rsid w:val="002D6630"/>
    <w:rsid w:val="002D6A42"/>
    <w:rsid w:val="002D7EAD"/>
    <w:rsid w:val="002E2FA1"/>
    <w:rsid w:val="002E3B45"/>
    <w:rsid w:val="002E665A"/>
    <w:rsid w:val="002F5312"/>
    <w:rsid w:val="002F5BA9"/>
    <w:rsid w:val="003029B3"/>
    <w:rsid w:val="00305600"/>
    <w:rsid w:val="0031021B"/>
    <w:rsid w:val="0031113D"/>
    <w:rsid w:val="00312AE0"/>
    <w:rsid w:val="00313CA4"/>
    <w:rsid w:val="00315B9C"/>
    <w:rsid w:val="00317863"/>
    <w:rsid w:val="003208A3"/>
    <w:rsid w:val="00321177"/>
    <w:rsid w:val="00324847"/>
    <w:rsid w:val="00324D64"/>
    <w:rsid w:val="00325A55"/>
    <w:rsid w:val="00326347"/>
    <w:rsid w:val="00332891"/>
    <w:rsid w:val="003338B6"/>
    <w:rsid w:val="0033586D"/>
    <w:rsid w:val="00340BE1"/>
    <w:rsid w:val="00340CE4"/>
    <w:rsid w:val="00343375"/>
    <w:rsid w:val="00345882"/>
    <w:rsid w:val="00346066"/>
    <w:rsid w:val="0034716D"/>
    <w:rsid w:val="003510D2"/>
    <w:rsid w:val="00351502"/>
    <w:rsid w:val="003533FE"/>
    <w:rsid w:val="00355684"/>
    <w:rsid w:val="003562E8"/>
    <w:rsid w:val="003569D3"/>
    <w:rsid w:val="00357DD9"/>
    <w:rsid w:val="00360C29"/>
    <w:rsid w:val="003651BA"/>
    <w:rsid w:val="00370515"/>
    <w:rsid w:val="00374420"/>
    <w:rsid w:val="0037600B"/>
    <w:rsid w:val="003767CF"/>
    <w:rsid w:val="00377D14"/>
    <w:rsid w:val="00380136"/>
    <w:rsid w:val="003806C4"/>
    <w:rsid w:val="003817E6"/>
    <w:rsid w:val="00381E22"/>
    <w:rsid w:val="0038244A"/>
    <w:rsid w:val="00382545"/>
    <w:rsid w:val="003842D3"/>
    <w:rsid w:val="00385DF4"/>
    <w:rsid w:val="0039372B"/>
    <w:rsid w:val="00394C12"/>
    <w:rsid w:val="003A0149"/>
    <w:rsid w:val="003A157C"/>
    <w:rsid w:val="003A1FD2"/>
    <w:rsid w:val="003A28FA"/>
    <w:rsid w:val="003A6A3F"/>
    <w:rsid w:val="003A70F7"/>
    <w:rsid w:val="003B57A0"/>
    <w:rsid w:val="003B5AA9"/>
    <w:rsid w:val="003B6E84"/>
    <w:rsid w:val="003B7075"/>
    <w:rsid w:val="003B74A5"/>
    <w:rsid w:val="003B76A4"/>
    <w:rsid w:val="003B7983"/>
    <w:rsid w:val="003C1856"/>
    <w:rsid w:val="003C24F4"/>
    <w:rsid w:val="003C4452"/>
    <w:rsid w:val="003C4CE1"/>
    <w:rsid w:val="003C55AF"/>
    <w:rsid w:val="003C594A"/>
    <w:rsid w:val="003C6D7E"/>
    <w:rsid w:val="003D01D7"/>
    <w:rsid w:val="003D068F"/>
    <w:rsid w:val="003D282F"/>
    <w:rsid w:val="003D3A8C"/>
    <w:rsid w:val="003D60ED"/>
    <w:rsid w:val="003D7CD8"/>
    <w:rsid w:val="003E2B3A"/>
    <w:rsid w:val="003E2CA4"/>
    <w:rsid w:val="003E376A"/>
    <w:rsid w:val="003E64A4"/>
    <w:rsid w:val="003F0D52"/>
    <w:rsid w:val="003F638A"/>
    <w:rsid w:val="003F7B41"/>
    <w:rsid w:val="00401EC7"/>
    <w:rsid w:val="004028FE"/>
    <w:rsid w:val="004054E3"/>
    <w:rsid w:val="00406545"/>
    <w:rsid w:val="004071BC"/>
    <w:rsid w:val="004112D1"/>
    <w:rsid w:val="004115DE"/>
    <w:rsid w:val="00411B9C"/>
    <w:rsid w:val="004139CC"/>
    <w:rsid w:val="00413DF2"/>
    <w:rsid w:val="004142B7"/>
    <w:rsid w:val="00414512"/>
    <w:rsid w:val="00416735"/>
    <w:rsid w:val="00417196"/>
    <w:rsid w:val="004179E4"/>
    <w:rsid w:val="00423D05"/>
    <w:rsid w:val="0042416B"/>
    <w:rsid w:val="004260D6"/>
    <w:rsid w:val="004272B8"/>
    <w:rsid w:val="00427DFC"/>
    <w:rsid w:val="00430F18"/>
    <w:rsid w:val="00432BC1"/>
    <w:rsid w:val="00433A7D"/>
    <w:rsid w:val="004342AC"/>
    <w:rsid w:val="0043493C"/>
    <w:rsid w:val="0043512B"/>
    <w:rsid w:val="00435503"/>
    <w:rsid w:val="00440A91"/>
    <w:rsid w:val="00443669"/>
    <w:rsid w:val="00444FCD"/>
    <w:rsid w:val="00445E0F"/>
    <w:rsid w:val="00446179"/>
    <w:rsid w:val="00446599"/>
    <w:rsid w:val="00451F70"/>
    <w:rsid w:val="00454BE3"/>
    <w:rsid w:val="00454C0F"/>
    <w:rsid w:val="004567F6"/>
    <w:rsid w:val="00457E0A"/>
    <w:rsid w:val="00461D24"/>
    <w:rsid w:val="0046408B"/>
    <w:rsid w:val="00464364"/>
    <w:rsid w:val="00466DD9"/>
    <w:rsid w:val="00466E1F"/>
    <w:rsid w:val="0046734A"/>
    <w:rsid w:val="004712B0"/>
    <w:rsid w:val="00472DFC"/>
    <w:rsid w:val="0047586F"/>
    <w:rsid w:val="0048460A"/>
    <w:rsid w:val="00484833"/>
    <w:rsid w:val="004878BC"/>
    <w:rsid w:val="00491525"/>
    <w:rsid w:val="004926BA"/>
    <w:rsid w:val="00497789"/>
    <w:rsid w:val="004A0E1E"/>
    <w:rsid w:val="004A204C"/>
    <w:rsid w:val="004A394F"/>
    <w:rsid w:val="004A57D9"/>
    <w:rsid w:val="004A6FA5"/>
    <w:rsid w:val="004A75F4"/>
    <w:rsid w:val="004B0307"/>
    <w:rsid w:val="004B25F9"/>
    <w:rsid w:val="004B356E"/>
    <w:rsid w:val="004C2BF2"/>
    <w:rsid w:val="004C4C36"/>
    <w:rsid w:val="004C519A"/>
    <w:rsid w:val="004C7FEA"/>
    <w:rsid w:val="004D1EC4"/>
    <w:rsid w:val="004D2325"/>
    <w:rsid w:val="004D3018"/>
    <w:rsid w:val="004D48CA"/>
    <w:rsid w:val="004D5A6A"/>
    <w:rsid w:val="004D6B92"/>
    <w:rsid w:val="004E085C"/>
    <w:rsid w:val="004E0F8D"/>
    <w:rsid w:val="004E5A4E"/>
    <w:rsid w:val="004F00D3"/>
    <w:rsid w:val="004F06D6"/>
    <w:rsid w:val="004F1D3D"/>
    <w:rsid w:val="004F3C9D"/>
    <w:rsid w:val="004F4F6D"/>
    <w:rsid w:val="004F7151"/>
    <w:rsid w:val="004F7694"/>
    <w:rsid w:val="005026AE"/>
    <w:rsid w:val="00503AC9"/>
    <w:rsid w:val="00504185"/>
    <w:rsid w:val="00504F99"/>
    <w:rsid w:val="005078D7"/>
    <w:rsid w:val="00510790"/>
    <w:rsid w:val="00512C45"/>
    <w:rsid w:val="00515083"/>
    <w:rsid w:val="00515CF0"/>
    <w:rsid w:val="00515F9B"/>
    <w:rsid w:val="005164E6"/>
    <w:rsid w:val="00517B35"/>
    <w:rsid w:val="005200F2"/>
    <w:rsid w:val="00521BEF"/>
    <w:rsid w:val="00525789"/>
    <w:rsid w:val="00525D5C"/>
    <w:rsid w:val="00527904"/>
    <w:rsid w:val="00530895"/>
    <w:rsid w:val="00534798"/>
    <w:rsid w:val="00536151"/>
    <w:rsid w:val="00536165"/>
    <w:rsid w:val="005362C3"/>
    <w:rsid w:val="00537141"/>
    <w:rsid w:val="005436B5"/>
    <w:rsid w:val="00545C25"/>
    <w:rsid w:val="00550946"/>
    <w:rsid w:val="00551606"/>
    <w:rsid w:val="005519FD"/>
    <w:rsid w:val="00553807"/>
    <w:rsid w:val="00553C28"/>
    <w:rsid w:val="005575EF"/>
    <w:rsid w:val="00560E00"/>
    <w:rsid w:val="005610A7"/>
    <w:rsid w:val="00562097"/>
    <w:rsid w:val="00565E25"/>
    <w:rsid w:val="005677A2"/>
    <w:rsid w:val="005713EF"/>
    <w:rsid w:val="00571724"/>
    <w:rsid w:val="00573638"/>
    <w:rsid w:val="005736B2"/>
    <w:rsid w:val="0057699A"/>
    <w:rsid w:val="00580342"/>
    <w:rsid w:val="005834B4"/>
    <w:rsid w:val="00585426"/>
    <w:rsid w:val="00585DFD"/>
    <w:rsid w:val="00590071"/>
    <w:rsid w:val="00590519"/>
    <w:rsid w:val="005915F5"/>
    <w:rsid w:val="0059195D"/>
    <w:rsid w:val="00591D68"/>
    <w:rsid w:val="0059328A"/>
    <w:rsid w:val="00594FBF"/>
    <w:rsid w:val="00595EBF"/>
    <w:rsid w:val="00596B02"/>
    <w:rsid w:val="00597695"/>
    <w:rsid w:val="005A2BAD"/>
    <w:rsid w:val="005A2F0C"/>
    <w:rsid w:val="005B04CA"/>
    <w:rsid w:val="005B3064"/>
    <w:rsid w:val="005B40D8"/>
    <w:rsid w:val="005B6892"/>
    <w:rsid w:val="005C4241"/>
    <w:rsid w:val="005C4B24"/>
    <w:rsid w:val="005C50D8"/>
    <w:rsid w:val="005C6D7B"/>
    <w:rsid w:val="005D0C3F"/>
    <w:rsid w:val="005E06C4"/>
    <w:rsid w:val="005E229C"/>
    <w:rsid w:val="005E38E3"/>
    <w:rsid w:val="005E708C"/>
    <w:rsid w:val="005F0063"/>
    <w:rsid w:val="00600B26"/>
    <w:rsid w:val="0060220F"/>
    <w:rsid w:val="006047BC"/>
    <w:rsid w:val="006053A4"/>
    <w:rsid w:val="00605AFB"/>
    <w:rsid w:val="006111D4"/>
    <w:rsid w:val="006117D2"/>
    <w:rsid w:val="00613580"/>
    <w:rsid w:val="00615F83"/>
    <w:rsid w:val="0061633F"/>
    <w:rsid w:val="00617B19"/>
    <w:rsid w:val="00620E0C"/>
    <w:rsid w:val="00621A6D"/>
    <w:rsid w:val="00625F48"/>
    <w:rsid w:val="00626A9A"/>
    <w:rsid w:val="006319A4"/>
    <w:rsid w:val="0063411B"/>
    <w:rsid w:val="00637FB8"/>
    <w:rsid w:val="006404B8"/>
    <w:rsid w:val="00640530"/>
    <w:rsid w:val="00641C98"/>
    <w:rsid w:val="00644C50"/>
    <w:rsid w:val="00647D67"/>
    <w:rsid w:val="00651F07"/>
    <w:rsid w:val="00653F47"/>
    <w:rsid w:val="006543A1"/>
    <w:rsid w:val="00656EF2"/>
    <w:rsid w:val="00657FF3"/>
    <w:rsid w:val="00660CA8"/>
    <w:rsid w:val="00660FC2"/>
    <w:rsid w:val="00661BCF"/>
    <w:rsid w:val="00664570"/>
    <w:rsid w:val="00664CCB"/>
    <w:rsid w:val="0066501C"/>
    <w:rsid w:val="00665592"/>
    <w:rsid w:val="00665676"/>
    <w:rsid w:val="006674FA"/>
    <w:rsid w:val="0066795B"/>
    <w:rsid w:val="006714B6"/>
    <w:rsid w:val="00683211"/>
    <w:rsid w:val="00683559"/>
    <w:rsid w:val="00696D9B"/>
    <w:rsid w:val="0069779F"/>
    <w:rsid w:val="00697E3A"/>
    <w:rsid w:val="006A1066"/>
    <w:rsid w:val="006A1A32"/>
    <w:rsid w:val="006A1A42"/>
    <w:rsid w:val="006A2A1F"/>
    <w:rsid w:val="006A49E9"/>
    <w:rsid w:val="006A5A61"/>
    <w:rsid w:val="006B1A2E"/>
    <w:rsid w:val="006C09E3"/>
    <w:rsid w:val="006C19AA"/>
    <w:rsid w:val="006C5EE9"/>
    <w:rsid w:val="006C614E"/>
    <w:rsid w:val="006C71CB"/>
    <w:rsid w:val="006D0054"/>
    <w:rsid w:val="006D1757"/>
    <w:rsid w:val="006D1EB4"/>
    <w:rsid w:val="006D1FE0"/>
    <w:rsid w:val="006D279C"/>
    <w:rsid w:val="006D60A4"/>
    <w:rsid w:val="006E29E7"/>
    <w:rsid w:val="006F1915"/>
    <w:rsid w:val="006F2CFE"/>
    <w:rsid w:val="006F3694"/>
    <w:rsid w:val="006F4783"/>
    <w:rsid w:val="006F4AC3"/>
    <w:rsid w:val="006F61B2"/>
    <w:rsid w:val="00702976"/>
    <w:rsid w:val="007034B0"/>
    <w:rsid w:val="0070390F"/>
    <w:rsid w:val="00704A0E"/>
    <w:rsid w:val="00704ACF"/>
    <w:rsid w:val="00710337"/>
    <w:rsid w:val="00712512"/>
    <w:rsid w:val="007146BF"/>
    <w:rsid w:val="00716D93"/>
    <w:rsid w:val="007177BF"/>
    <w:rsid w:val="007220FC"/>
    <w:rsid w:val="00723435"/>
    <w:rsid w:val="00724B83"/>
    <w:rsid w:val="0072656D"/>
    <w:rsid w:val="0072753C"/>
    <w:rsid w:val="00730337"/>
    <w:rsid w:val="00730FD0"/>
    <w:rsid w:val="00731DC1"/>
    <w:rsid w:val="007355A3"/>
    <w:rsid w:val="007355FF"/>
    <w:rsid w:val="00746F00"/>
    <w:rsid w:val="00746F87"/>
    <w:rsid w:val="00750DC6"/>
    <w:rsid w:val="00753B5D"/>
    <w:rsid w:val="007543BC"/>
    <w:rsid w:val="00754BC2"/>
    <w:rsid w:val="007558C9"/>
    <w:rsid w:val="007562B3"/>
    <w:rsid w:val="00760360"/>
    <w:rsid w:val="00760C07"/>
    <w:rsid w:val="007640D0"/>
    <w:rsid w:val="0076750D"/>
    <w:rsid w:val="00772F4A"/>
    <w:rsid w:val="00781457"/>
    <w:rsid w:val="0078232E"/>
    <w:rsid w:val="007846BD"/>
    <w:rsid w:val="00784FF3"/>
    <w:rsid w:val="00787296"/>
    <w:rsid w:val="00787E57"/>
    <w:rsid w:val="00791620"/>
    <w:rsid w:val="0079483A"/>
    <w:rsid w:val="00794FC6"/>
    <w:rsid w:val="00797F29"/>
    <w:rsid w:val="00797F99"/>
    <w:rsid w:val="007A0954"/>
    <w:rsid w:val="007A1842"/>
    <w:rsid w:val="007A2D9D"/>
    <w:rsid w:val="007A3C11"/>
    <w:rsid w:val="007A3DC7"/>
    <w:rsid w:val="007A57D3"/>
    <w:rsid w:val="007A59DE"/>
    <w:rsid w:val="007A6A5D"/>
    <w:rsid w:val="007A6B8A"/>
    <w:rsid w:val="007B10BC"/>
    <w:rsid w:val="007B27DA"/>
    <w:rsid w:val="007B361D"/>
    <w:rsid w:val="007B4BC4"/>
    <w:rsid w:val="007B6549"/>
    <w:rsid w:val="007B6B72"/>
    <w:rsid w:val="007C0DF9"/>
    <w:rsid w:val="007C5C10"/>
    <w:rsid w:val="007C5C4D"/>
    <w:rsid w:val="007C6A8E"/>
    <w:rsid w:val="007D1FD4"/>
    <w:rsid w:val="007D29D8"/>
    <w:rsid w:val="007D50D5"/>
    <w:rsid w:val="007D6F02"/>
    <w:rsid w:val="007E3218"/>
    <w:rsid w:val="007E6E71"/>
    <w:rsid w:val="007E7683"/>
    <w:rsid w:val="007F024A"/>
    <w:rsid w:val="007F05FF"/>
    <w:rsid w:val="007F0879"/>
    <w:rsid w:val="007F0C41"/>
    <w:rsid w:val="007F1CCD"/>
    <w:rsid w:val="007F1E23"/>
    <w:rsid w:val="007F3331"/>
    <w:rsid w:val="007F37F4"/>
    <w:rsid w:val="007F7AD2"/>
    <w:rsid w:val="00802998"/>
    <w:rsid w:val="008040BD"/>
    <w:rsid w:val="00811BC8"/>
    <w:rsid w:val="00814757"/>
    <w:rsid w:val="00820BFA"/>
    <w:rsid w:val="00823F2A"/>
    <w:rsid w:val="00825E20"/>
    <w:rsid w:val="00827D58"/>
    <w:rsid w:val="008319A4"/>
    <w:rsid w:val="00832345"/>
    <w:rsid w:val="00832BCB"/>
    <w:rsid w:val="00834120"/>
    <w:rsid w:val="0083473D"/>
    <w:rsid w:val="00840C18"/>
    <w:rsid w:val="008418B7"/>
    <w:rsid w:val="00841C67"/>
    <w:rsid w:val="0084411B"/>
    <w:rsid w:val="008465CD"/>
    <w:rsid w:val="0084663D"/>
    <w:rsid w:val="00846CE5"/>
    <w:rsid w:val="00847159"/>
    <w:rsid w:val="0084749D"/>
    <w:rsid w:val="00852925"/>
    <w:rsid w:val="00852981"/>
    <w:rsid w:val="00854873"/>
    <w:rsid w:val="00855F50"/>
    <w:rsid w:val="00856515"/>
    <w:rsid w:val="008574A2"/>
    <w:rsid w:val="00860814"/>
    <w:rsid w:val="00864F6D"/>
    <w:rsid w:val="0087015F"/>
    <w:rsid w:val="00874549"/>
    <w:rsid w:val="008756B7"/>
    <w:rsid w:val="00875AA2"/>
    <w:rsid w:val="008813F9"/>
    <w:rsid w:val="00881587"/>
    <w:rsid w:val="008824EE"/>
    <w:rsid w:val="00884060"/>
    <w:rsid w:val="00886D9E"/>
    <w:rsid w:val="008877BB"/>
    <w:rsid w:val="008878BE"/>
    <w:rsid w:val="00887C5B"/>
    <w:rsid w:val="0089178E"/>
    <w:rsid w:val="0089321E"/>
    <w:rsid w:val="00894EE6"/>
    <w:rsid w:val="0089558D"/>
    <w:rsid w:val="0089702E"/>
    <w:rsid w:val="008977F1"/>
    <w:rsid w:val="0089795A"/>
    <w:rsid w:val="008A1485"/>
    <w:rsid w:val="008A725B"/>
    <w:rsid w:val="008B596D"/>
    <w:rsid w:val="008B68CE"/>
    <w:rsid w:val="008B6BC5"/>
    <w:rsid w:val="008C11CD"/>
    <w:rsid w:val="008C17E9"/>
    <w:rsid w:val="008C375C"/>
    <w:rsid w:val="008C6DA1"/>
    <w:rsid w:val="008C7627"/>
    <w:rsid w:val="008D39D4"/>
    <w:rsid w:val="008D4FD5"/>
    <w:rsid w:val="008D6EA7"/>
    <w:rsid w:val="008E1015"/>
    <w:rsid w:val="008E2DEC"/>
    <w:rsid w:val="008E31FA"/>
    <w:rsid w:val="008E5038"/>
    <w:rsid w:val="008E563F"/>
    <w:rsid w:val="008E5BF0"/>
    <w:rsid w:val="008E7D57"/>
    <w:rsid w:val="008F031C"/>
    <w:rsid w:val="008F1463"/>
    <w:rsid w:val="008F4AF2"/>
    <w:rsid w:val="008F79D7"/>
    <w:rsid w:val="009068FC"/>
    <w:rsid w:val="00906D05"/>
    <w:rsid w:val="009110F1"/>
    <w:rsid w:val="00911E55"/>
    <w:rsid w:val="00913B27"/>
    <w:rsid w:val="00913BD8"/>
    <w:rsid w:val="00913F05"/>
    <w:rsid w:val="00914971"/>
    <w:rsid w:val="009160A4"/>
    <w:rsid w:val="009177F6"/>
    <w:rsid w:val="00921A8E"/>
    <w:rsid w:val="00923297"/>
    <w:rsid w:val="00923DBE"/>
    <w:rsid w:val="00924A52"/>
    <w:rsid w:val="00924E50"/>
    <w:rsid w:val="00924EC4"/>
    <w:rsid w:val="0092535B"/>
    <w:rsid w:val="00925B27"/>
    <w:rsid w:val="00927917"/>
    <w:rsid w:val="00927C0C"/>
    <w:rsid w:val="00927D00"/>
    <w:rsid w:val="00927F2A"/>
    <w:rsid w:val="00930140"/>
    <w:rsid w:val="00930D9D"/>
    <w:rsid w:val="0093269F"/>
    <w:rsid w:val="00932A8D"/>
    <w:rsid w:val="00933343"/>
    <w:rsid w:val="00933DA1"/>
    <w:rsid w:val="00936F44"/>
    <w:rsid w:val="009404E5"/>
    <w:rsid w:val="009412CD"/>
    <w:rsid w:val="00943D1F"/>
    <w:rsid w:val="00945E60"/>
    <w:rsid w:val="0095338F"/>
    <w:rsid w:val="009603A6"/>
    <w:rsid w:val="009617B1"/>
    <w:rsid w:val="00963536"/>
    <w:rsid w:val="00963F8F"/>
    <w:rsid w:val="0096707A"/>
    <w:rsid w:val="00970531"/>
    <w:rsid w:val="0097090C"/>
    <w:rsid w:val="00971BA1"/>
    <w:rsid w:val="00974691"/>
    <w:rsid w:val="00975817"/>
    <w:rsid w:val="00976022"/>
    <w:rsid w:val="009774A2"/>
    <w:rsid w:val="00977C3F"/>
    <w:rsid w:val="00980102"/>
    <w:rsid w:val="0098085A"/>
    <w:rsid w:val="00980915"/>
    <w:rsid w:val="00981BB9"/>
    <w:rsid w:val="0098316D"/>
    <w:rsid w:val="00985BD8"/>
    <w:rsid w:val="00986D16"/>
    <w:rsid w:val="00987A1B"/>
    <w:rsid w:val="009911CB"/>
    <w:rsid w:val="0099244A"/>
    <w:rsid w:val="00993B46"/>
    <w:rsid w:val="00997E57"/>
    <w:rsid w:val="009A23D5"/>
    <w:rsid w:val="009A4048"/>
    <w:rsid w:val="009A4C36"/>
    <w:rsid w:val="009A6418"/>
    <w:rsid w:val="009A6C8A"/>
    <w:rsid w:val="009B1FF8"/>
    <w:rsid w:val="009B39E9"/>
    <w:rsid w:val="009B3B87"/>
    <w:rsid w:val="009B5C56"/>
    <w:rsid w:val="009B5EED"/>
    <w:rsid w:val="009B7EFF"/>
    <w:rsid w:val="009C55DC"/>
    <w:rsid w:val="009C6EE6"/>
    <w:rsid w:val="009C7205"/>
    <w:rsid w:val="009C7803"/>
    <w:rsid w:val="009D1764"/>
    <w:rsid w:val="009D18DD"/>
    <w:rsid w:val="009D31F3"/>
    <w:rsid w:val="009D509D"/>
    <w:rsid w:val="009D71F1"/>
    <w:rsid w:val="009E1CEB"/>
    <w:rsid w:val="009E2C0E"/>
    <w:rsid w:val="009E37B1"/>
    <w:rsid w:val="009E3D62"/>
    <w:rsid w:val="009E3E05"/>
    <w:rsid w:val="009F0430"/>
    <w:rsid w:val="009F3B2F"/>
    <w:rsid w:val="009F43D6"/>
    <w:rsid w:val="009F61B8"/>
    <w:rsid w:val="009F6310"/>
    <w:rsid w:val="009F6E3F"/>
    <w:rsid w:val="009F6EF2"/>
    <w:rsid w:val="009F716C"/>
    <w:rsid w:val="009F75A7"/>
    <w:rsid w:val="00A00D2F"/>
    <w:rsid w:val="00A01633"/>
    <w:rsid w:val="00A01770"/>
    <w:rsid w:val="00A03E20"/>
    <w:rsid w:val="00A06681"/>
    <w:rsid w:val="00A07F52"/>
    <w:rsid w:val="00A101E8"/>
    <w:rsid w:val="00A1132C"/>
    <w:rsid w:val="00A1168E"/>
    <w:rsid w:val="00A132A7"/>
    <w:rsid w:val="00A14452"/>
    <w:rsid w:val="00A14C01"/>
    <w:rsid w:val="00A21C72"/>
    <w:rsid w:val="00A22C3B"/>
    <w:rsid w:val="00A264B5"/>
    <w:rsid w:val="00A270A3"/>
    <w:rsid w:val="00A27D67"/>
    <w:rsid w:val="00A300ED"/>
    <w:rsid w:val="00A31262"/>
    <w:rsid w:val="00A32BD3"/>
    <w:rsid w:val="00A342FC"/>
    <w:rsid w:val="00A37208"/>
    <w:rsid w:val="00A373FE"/>
    <w:rsid w:val="00A37744"/>
    <w:rsid w:val="00A42C8B"/>
    <w:rsid w:val="00A431C8"/>
    <w:rsid w:val="00A5196D"/>
    <w:rsid w:val="00A56987"/>
    <w:rsid w:val="00A622CB"/>
    <w:rsid w:val="00A64403"/>
    <w:rsid w:val="00A649ED"/>
    <w:rsid w:val="00A716CF"/>
    <w:rsid w:val="00A71725"/>
    <w:rsid w:val="00A75E15"/>
    <w:rsid w:val="00A8099F"/>
    <w:rsid w:val="00A91A88"/>
    <w:rsid w:val="00A9331E"/>
    <w:rsid w:val="00A94D36"/>
    <w:rsid w:val="00A97CED"/>
    <w:rsid w:val="00AA035A"/>
    <w:rsid w:val="00AA080B"/>
    <w:rsid w:val="00AA4EF0"/>
    <w:rsid w:val="00AA7717"/>
    <w:rsid w:val="00AA7C86"/>
    <w:rsid w:val="00AB0C41"/>
    <w:rsid w:val="00AB1DFE"/>
    <w:rsid w:val="00AB24DF"/>
    <w:rsid w:val="00AB423F"/>
    <w:rsid w:val="00AB5D4E"/>
    <w:rsid w:val="00AB668C"/>
    <w:rsid w:val="00AB6FE9"/>
    <w:rsid w:val="00AB7A49"/>
    <w:rsid w:val="00AB7DF7"/>
    <w:rsid w:val="00AB7F2E"/>
    <w:rsid w:val="00AC0ACC"/>
    <w:rsid w:val="00AC18E8"/>
    <w:rsid w:val="00AC1FC8"/>
    <w:rsid w:val="00AC3DA9"/>
    <w:rsid w:val="00AD18C7"/>
    <w:rsid w:val="00AD36DF"/>
    <w:rsid w:val="00AD3760"/>
    <w:rsid w:val="00AD67FE"/>
    <w:rsid w:val="00AE0A02"/>
    <w:rsid w:val="00AE2544"/>
    <w:rsid w:val="00AE6B9F"/>
    <w:rsid w:val="00AF1542"/>
    <w:rsid w:val="00AF2A67"/>
    <w:rsid w:val="00AF3705"/>
    <w:rsid w:val="00AF5BD4"/>
    <w:rsid w:val="00B00842"/>
    <w:rsid w:val="00B011EA"/>
    <w:rsid w:val="00B024BA"/>
    <w:rsid w:val="00B04922"/>
    <w:rsid w:val="00B05E48"/>
    <w:rsid w:val="00B064E0"/>
    <w:rsid w:val="00B06BE3"/>
    <w:rsid w:val="00B10538"/>
    <w:rsid w:val="00B1229F"/>
    <w:rsid w:val="00B125E7"/>
    <w:rsid w:val="00B12946"/>
    <w:rsid w:val="00B12A39"/>
    <w:rsid w:val="00B13918"/>
    <w:rsid w:val="00B14F41"/>
    <w:rsid w:val="00B1518D"/>
    <w:rsid w:val="00B17733"/>
    <w:rsid w:val="00B21113"/>
    <w:rsid w:val="00B26433"/>
    <w:rsid w:val="00B30708"/>
    <w:rsid w:val="00B33900"/>
    <w:rsid w:val="00B35499"/>
    <w:rsid w:val="00B4015B"/>
    <w:rsid w:val="00B40A36"/>
    <w:rsid w:val="00B4168A"/>
    <w:rsid w:val="00B41B91"/>
    <w:rsid w:val="00B424A9"/>
    <w:rsid w:val="00B4596B"/>
    <w:rsid w:val="00B46856"/>
    <w:rsid w:val="00B46E14"/>
    <w:rsid w:val="00B50A8B"/>
    <w:rsid w:val="00B521A6"/>
    <w:rsid w:val="00B52319"/>
    <w:rsid w:val="00B52E7B"/>
    <w:rsid w:val="00B54797"/>
    <w:rsid w:val="00B551DE"/>
    <w:rsid w:val="00B60374"/>
    <w:rsid w:val="00B6238C"/>
    <w:rsid w:val="00B62610"/>
    <w:rsid w:val="00B65F97"/>
    <w:rsid w:val="00B677C4"/>
    <w:rsid w:val="00B7497B"/>
    <w:rsid w:val="00B75EF6"/>
    <w:rsid w:val="00B765DF"/>
    <w:rsid w:val="00B77EB4"/>
    <w:rsid w:val="00B8041D"/>
    <w:rsid w:val="00B809FA"/>
    <w:rsid w:val="00B82787"/>
    <w:rsid w:val="00B83D2A"/>
    <w:rsid w:val="00B84A57"/>
    <w:rsid w:val="00B84F24"/>
    <w:rsid w:val="00B87A14"/>
    <w:rsid w:val="00B87EA4"/>
    <w:rsid w:val="00B9415E"/>
    <w:rsid w:val="00B95240"/>
    <w:rsid w:val="00BA0771"/>
    <w:rsid w:val="00BA13C0"/>
    <w:rsid w:val="00BA2CA2"/>
    <w:rsid w:val="00BA3803"/>
    <w:rsid w:val="00BA3CAA"/>
    <w:rsid w:val="00BA4EF6"/>
    <w:rsid w:val="00BB0336"/>
    <w:rsid w:val="00BB31E1"/>
    <w:rsid w:val="00BC1804"/>
    <w:rsid w:val="00BC2070"/>
    <w:rsid w:val="00BC4AA0"/>
    <w:rsid w:val="00BC508C"/>
    <w:rsid w:val="00BD0626"/>
    <w:rsid w:val="00BD3412"/>
    <w:rsid w:val="00BD50FE"/>
    <w:rsid w:val="00BD5218"/>
    <w:rsid w:val="00BD7DBA"/>
    <w:rsid w:val="00BE03AC"/>
    <w:rsid w:val="00BE2D96"/>
    <w:rsid w:val="00BE386D"/>
    <w:rsid w:val="00BE520A"/>
    <w:rsid w:val="00BE6705"/>
    <w:rsid w:val="00BE75DD"/>
    <w:rsid w:val="00BE7FAD"/>
    <w:rsid w:val="00BF0E76"/>
    <w:rsid w:val="00BF13B4"/>
    <w:rsid w:val="00BF2EB6"/>
    <w:rsid w:val="00BF36F2"/>
    <w:rsid w:val="00C04C91"/>
    <w:rsid w:val="00C05954"/>
    <w:rsid w:val="00C05C4B"/>
    <w:rsid w:val="00C063DA"/>
    <w:rsid w:val="00C0756A"/>
    <w:rsid w:val="00C14FCB"/>
    <w:rsid w:val="00C156EA"/>
    <w:rsid w:val="00C15A0C"/>
    <w:rsid w:val="00C15EC9"/>
    <w:rsid w:val="00C15FE3"/>
    <w:rsid w:val="00C2616B"/>
    <w:rsid w:val="00C26DB9"/>
    <w:rsid w:val="00C26E5B"/>
    <w:rsid w:val="00C303FD"/>
    <w:rsid w:val="00C328F8"/>
    <w:rsid w:val="00C34837"/>
    <w:rsid w:val="00C37A06"/>
    <w:rsid w:val="00C40FE1"/>
    <w:rsid w:val="00C434BA"/>
    <w:rsid w:val="00C4601C"/>
    <w:rsid w:val="00C4621A"/>
    <w:rsid w:val="00C46752"/>
    <w:rsid w:val="00C46A75"/>
    <w:rsid w:val="00C46EAD"/>
    <w:rsid w:val="00C51140"/>
    <w:rsid w:val="00C517AD"/>
    <w:rsid w:val="00C52834"/>
    <w:rsid w:val="00C57456"/>
    <w:rsid w:val="00C57DD2"/>
    <w:rsid w:val="00C61288"/>
    <w:rsid w:val="00C638F8"/>
    <w:rsid w:val="00C64817"/>
    <w:rsid w:val="00C64892"/>
    <w:rsid w:val="00C66984"/>
    <w:rsid w:val="00C66D70"/>
    <w:rsid w:val="00C70997"/>
    <w:rsid w:val="00C727C2"/>
    <w:rsid w:val="00C72C18"/>
    <w:rsid w:val="00C73F0C"/>
    <w:rsid w:val="00C75A5C"/>
    <w:rsid w:val="00C75A94"/>
    <w:rsid w:val="00C75C14"/>
    <w:rsid w:val="00C804FA"/>
    <w:rsid w:val="00C817DC"/>
    <w:rsid w:val="00C82F08"/>
    <w:rsid w:val="00C83293"/>
    <w:rsid w:val="00C862B3"/>
    <w:rsid w:val="00C87B3D"/>
    <w:rsid w:val="00C90886"/>
    <w:rsid w:val="00C90C96"/>
    <w:rsid w:val="00C91BC4"/>
    <w:rsid w:val="00C92F00"/>
    <w:rsid w:val="00C93DA5"/>
    <w:rsid w:val="00CA3B34"/>
    <w:rsid w:val="00CA7209"/>
    <w:rsid w:val="00CB1B3B"/>
    <w:rsid w:val="00CB3F09"/>
    <w:rsid w:val="00CC0790"/>
    <w:rsid w:val="00CC1A9F"/>
    <w:rsid w:val="00CC1C85"/>
    <w:rsid w:val="00CC252A"/>
    <w:rsid w:val="00CC47DB"/>
    <w:rsid w:val="00CD275C"/>
    <w:rsid w:val="00CD3027"/>
    <w:rsid w:val="00CD694F"/>
    <w:rsid w:val="00CE262A"/>
    <w:rsid w:val="00CE2B65"/>
    <w:rsid w:val="00CE4A56"/>
    <w:rsid w:val="00CE4F1D"/>
    <w:rsid w:val="00CF145E"/>
    <w:rsid w:val="00CF1B5F"/>
    <w:rsid w:val="00CF3495"/>
    <w:rsid w:val="00CF42DA"/>
    <w:rsid w:val="00CF4FC0"/>
    <w:rsid w:val="00CF585C"/>
    <w:rsid w:val="00CF5A95"/>
    <w:rsid w:val="00CF5C2D"/>
    <w:rsid w:val="00CF6F53"/>
    <w:rsid w:val="00D0047C"/>
    <w:rsid w:val="00D01327"/>
    <w:rsid w:val="00D0377C"/>
    <w:rsid w:val="00D03D25"/>
    <w:rsid w:val="00D067C6"/>
    <w:rsid w:val="00D06980"/>
    <w:rsid w:val="00D10725"/>
    <w:rsid w:val="00D1359A"/>
    <w:rsid w:val="00D167DE"/>
    <w:rsid w:val="00D22BC3"/>
    <w:rsid w:val="00D238DB"/>
    <w:rsid w:val="00D32D8D"/>
    <w:rsid w:val="00D349CF"/>
    <w:rsid w:val="00D35580"/>
    <w:rsid w:val="00D356EA"/>
    <w:rsid w:val="00D360B2"/>
    <w:rsid w:val="00D37C8A"/>
    <w:rsid w:val="00D409EF"/>
    <w:rsid w:val="00D4103A"/>
    <w:rsid w:val="00D4191E"/>
    <w:rsid w:val="00D4273B"/>
    <w:rsid w:val="00D4492B"/>
    <w:rsid w:val="00D506E5"/>
    <w:rsid w:val="00D5328E"/>
    <w:rsid w:val="00D54F1A"/>
    <w:rsid w:val="00D5639F"/>
    <w:rsid w:val="00D5707B"/>
    <w:rsid w:val="00D608B9"/>
    <w:rsid w:val="00D61861"/>
    <w:rsid w:val="00D62567"/>
    <w:rsid w:val="00D63899"/>
    <w:rsid w:val="00D66575"/>
    <w:rsid w:val="00D666AC"/>
    <w:rsid w:val="00D67A72"/>
    <w:rsid w:val="00D70422"/>
    <w:rsid w:val="00D72333"/>
    <w:rsid w:val="00D74015"/>
    <w:rsid w:val="00D773A0"/>
    <w:rsid w:val="00D815AD"/>
    <w:rsid w:val="00D81680"/>
    <w:rsid w:val="00D836E3"/>
    <w:rsid w:val="00D8488C"/>
    <w:rsid w:val="00D84E11"/>
    <w:rsid w:val="00D85E92"/>
    <w:rsid w:val="00D86A70"/>
    <w:rsid w:val="00D90BF5"/>
    <w:rsid w:val="00D90E4A"/>
    <w:rsid w:val="00D963F7"/>
    <w:rsid w:val="00D9645F"/>
    <w:rsid w:val="00D964E3"/>
    <w:rsid w:val="00D9711D"/>
    <w:rsid w:val="00DA07E4"/>
    <w:rsid w:val="00DA0B4C"/>
    <w:rsid w:val="00DA120C"/>
    <w:rsid w:val="00DA204A"/>
    <w:rsid w:val="00DA4253"/>
    <w:rsid w:val="00DA56E9"/>
    <w:rsid w:val="00DA5EDC"/>
    <w:rsid w:val="00DA7BFB"/>
    <w:rsid w:val="00DB11C0"/>
    <w:rsid w:val="00DB310B"/>
    <w:rsid w:val="00DB355E"/>
    <w:rsid w:val="00DB530C"/>
    <w:rsid w:val="00DB5DE7"/>
    <w:rsid w:val="00DB6702"/>
    <w:rsid w:val="00DB741B"/>
    <w:rsid w:val="00DC0E28"/>
    <w:rsid w:val="00DC1793"/>
    <w:rsid w:val="00DC19DB"/>
    <w:rsid w:val="00DC78E1"/>
    <w:rsid w:val="00DD0622"/>
    <w:rsid w:val="00DD13E3"/>
    <w:rsid w:val="00DD2307"/>
    <w:rsid w:val="00DD4A45"/>
    <w:rsid w:val="00DD574C"/>
    <w:rsid w:val="00DD6E32"/>
    <w:rsid w:val="00DD76B4"/>
    <w:rsid w:val="00DE0362"/>
    <w:rsid w:val="00DE1722"/>
    <w:rsid w:val="00DE26B2"/>
    <w:rsid w:val="00DE5367"/>
    <w:rsid w:val="00DE5E9E"/>
    <w:rsid w:val="00DF48D2"/>
    <w:rsid w:val="00DF73D5"/>
    <w:rsid w:val="00DF745E"/>
    <w:rsid w:val="00E04906"/>
    <w:rsid w:val="00E050BF"/>
    <w:rsid w:val="00E0783C"/>
    <w:rsid w:val="00E13171"/>
    <w:rsid w:val="00E21FD6"/>
    <w:rsid w:val="00E2409E"/>
    <w:rsid w:val="00E2432E"/>
    <w:rsid w:val="00E24AF7"/>
    <w:rsid w:val="00E2552C"/>
    <w:rsid w:val="00E27CBB"/>
    <w:rsid w:val="00E31555"/>
    <w:rsid w:val="00E32ED0"/>
    <w:rsid w:val="00E3323D"/>
    <w:rsid w:val="00E33D92"/>
    <w:rsid w:val="00E356CD"/>
    <w:rsid w:val="00E4048F"/>
    <w:rsid w:val="00E41E2E"/>
    <w:rsid w:val="00E437A0"/>
    <w:rsid w:val="00E44C01"/>
    <w:rsid w:val="00E44CD3"/>
    <w:rsid w:val="00E452DF"/>
    <w:rsid w:val="00E50C16"/>
    <w:rsid w:val="00E52FF3"/>
    <w:rsid w:val="00E53E4E"/>
    <w:rsid w:val="00E60157"/>
    <w:rsid w:val="00E62979"/>
    <w:rsid w:val="00E63058"/>
    <w:rsid w:val="00E658A8"/>
    <w:rsid w:val="00E704EE"/>
    <w:rsid w:val="00E73BE6"/>
    <w:rsid w:val="00E73D9E"/>
    <w:rsid w:val="00E82224"/>
    <w:rsid w:val="00E831FA"/>
    <w:rsid w:val="00E910B0"/>
    <w:rsid w:val="00E9370E"/>
    <w:rsid w:val="00E97325"/>
    <w:rsid w:val="00E97496"/>
    <w:rsid w:val="00EA1E20"/>
    <w:rsid w:val="00EA37BC"/>
    <w:rsid w:val="00EA3CBE"/>
    <w:rsid w:val="00EA51EC"/>
    <w:rsid w:val="00EA6D61"/>
    <w:rsid w:val="00EA704E"/>
    <w:rsid w:val="00EB2913"/>
    <w:rsid w:val="00EB35B4"/>
    <w:rsid w:val="00EB3BB6"/>
    <w:rsid w:val="00EB42BD"/>
    <w:rsid w:val="00EB45EE"/>
    <w:rsid w:val="00EB642C"/>
    <w:rsid w:val="00EB64B3"/>
    <w:rsid w:val="00EB6AAD"/>
    <w:rsid w:val="00EC13D9"/>
    <w:rsid w:val="00EC3272"/>
    <w:rsid w:val="00EC5845"/>
    <w:rsid w:val="00EC5EBA"/>
    <w:rsid w:val="00EC69E9"/>
    <w:rsid w:val="00EC7721"/>
    <w:rsid w:val="00ED00F9"/>
    <w:rsid w:val="00ED12A0"/>
    <w:rsid w:val="00ED1FB9"/>
    <w:rsid w:val="00ED35D6"/>
    <w:rsid w:val="00ED361C"/>
    <w:rsid w:val="00ED4F9C"/>
    <w:rsid w:val="00ED575D"/>
    <w:rsid w:val="00ED697B"/>
    <w:rsid w:val="00ED70F4"/>
    <w:rsid w:val="00EE0FC5"/>
    <w:rsid w:val="00EE2C96"/>
    <w:rsid w:val="00EE5E77"/>
    <w:rsid w:val="00EE7C82"/>
    <w:rsid w:val="00EE7CE2"/>
    <w:rsid w:val="00EE7CED"/>
    <w:rsid w:val="00EF302D"/>
    <w:rsid w:val="00EF3ECB"/>
    <w:rsid w:val="00EF3EE1"/>
    <w:rsid w:val="00EF4E71"/>
    <w:rsid w:val="00EF4F93"/>
    <w:rsid w:val="00EF5505"/>
    <w:rsid w:val="00EF6689"/>
    <w:rsid w:val="00EF7399"/>
    <w:rsid w:val="00F005E7"/>
    <w:rsid w:val="00F04F56"/>
    <w:rsid w:val="00F0654E"/>
    <w:rsid w:val="00F079FC"/>
    <w:rsid w:val="00F1577A"/>
    <w:rsid w:val="00F22BB6"/>
    <w:rsid w:val="00F23367"/>
    <w:rsid w:val="00F25938"/>
    <w:rsid w:val="00F26E75"/>
    <w:rsid w:val="00F2781A"/>
    <w:rsid w:val="00F302FD"/>
    <w:rsid w:val="00F30CDE"/>
    <w:rsid w:val="00F3163A"/>
    <w:rsid w:val="00F365E1"/>
    <w:rsid w:val="00F366A5"/>
    <w:rsid w:val="00F3677F"/>
    <w:rsid w:val="00F371E7"/>
    <w:rsid w:val="00F400D9"/>
    <w:rsid w:val="00F4024C"/>
    <w:rsid w:val="00F40471"/>
    <w:rsid w:val="00F44932"/>
    <w:rsid w:val="00F45830"/>
    <w:rsid w:val="00F46CAC"/>
    <w:rsid w:val="00F51316"/>
    <w:rsid w:val="00F52D59"/>
    <w:rsid w:val="00F5349D"/>
    <w:rsid w:val="00F53E92"/>
    <w:rsid w:val="00F543C8"/>
    <w:rsid w:val="00F57BC9"/>
    <w:rsid w:val="00F60225"/>
    <w:rsid w:val="00F63E01"/>
    <w:rsid w:val="00F6488F"/>
    <w:rsid w:val="00F666C7"/>
    <w:rsid w:val="00F675C4"/>
    <w:rsid w:val="00F675D4"/>
    <w:rsid w:val="00F71245"/>
    <w:rsid w:val="00F7159D"/>
    <w:rsid w:val="00F725C5"/>
    <w:rsid w:val="00F72FFD"/>
    <w:rsid w:val="00F7445B"/>
    <w:rsid w:val="00F75412"/>
    <w:rsid w:val="00F755E8"/>
    <w:rsid w:val="00F75713"/>
    <w:rsid w:val="00F75C73"/>
    <w:rsid w:val="00F80345"/>
    <w:rsid w:val="00F82BF5"/>
    <w:rsid w:val="00F85169"/>
    <w:rsid w:val="00F8527D"/>
    <w:rsid w:val="00F86101"/>
    <w:rsid w:val="00F90548"/>
    <w:rsid w:val="00F90B2A"/>
    <w:rsid w:val="00F922EF"/>
    <w:rsid w:val="00F93B4F"/>
    <w:rsid w:val="00F95930"/>
    <w:rsid w:val="00FA088C"/>
    <w:rsid w:val="00FA2858"/>
    <w:rsid w:val="00FA54AA"/>
    <w:rsid w:val="00FA6BA1"/>
    <w:rsid w:val="00FA6F19"/>
    <w:rsid w:val="00FA7B3F"/>
    <w:rsid w:val="00FB2AC1"/>
    <w:rsid w:val="00FB6380"/>
    <w:rsid w:val="00FC38A1"/>
    <w:rsid w:val="00FC57F5"/>
    <w:rsid w:val="00FC5F20"/>
    <w:rsid w:val="00FD20A0"/>
    <w:rsid w:val="00FD24A4"/>
    <w:rsid w:val="00FD3FE5"/>
    <w:rsid w:val="00FD4112"/>
    <w:rsid w:val="00FD686C"/>
    <w:rsid w:val="00FE00AC"/>
    <w:rsid w:val="00FE1393"/>
    <w:rsid w:val="00FE1B83"/>
    <w:rsid w:val="00FE29F4"/>
    <w:rsid w:val="00FE2FD8"/>
    <w:rsid w:val="00FE303B"/>
    <w:rsid w:val="00FE4597"/>
    <w:rsid w:val="00FE48B3"/>
    <w:rsid w:val="00FE4A40"/>
    <w:rsid w:val="00FE515A"/>
    <w:rsid w:val="00FF36AA"/>
    <w:rsid w:val="00FF403E"/>
    <w:rsid w:val="00FF630B"/>
    <w:rsid w:val="00FF63E4"/>
    <w:rsid w:val="00FF6ACF"/>
    <w:rsid w:val="01086012"/>
    <w:rsid w:val="014B08FF"/>
    <w:rsid w:val="01542AFA"/>
    <w:rsid w:val="016C2D4F"/>
    <w:rsid w:val="01E70628"/>
    <w:rsid w:val="01F37FC4"/>
    <w:rsid w:val="02117D9A"/>
    <w:rsid w:val="022A6766"/>
    <w:rsid w:val="022C6982"/>
    <w:rsid w:val="022F6268"/>
    <w:rsid w:val="026B3007"/>
    <w:rsid w:val="0275714D"/>
    <w:rsid w:val="02925746"/>
    <w:rsid w:val="029452C8"/>
    <w:rsid w:val="02AE353A"/>
    <w:rsid w:val="02B34262"/>
    <w:rsid w:val="02C30781"/>
    <w:rsid w:val="02C95D66"/>
    <w:rsid w:val="02D462A6"/>
    <w:rsid w:val="0300266B"/>
    <w:rsid w:val="031418F0"/>
    <w:rsid w:val="032E5C11"/>
    <w:rsid w:val="03771614"/>
    <w:rsid w:val="038666D6"/>
    <w:rsid w:val="03893020"/>
    <w:rsid w:val="03CD0376"/>
    <w:rsid w:val="04002E0B"/>
    <w:rsid w:val="040A684F"/>
    <w:rsid w:val="0412438A"/>
    <w:rsid w:val="04700DA8"/>
    <w:rsid w:val="0472755C"/>
    <w:rsid w:val="04844854"/>
    <w:rsid w:val="04BC3FEE"/>
    <w:rsid w:val="04BD0338"/>
    <w:rsid w:val="04CF0F22"/>
    <w:rsid w:val="04E82F5F"/>
    <w:rsid w:val="04F73278"/>
    <w:rsid w:val="05173A13"/>
    <w:rsid w:val="05194544"/>
    <w:rsid w:val="051F46F9"/>
    <w:rsid w:val="053E42E0"/>
    <w:rsid w:val="054145F6"/>
    <w:rsid w:val="055001E8"/>
    <w:rsid w:val="055F7D41"/>
    <w:rsid w:val="05990706"/>
    <w:rsid w:val="05A6384F"/>
    <w:rsid w:val="05C937B1"/>
    <w:rsid w:val="05E05D39"/>
    <w:rsid w:val="061340E1"/>
    <w:rsid w:val="0643158D"/>
    <w:rsid w:val="066466EB"/>
    <w:rsid w:val="06826B71"/>
    <w:rsid w:val="06847B4B"/>
    <w:rsid w:val="06990231"/>
    <w:rsid w:val="06A905A2"/>
    <w:rsid w:val="06C373A0"/>
    <w:rsid w:val="0721282E"/>
    <w:rsid w:val="07433326"/>
    <w:rsid w:val="07A278BA"/>
    <w:rsid w:val="07AA51F7"/>
    <w:rsid w:val="07C325F4"/>
    <w:rsid w:val="07DF2765"/>
    <w:rsid w:val="07F54B10"/>
    <w:rsid w:val="07F875F0"/>
    <w:rsid w:val="07F87A11"/>
    <w:rsid w:val="081C1A70"/>
    <w:rsid w:val="082471B9"/>
    <w:rsid w:val="08297BEC"/>
    <w:rsid w:val="082A74C0"/>
    <w:rsid w:val="083C1D74"/>
    <w:rsid w:val="08410AFA"/>
    <w:rsid w:val="08430CDB"/>
    <w:rsid w:val="086C1887"/>
    <w:rsid w:val="086C35ED"/>
    <w:rsid w:val="087A1937"/>
    <w:rsid w:val="087E552F"/>
    <w:rsid w:val="08994E2C"/>
    <w:rsid w:val="08AE1E9F"/>
    <w:rsid w:val="08B73035"/>
    <w:rsid w:val="08EF4818"/>
    <w:rsid w:val="08F64252"/>
    <w:rsid w:val="08F94C8C"/>
    <w:rsid w:val="08FD0C7A"/>
    <w:rsid w:val="09306D58"/>
    <w:rsid w:val="09513CBB"/>
    <w:rsid w:val="09740085"/>
    <w:rsid w:val="099210ED"/>
    <w:rsid w:val="09AF52BC"/>
    <w:rsid w:val="09B039F5"/>
    <w:rsid w:val="09E5677B"/>
    <w:rsid w:val="0A0118C5"/>
    <w:rsid w:val="0A020E73"/>
    <w:rsid w:val="0A634686"/>
    <w:rsid w:val="0A6E4C3F"/>
    <w:rsid w:val="0AAC10E4"/>
    <w:rsid w:val="0AB07E4A"/>
    <w:rsid w:val="0AB47515"/>
    <w:rsid w:val="0ABA2D7D"/>
    <w:rsid w:val="0AC05EBA"/>
    <w:rsid w:val="0AC21C32"/>
    <w:rsid w:val="0ACD07A0"/>
    <w:rsid w:val="0ACE67E0"/>
    <w:rsid w:val="0AF3660F"/>
    <w:rsid w:val="0AFA761E"/>
    <w:rsid w:val="0B0260FA"/>
    <w:rsid w:val="0B3B6C9F"/>
    <w:rsid w:val="0B487B8D"/>
    <w:rsid w:val="0BAC6F99"/>
    <w:rsid w:val="0BAD28E2"/>
    <w:rsid w:val="0BC30B0F"/>
    <w:rsid w:val="0BC678DC"/>
    <w:rsid w:val="0BDB744F"/>
    <w:rsid w:val="0BE8391A"/>
    <w:rsid w:val="0BF3782E"/>
    <w:rsid w:val="0C060244"/>
    <w:rsid w:val="0C174071"/>
    <w:rsid w:val="0C2302BE"/>
    <w:rsid w:val="0C2A3F33"/>
    <w:rsid w:val="0C344DB1"/>
    <w:rsid w:val="0C484093"/>
    <w:rsid w:val="0C631998"/>
    <w:rsid w:val="0C6D2071"/>
    <w:rsid w:val="0CAE2EE9"/>
    <w:rsid w:val="0CB41636"/>
    <w:rsid w:val="0CB8153E"/>
    <w:rsid w:val="0CCA1272"/>
    <w:rsid w:val="0CE95936"/>
    <w:rsid w:val="0CF4606F"/>
    <w:rsid w:val="0D183114"/>
    <w:rsid w:val="0D215F2C"/>
    <w:rsid w:val="0D336E17"/>
    <w:rsid w:val="0D701CF3"/>
    <w:rsid w:val="0D737559"/>
    <w:rsid w:val="0D837081"/>
    <w:rsid w:val="0D8F1740"/>
    <w:rsid w:val="0D8F5855"/>
    <w:rsid w:val="0D964996"/>
    <w:rsid w:val="0DC466B9"/>
    <w:rsid w:val="0DCF5738"/>
    <w:rsid w:val="0DD63E82"/>
    <w:rsid w:val="0DF25BA4"/>
    <w:rsid w:val="0DFC4606"/>
    <w:rsid w:val="0DFE1012"/>
    <w:rsid w:val="0E397874"/>
    <w:rsid w:val="0E4E6D72"/>
    <w:rsid w:val="0E632208"/>
    <w:rsid w:val="0E773CF5"/>
    <w:rsid w:val="0E844468"/>
    <w:rsid w:val="0E8A2A67"/>
    <w:rsid w:val="0EA8407D"/>
    <w:rsid w:val="0EC51B28"/>
    <w:rsid w:val="0EE32E18"/>
    <w:rsid w:val="0EE91E83"/>
    <w:rsid w:val="0EF14571"/>
    <w:rsid w:val="0F2500FF"/>
    <w:rsid w:val="0F2A7DB7"/>
    <w:rsid w:val="0F566DED"/>
    <w:rsid w:val="0F83274F"/>
    <w:rsid w:val="0F9B0554"/>
    <w:rsid w:val="0FB32166"/>
    <w:rsid w:val="0FD84D52"/>
    <w:rsid w:val="0FE75496"/>
    <w:rsid w:val="0FF45E0F"/>
    <w:rsid w:val="101747CE"/>
    <w:rsid w:val="10220C67"/>
    <w:rsid w:val="102F24F6"/>
    <w:rsid w:val="106B5309"/>
    <w:rsid w:val="106B65EF"/>
    <w:rsid w:val="10771710"/>
    <w:rsid w:val="108950E7"/>
    <w:rsid w:val="10A06571"/>
    <w:rsid w:val="10C36704"/>
    <w:rsid w:val="10E70D6C"/>
    <w:rsid w:val="10F772EF"/>
    <w:rsid w:val="11016B1A"/>
    <w:rsid w:val="110F34C8"/>
    <w:rsid w:val="11213EA8"/>
    <w:rsid w:val="11252F6B"/>
    <w:rsid w:val="11413555"/>
    <w:rsid w:val="114A52D2"/>
    <w:rsid w:val="114F2300"/>
    <w:rsid w:val="11554E56"/>
    <w:rsid w:val="115F3531"/>
    <w:rsid w:val="11686AD0"/>
    <w:rsid w:val="11722460"/>
    <w:rsid w:val="11D529F0"/>
    <w:rsid w:val="11DA11A8"/>
    <w:rsid w:val="11E701D0"/>
    <w:rsid w:val="11FE73E1"/>
    <w:rsid w:val="12114BE2"/>
    <w:rsid w:val="122816CA"/>
    <w:rsid w:val="1229462B"/>
    <w:rsid w:val="127F1405"/>
    <w:rsid w:val="128E6BF1"/>
    <w:rsid w:val="129C0FBA"/>
    <w:rsid w:val="12A416E9"/>
    <w:rsid w:val="12EC1F42"/>
    <w:rsid w:val="12FF644A"/>
    <w:rsid w:val="132316DC"/>
    <w:rsid w:val="132B35EA"/>
    <w:rsid w:val="132F0080"/>
    <w:rsid w:val="13A91BE1"/>
    <w:rsid w:val="140636D3"/>
    <w:rsid w:val="141601C0"/>
    <w:rsid w:val="141B6690"/>
    <w:rsid w:val="141D6B0B"/>
    <w:rsid w:val="143A4B63"/>
    <w:rsid w:val="1461325E"/>
    <w:rsid w:val="14915FAD"/>
    <w:rsid w:val="14B638FF"/>
    <w:rsid w:val="15214D63"/>
    <w:rsid w:val="15533AE5"/>
    <w:rsid w:val="15747E5B"/>
    <w:rsid w:val="1575277E"/>
    <w:rsid w:val="15D30F4E"/>
    <w:rsid w:val="15F46C2A"/>
    <w:rsid w:val="15FC6940"/>
    <w:rsid w:val="164B0982"/>
    <w:rsid w:val="1683572D"/>
    <w:rsid w:val="16AD7C7A"/>
    <w:rsid w:val="16CC4AF7"/>
    <w:rsid w:val="16DD2BAC"/>
    <w:rsid w:val="17033CFE"/>
    <w:rsid w:val="170908D0"/>
    <w:rsid w:val="171426B9"/>
    <w:rsid w:val="1768590F"/>
    <w:rsid w:val="176B104F"/>
    <w:rsid w:val="177B7D38"/>
    <w:rsid w:val="17823AB5"/>
    <w:rsid w:val="179843D4"/>
    <w:rsid w:val="17A0779F"/>
    <w:rsid w:val="17D17FB5"/>
    <w:rsid w:val="18117D55"/>
    <w:rsid w:val="18154121"/>
    <w:rsid w:val="18194E5B"/>
    <w:rsid w:val="18425C49"/>
    <w:rsid w:val="186407CC"/>
    <w:rsid w:val="18C96985"/>
    <w:rsid w:val="18D7752D"/>
    <w:rsid w:val="194B6432"/>
    <w:rsid w:val="197B0DB4"/>
    <w:rsid w:val="1985556E"/>
    <w:rsid w:val="19A43BCC"/>
    <w:rsid w:val="19BD44B6"/>
    <w:rsid w:val="19C721FB"/>
    <w:rsid w:val="19DE010A"/>
    <w:rsid w:val="19FD4A34"/>
    <w:rsid w:val="1A022F45"/>
    <w:rsid w:val="1A0B4B51"/>
    <w:rsid w:val="1A1C0965"/>
    <w:rsid w:val="1A676352"/>
    <w:rsid w:val="1A7B4669"/>
    <w:rsid w:val="1A870B38"/>
    <w:rsid w:val="1AA572B8"/>
    <w:rsid w:val="1AB5312E"/>
    <w:rsid w:val="1AB64BE3"/>
    <w:rsid w:val="1AC00AAF"/>
    <w:rsid w:val="1AE0038B"/>
    <w:rsid w:val="1B1F47F5"/>
    <w:rsid w:val="1B300E3A"/>
    <w:rsid w:val="1B671DC9"/>
    <w:rsid w:val="1B99253B"/>
    <w:rsid w:val="1BA66B1F"/>
    <w:rsid w:val="1BAC76AB"/>
    <w:rsid w:val="1BAD4238"/>
    <w:rsid w:val="1BBF7C5E"/>
    <w:rsid w:val="1BDD1B28"/>
    <w:rsid w:val="1BF84FE0"/>
    <w:rsid w:val="1C2E260C"/>
    <w:rsid w:val="1C2F4A48"/>
    <w:rsid w:val="1C876837"/>
    <w:rsid w:val="1C993860"/>
    <w:rsid w:val="1CA307DC"/>
    <w:rsid w:val="1CC07FCD"/>
    <w:rsid w:val="1CCD060E"/>
    <w:rsid w:val="1CD74149"/>
    <w:rsid w:val="1CDE3631"/>
    <w:rsid w:val="1CE814D1"/>
    <w:rsid w:val="1CFE11B3"/>
    <w:rsid w:val="1D085BCA"/>
    <w:rsid w:val="1D3331E3"/>
    <w:rsid w:val="1D3B2760"/>
    <w:rsid w:val="1D6E2EA0"/>
    <w:rsid w:val="1D9C6312"/>
    <w:rsid w:val="1DB70A4A"/>
    <w:rsid w:val="1DC835AB"/>
    <w:rsid w:val="1DCE191A"/>
    <w:rsid w:val="1DE301B5"/>
    <w:rsid w:val="1E225619"/>
    <w:rsid w:val="1E982223"/>
    <w:rsid w:val="1EC80012"/>
    <w:rsid w:val="1ED641E3"/>
    <w:rsid w:val="1EED4935"/>
    <w:rsid w:val="1F0A5676"/>
    <w:rsid w:val="1F120F82"/>
    <w:rsid w:val="1F1303F6"/>
    <w:rsid w:val="1F2D013B"/>
    <w:rsid w:val="1F3E1D77"/>
    <w:rsid w:val="1F4F5FB9"/>
    <w:rsid w:val="1F5E5F6C"/>
    <w:rsid w:val="1F7424A1"/>
    <w:rsid w:val="1FBA786C"/>
    <w:rsid w:val="1FFB1A16"/>
    <w:rsid w:val="1FFC48C0"/>
    <w:rsid w:val="200308CB"/>
    <w:rsid w:val="201952D2"/>
    <w:rsid w:val="201E1A51"/>
    <w:rsid w:val="2020109E"/>
    <w:rsid w:val="202A5E57"/>
    <w:rsid w:val="20352DB6"/>
    <w:rsid w:val="205D622D"/>
    <w:rsid w:val="20EE5E75"/>
    <w:rsid w:val="20FA1CCE"/>
    <w:rsid w:val="213827F6"/>
    <w:rsid w:val="216B7513"/>
    <w:rsid w:val="21927833"/>
    <w:rsid w:val="21937A2C"/>
    <w:rsid w:val="21A34113"/>
    <w:rsid w:val="21B55BF5"/>
    <w:rsid w:val="21D24034"/>
    <w:rsid w:val="21D4251F"/>
    <w:rsid w:val="21E451A1"/>
    <w:rsid w:val="21E6709A"/>
    <w:rsid w:val="21F2713B"/>
    <w:rsid w:val="21FC1A76"/>
    <w:rsid w:val="21FF770B"/>
    <w:rsid w:val="224564ED"/>
    <w:rsid w:val="227A5579"/>
    <w:rsid w:val="229B58DF"/>
    <w:rsid w:val="22A53EBB"/>
    <w:rsid w:val="22AA7723"/>
    <w:rsid w:val="22AC6E9D"/>
    <w:rsid w:val="22DD77B8"/>
    <w:rsid w:val="23027F4F"/>
    <w:rsid w:val="23252EFB"/>
    <w:rsid w:val="233F6CE3"/>
    <w:rsid w:val="235A1C47"/>
    <w:rsid w:val="238A3CA3"/>
    <w:rsid w:val="238B1303"/>
    <w:rsid w:val="23A503FA"/>
    <w:rsid w:val="23AF4708"/>
    <w:rsid w:val="23B02B18"/>
    <w:rsid w:val="23CA6978"/>
    <w:rsid w:val="23FE1AD5"/>
    <w:rsid w:val="240759FB"/>
    <w:rsid w:val="242F0F7E"/>
    <w:rsid w:val="244802C7"/>
    <w:rsid w:val="246677AF"/>
    <w:rsid w:val="246A53BC"/>
    <w:rsid w:val="2480468D"/>
    <w:rsid w:val="249C0183"/>
    <w:rsid w:val="24B05BFE"/>
    <w:rsid w:val="24E731FB"/>
    <w:rsid w:val="24EA02AB"/>
    <w:rsid w:val="24FB6014"/>
    <w:rsid w:val="24FD1D8D"/>
    <w:rsid w:val="25053989"/>
    <w:rsid w:val="25057694"/>
    <w:rsid w:val="25503AFC"/>
    <w:rsid w:val="2559499D"/>
    <w:rsid w:val="256736AA"/>
    <w:rsid w:val="257F6C45"/>
    <w:rsid w:val="259E7D45"/>
    <w:rsid w:val="26110DC4"/>
    <w:rsid w:val="26301CEE"/>
    <w:rsid w:val="26633E71"/>
    <w:rsid w:val="26A06E73"/>
    <w:rsid w:val="26B14E07"/>
    <w:rsid w:val="26CA100E"/>
    <w:rsid w:val="26CA5616"/>
    <w:rsid w:val="26D036B8"/>
    <w:rsid w:val="26D401D2"/>
    <w:rsid w:val="26E256DE"/>
    <w:rsid w:val="270B54C7"/>
    <w:rsid w:val="270E29F5"/>
    <w:rsid w:val="27151603"/>
    <w:rsid w:val="2724208F"/>
    <w:rsid w:val="273C1A3F"/>
    <w:rsid w:val="274B47C7"/>
    <w:rsid w:val="27520933"/>
    <w:rsid w:val="27522EFE"/>
    <w:rsid w:val="275E5A93"/>
    <w:rsid w:val="27755DA7"/>
    <w:rsid w:val="27A52E1A"/>
    <w:rsid w:val="27B973DA"/>
    <w:rsid w:val="27BA750C"/>
    <w:rsid w:val="27BB7CDD"/>
    <w:rsid w:val="27BD7AE0"/>
    <w:rsid w:val="27C53958"/>
    <w:rsid w:val="27E2170E"/>
    <w:rsid w:val="28043432"/>
    <w:rsid w:val="2811103F"/>
    <w:rsid w:val="2815563F"/>
    <w:rsid w:val="283B4C31"/>
    <w:rsid w:val="286078B5"/>
    <w:rsid w:val="28842BCD"/>
    <w:rsid w:val="28846321"/>
    <w:rsid w:val="289B2128"/>
    <w:rsid w:val="289F3EA0"/>
    <w:rsid w:val="28A670CE"/>
    <w:rsid w:val="28FC78BE"/>
    <w:rsid w:val="29000A40"/>
    <w:rsid w:val="290D4568"/>
    <w:rsid w:val="290E6229"/>
    <w:rsid w:val="29161FA6"/>
    <w:rsid w:val="291C51E5"/>
    <w:rsid w:val="2929425B"/>
    <w:rsid w:val="29424212"/>
    <w:rsid w:val="29755D56"/>
    <w:rsid w:val="29770361"/>
    <w:rsid w:val="2985201E"/>
    <w:rsid w:val="29960A70"/>
    <w:rsid w:val="29AA3D41"/>
    <w:rsid w:val="29E259F5"/>
    <w:rsid w:val="29F86FC6"/>
    <w:rsid w:val="2A1A0CEB"/>
    <w:rsid w:val="2A32072A"/>
    <w:rsid w:val="2A4A56FF"/>
    <w:rsid w:val="2A73664D"/>
    <w:rsid w:val="2A81520E"/>
    <w:rsid w:val="2A9D176B"/>
    <w:rsid w:val="2ABE534A"/>
    <w:rsid w:val="2AD11B19"/>
    <w:rsid w:val="2AD474BD"/>
    <w:rsid w:val="2ADE48B6"/>
    <w:rsid w:val="2B114D77"/>
    <w:rsid w:val="2B14593E"/>
    <w:rsid w:val="2B1E2A5D"/>
    <w:rsid w:val="2B425FD0"/>
    <w:rsid w:val="2B4268A6"/>
    <w:rsid w:val="2B603075"/>
    <w:rsid w:val="2B702E85"/>
    <w:rsid w:val="2B710DDE"/>
    <w:rsid w:val="2B9B4F58"/>
    <w:rsid w:val="2BA3696C"/>
    <w:rsid w:val="2BBB7F34"/>
    <w:rsid w:val="2BC1223D"/>
    <w:rsid w:val="2BCF52B0"/>
    <w:rsid w:val="2BE75544"/>
    <w:rsid w:val="2C0B2FE1"/>
    <w:rsid w:val="2C1A4F62"/>
    <w:rsid w:val="2C2916B9"/>
    <w:rsid w:val="2C392D1D"/>
    <w:rsid w:val="2C3C684E"/>
    <w:rsid w:val="2C4209CD"/>
    <w:rsid w:val="2C56570B"/>
    <w:rsid w:val="2C820362"/>
    <w:rsid w:val="2C8D7E9A"/>
    <w:rsid w:val="2C985B8A"/>
    <w:rsid w:val="2C98683F"/>
    <w:rsid w:val="2CA703D6"/>
    <w:rsid w:val="2CB97BDE"/>
    <w:rsid w:val="2CC82C80"/>
    <w:rsid w:val="2CFA45A2"/>
    <w:rsid w:val="2D4B565F"/>
    <w:rsid w:val="2D6F1A45"/>
    <w:rsid w:val="2DB415F6"/>
    <w:rsid w:val="2DB9081B"/>
    <w:rsid w:val="2DEA32C1"/>
    <w:rsid w:val="2E034121"/>
    <w:rsid w:val="2E0B376C"/>
    <w:rsid w:val="2E1A47DE"/>
    <w:rsid w:val="2E75467C"/>
    <w:rsid w:val="2EB931C8"/>
    <w:rsid w:val="2EE04071"/>
    <w:rsid w:val="2EF30CD1"/>
    <w:rsid w:val="2EFA733D"/>
    <w:rsid w:val="2F2B5B05"/>
    <w:rsid w:val="2F404C0B"/>
    <w:rsid w:val="2F4A02C4"/>
    <w:rsid w:val="2F523B34"/>
    <w:rsid w:val="2F687866"/>
    <w:rsid w:val="2F715851"/>
    <w:rsid w:val="2F807842"/>
    <w:rsid w:val="2FB4573E"/>
    <w:rsid w:val="2FC04E45"/>
    <w:rsid w:val="2FC8743B"/>
    <w:rsid w:val="2FFF7048"/>
    <w:rsid w:val="30135C1F"/>
    <w:rsid w:val="30191760"/>
    <w:rsid w:val="30197332"/>
    <w:rsid w:val="302C2779"/>
    <w:rsid w:val="302F54E7"/>
    <w:rsid w:val="30326069"/>
    <w:rsid w:val="30404F33"/>
    <w:rsid w:val="304E7940"/>
    <w:rsid w:val="30726790"/>
    <w:rsid w:val="30BB34AD"/>
    <w:rsid w:val="310F59F0"/>
    <w:rsid w:val="31386E25"/>
    <w:rsid w:val="313F2241"/>
    <w:rsid w:val="3158219E"/>
    <w:rsid w:val="3185793C"/>
    <w:rsid w:val="3186135C"/>
    <w:rsid w:val="319B6BB5"/>
    <w:rsid w:val="31B06C89"/>
    <w:rsid w:val="31C770BB"/>
    <w:rsid w:val="31C96BD0"/>
    <w:rsid w:val="31D63053"/>
    <w:rsid w:val="31D66A1D"/>
    <w:rsid w:val="31E15891"/>
    <w:rsid w:val="31F369F1"/>
    <w:rsid w:val="3236068C"/>
    <w:rsid w:val="325D3410"/>
    <w:rsid w:val="32733B73"/>
    <w:rsid w:val="3276392D"/>
    <w:rsid w:val="327644AD"/>
    <w:rsid w:val="329B2BE5"/>
    <w:rsid w:val="32B4590F"/>
    <w:rsid w:val="32BE7B3C"/>
    <w:rsid w:val="32D0288E"/>
    <w:rsid w:val="32E12CEE"/>
    <w:rsid w:val="32ED34FF"/>
    <w:rsid w:val="33156CC5"/>
    <w:rsid w:val="33316646"/>
    <w:rsid w:val="333B3206"/>
    <w:rsid w:val="333D3221"/>
    <w:rsid w:val="3377228A"/>
    <w:rsid w:val="337F131A"/>
    <w:rsid w:val="33A06705"/>
    <w:rsid w:val="33C148CD"/>
    <w:rsid w:val="33CA657B"/>
    <w:rsid w:val="33CF631E"/>
    <w:rsid w:val="33DC6CF8"/>
    <w:rsid w:val="34356FE5"/>
    <w:rsid w:val="3469433F"/>
    <w:rsid w:val="352612DF"/>
    <w:rsid w:val="35322B1F"/>
    <w:rsid w:val="35471E10"/>
    <w:rsid w:val="355724F0"/>
    <w:rsid w:val="35747E49"/>
    <w:rsid w:val="35847960"/>
    <w:rsid w:val="35DA1C76"/>
    <w:rsid w:val="35EE4221"/>
    <w:rsid w:val="366D4898"/>
    <w:rsid w:val="369616B6"/>
    <w:rsid w:val="36A70AD0"/>
    <w:rsid w:val="36BD312A"/>
    <w:rsid w:val="36C60E3F"/>
    <w:rsid w:val="36E65B3A"/>
    <w:rsid w:val="36FC5850"/>
    <w:rsid w:val="370C2F7C"/>
    <w:rsid w:val="371347AF"/>
    <w:rsid w:val="37291731"/>
    <w:rsid w:val="372E5DD5"/>
    <w:rsid w:val="373141B3"/>
    <w:rsid w:val="37645C9B"/>
    <w:rsid w:val="376B702A"/>
    <w:rsid w:val="378D2273"/>
    <w:rsid w:val="3790342A"/>
    <w:rsid w:val="37D1291E"/>
    <w:rsid w:val="37DB3C7D"/>
    <w:rsid w:val="37F62976"/>
    <w:rsid w:val="383A69FC"/>
    <w:rsid w:val="384A5B10"/>
    <w:rsid w:val="384C1631"/>
    <w:rsid w:val="38542754"/>
    <w:rsid w:val="385F16CD"/>
    <w:rsid w:val="38850AD8"/>
    <w:rsid w:val="38AA3B82"/>
    <w:rsid w:val="38BD498D"/>
    <w:rsid w:val="38D64A66"/>
    <w:rsid w:val="38FB237B"/>
    <w:rsid w:val="38FC71A8"/>
    <w:rsid w:val="390A4523"/>
    <w:rsid w:val="391D1B30"/>
    <w:rsid w:val="391E6CA0"/>
    <w:rsid w:val="39214610"/>
    <w:rsid w:val="39333B77"/>
    <w:rsid w:val="393568C4"/>
    <w:rsid w:val="394E669A"/>
    <w:rsid w:val="398E7D5C"/>
    <w:rsid w:val="399A1410"/>
    <w:rsid w:val="399B34CA"/>
    <w:rsid w:val="39DA5F07"/>
    <w:rsid w:val="39DC71EB"/>
    <w:rsid w:val="39EB0C61"/>
    <w:rsid w:val="39F605D2"/>
    <w:rsid w:val="39F61270"/>
    <w:rsid w:val="3A012835"/>
    <w:rsid w:val="3A0A0953"/>
    <w:rsid w:val="3A217E73"/>
    <w:rsid w:val="3A2E433E"/>
    <w:rsid w:val="3A34738C"/>
    <w:rsid w:val="3A483652"/>
    <w:rsid w:val="3A53182C"/>
    <w:rsid w:val="3A682780"/>
    <w:rsid w:val="3A697EB7"/>
    <w:rsid w:val="3A9B19D4"/>
    <w:rsid w:val="3ACA22B9"/>
    <w:rsid w:val="3ACC7DDF"/>
    <w:rsid w:val="3AD75A09"/>
    <w:rsid w:val="3ADB7381"/>
    <w:rsid w:val="3AEA64B7"/>
    <w:rsid w:val="3B497682"/>
    <w:rsid w:val="3B5008D7"/>
    <w:rsid w:val="3B960564"/>
    <w:rsid w:val="3BA22419"/>
    <w:rsid w:val="3BBD236A"/>
    <w:rsid w:val="3BD06AE4"/>
    <w:rsid w:val="3BDF3B42"/>
    <w:rsid w:val="3BED72F6"/>
    <w:rsid w:val="3BF72A83"/>
    <w:rsid w:val="3C193171"/>
    <w:rsid w:val="3C1A7270"/>
    <w:rsid w:val="3C2528C6"/>
    <w:rsid w:val="3C463BC1"/>
    <w:rsid w:val="3C686571"/>
    <w:rsid w:val="3C734BD8"/>
    <w:rsid w:val="3C8D1193"/>
    <w:rsid w:val="3C960380"/>
    <w:rsid w:val="3CB8043D"/>
    <w:rsid w:val="3D02214C"/>
    <w:rsid w:val="3D272D0C"/>
    <w:rsid w:val="3D324146"/>
    <w:rsid w:val="3D47560D"/>
    <w:rsid w:val="3DC6320C"/>
    <w:rsid w:val="3DE26317"/>
    <w:rsid w:val="3E571E2E"/>
    <w:rsid w:val="3E587BDC"/>
    <w:rsid w:val="3E6842C3"/>
    <w:rsid w:val="3E7B7508"/>
    <w:rsid w:val="3E7F3E91"/>
    <w:rsid w:val="3E845569"/>
    <w:rsid w:val="3E9E1A93"/>
    <w:rsid w:val="3ED5122D"/>
    <w:rsid w:val="3F245375"/>
    <w:rsid w:val="3F3917F4"/>
    <w:rsid w:val="3F4A16AF"/>
    <w:rsid w:val="3F4C7741"/>
    <w:rsid w:val="3F5F42AF"/>
    <w:rsid w:val="3F641BC2"/>
    <w:rsid w:val="3F9335C1"/>
    <w:rsid w:val="3FA70307"/>
    <w:rsid w:val="3FA7706D"/>
    <w:rsid w:val="3FE37E33"/>
    <w:rsid w:val="3FF3742C"/>
    <w:rsid w:val="40103639"/>
    <w:rsid w:val="401F3D54"/>
    <w:rsid w:val="40225AF1"/>
    <w:rsid w:val="403D5148"/>
    <w:rsid w:val="40447564"/>
    <w:rsid w:val="40AD4F3B"/>
    <w:rsid w:val="40D761EB"/>
    <w:rsid w:val="40E1035D"/>
    <w:rsid w:val="40E30197"/>
    <w:rsid w:val="41057729"/>
    <w:rsid w:val="411A08C0"/>
    <w:rsid w:val="41212DCE"/>
    <w:rsid w:val="41354A89"/>
    <w:rsid w:val="416A0352"/>
    <w:rsid w:val="419A3831"/>
    <w:rsid w:val="41A74366"/>
    <w:rsid w:val="41AE3A67"/>
    <w:rsid w:val="41C55588"/>
    <w:rsid w:val="41CD47B2"/>
    <w:rsid w:val="41EE4ADF"/>
    <w:rsid w:val="41F06AA9"/>
    <w:rsid w:val="41F63994"/>
    <w:rsid w:val="4205007B"/>
    <w:rsid w:val="42293D69"/>
    <w:rsid w:val="422C222D"/>
    <w:rsid w:val="423A1284"/>
    <w:rsid w:val="424F30C2"/>
    <w:rsid w:val="42517E9B"/>
    <w:rsid w:val="4254687F"/>
    <w:rsid w:val="427B4653"/>
    <w:rsid w:val="427E086F"/>
    <w:rsid w:val="429E14C4"/>
    <w:rsid w:val="42DF3579"/>
    <w:rsid w:val="43011E27"/>
    <w:rsid w:val="43135F0F"/>
    <w:rsid w:val="431A39CF"/>
    <w:rsid w:val="43282273"/>
    <w:rsid w:val="4367699B"/>
    <w:rsid w:val="43923B90"/>
    <w:rsid w:val="43A87844"/>
    <w:rsid w:val="43AF1E48"/>
    <w:rsid w:val="43DE444E"/>
    <w:rsid w:val="43E04A33"/>
    <w:rsid w:val="43F24472"/>
    <w:rsid w:val="43F93067"/>
    <w:rsid w:val="44022AC4"/>
    <w:rsid w:val="443439C9"/>
    <w:rsid w:val="44455A96"/>
    <w:rsid w:val="446E0159"/>
    <w:rsid w:val="448C72FD"/>
    <w:rsid w:val="449A0979"/>
    <w:rsid w:val="44C93406"/>
    <w:rsid w:val="44D74994"/>
    <w:rsid w:val="44DC7A3C"/>
    <w:rsid w:val="44E42BDB"/>
    <w:rsid w:val="44F31638"/>
    <w:rsid w:val="45012987"/>
    <w:rsid w:val="451A3E3D"/>
    <w:rsid w:val="4523688B"/>
    <w:rsid w:val="456357E4"/>
    <w:rsid w:val="4577303D"/>
    <w:rsid w:val="45800144"/>
    <w:rsid w:val="458B6AE9"/>
    <w:rsid w:val="45BA3B0F"/>
    <w:rsid w:val="45CB5084"/>
    <w:rsid w:val="45EF5801"/>
    <w:rsid w:val="45F13477"/>
    <w:rsid w:val="46001285"/>
    <w:rsid w:val="462E68DD"/>
    <w:rsid w:val="46392BD1"/>
    <w:rsid w:val="464C44CA"/>
    <w:rsid w:val="46601A81"/>
    <w:rsid w:val="4665558C"/>
    <w:rsid w:val="468A02AD"/>
    <w:rsid w:val="46C700FC"/>
    <w:rsid w:val="46CD560B"/>
    <w:rsid w:val="46D32666"/>
    <w:rsid w:val="46E2098A"/>
    <w:rsid w:val="46F04E55"/>
    <w:rsid w:val="47394A4E"/>
    <w:rsid w:val="476A063C"/>
    <w:rsid w:val="477B5FFB"/>
    <w:rsid w:val="477E6905"/>
    <w:rsid w:val="47A7047F"/>
    <w:rsid w:val="47AF2F63"/>
    <w:rsid w:val="47BA332E"/>
    <w:rsid w:val="47BF386C"/>
    <w:rsid w:val="47C14A44"/>
    <w:rsid w:val="47D91D8D"/>
    <w:rsid w:val="47EC7022"/>
    <w:rsid w:val="47ED75E7"/>
    <w:rsid w:val="47FC5A7C"/>
    <w:rsid w:val="4806483E"/>
    <w:rsid w:val="484713ED"/>
    <w:rsid w:val="485B43A9"/>
    <w:rsid w:val="485C6D88"/>
    <w:rsid w:val="487B2E45"/>
    <w:rsid w:val="487B675C"/>
    <w:rsid w:val="48BB56CF"/>
    <w:rsid w:val="48DD28EF"/>
    <w:rsid w:val="48E052EC"/>
    <w:rsid w:val="48EF4F92"/>
    <w:rsid w:val="49096FCD"/>
    <w:rsid w:val="49410A3D"/>
    <w:rsid w:val="494C503D"/>
    <w:rsid w:val="4954334A"/>
    <w:rsid w:val="4959375B"/>
    <w:rsid w:val="495E3081"/>
    <w:rsid w:val="497F3AAB"/>
    <w:rsid w:val="498E3224"/>
    <w:rsid w:val="49AF0FF8"/>
    <w:rsid w:val="49B72FF8"/>
    <w:rsid w:val="49C01B61"/>
    <w:rsid w:val="49CA42D7"/>
    <w:rsid w:val="4A1A2F12"/>
    <w:rsid w:val="4A1B668D"/>
    <w:rsid w:val="4A366D8C"/>
    <w:rsid w:val="4A3F5DED"/>
    <w:rsid w:val="4A4E1094"/>
    <w:rsid w:val="4A717D8F"/>
    <w:rsid w:val="4A7D0F83"/>
    <w:rsid w:val="4AA93C99"/>
    <w:rsid w:val="4AAA2276"/>
    <w:rsid w:val="4AB64534"/>
    <w:rsid w:val="4ADB0AEC"/>
    <w:rsid w:val="4AFF5FAF"/>
    <w:rsid w:val="4B137364"/>
    <w:rsid w:val="4B21257E"/>
    <w:rsid w:val="4B320132"/>
    <w:rsid w:val="4B3A6FE7"/>
    <w:rsid w:val="4B705719"/>
    <w:rsid w:val="4B7110F8"/>
    <w:rsid w:val="4B942491"/>
    <w:rsid w:val="4BB77663"/>
    <w:rsid w:val="4BBF708F"/>
    <w:rsid w:val="4BEF1B80"/>
    <w:rsid w:val="4BF6257B"/>
    <w:rsid w:val="4BF930BB"/>
    <w:rsid w:val="4C0457A1"/>
    <w:rsid w:val="4C0C24E3"/>
    <w:rsid w:val="4C28206A"/>
    <w:rsid w:val="4C2A609E"/>
    <w:rsid w:val="4C433C79"/>
    <w:rsid w:val="4C4E0748"/>
    <w:rsid w:val="4C727CFA"/>
    <w:rsid w:val="4C83051A"/>
    <w:rsid w:val="4C88081B"/>
    <w:rsid w:val="4C8A4DD7"/>
    <w:rsid w:val="4CB7606E"/>
    <w:rsid w:val="4CE76D65"/>
    <w:rsid w:val="4CF03E01"/>
    <w:rsid w:val="4D217D49"/>
    <w:rsid w:val="4D573E80"/>
    <w:rsid w:val="4D755736"/>
    <w:rsid w:val="4D9B6E06"/>
    <w:rsid w:val="4DB210B7"/>
    <w:rsid w:val="4DB92102"/>
    <w:rsid w:val="4DCB3F26"/>
    <w:rsid w:val="4DD20CB0"/>
    <w:rsid w:val="4DE61D12"/>
    <w:rsid w:val="4DF1146E"/>
    <w:rsid w:val="4DF82017"/>
    <w:rsid w:val="4DF94646"/>
    <w:rsid w:val="4E37780E"/>
    <w:rsid w:val="4E437F61"/>
    <w:rsid w:val="4E820BD8"/>
    <w:rsid w:val="4E8D729C"/>
    <w:rsid w:val="4EA340C3"/>
    <w:rsid w:val="4EA53DD6"/>
    <w:rsid w:val="4EA84268"/>
    <w:rsid w:val="4F3033DD"/>
    <w:rsid w:val="4F373594"/>
    <w:rsid w:val="4F4B0F4D"/>
    <w:rsid w:val="4F552641"/>
    <w:rsid w:val="4F693580"/>
    <w:rsid w:val="4F9A44F8"/>
    <w:rsid w:val="4FB10142"/>
    <w:rsid w:val="4FBD463C"/>
    <w:rsid w:val="4FDA48F5"/>
    <w:rsid w:val="500B683B"/>
    <w:rsid w:val="504B134F"/>
    <w:rsid w:val="506A6D2C"/>
    <w:rsid w:val="507460A4"/>
    <w:rsid w:val="508427BE"/>
    <w:rsid w:val="50A23A1E"/>
    <w:rsid w:val="50A54F03"/>
    <w:rsid w:val="50AA7C6B"/>
    <w:rsid w:val="50BE1984"/>
    <w:rsid w:val="50C67D24"/>
    <w:rsid w:val="50EC4AD1"/>
    <w:rsid w:val="50F01FCF"/>
    <w:rsid w:val="510E2933"/>
    <w:rsid w:val="51567D72"/>
    <w:rsid w:val="51640F5C"/>
    <w:rsid w:val="51695F30"/>
    <w:rsid w:val="51822B33"/>
    <w:rsid w:val="51A72EFC"/>
    <w:rsid w:val="51B97834"/>
    <w:rsid w:val="51C770FB"/>
    <w:rsid w:val="51E23F34"/>
    <w:rsid w:val="51FA545E"/>
    <w:rsid w:val="51FD3DB6"/>
    <w:rsid w:val="52181704"/>
    <w:rsid w:val="521E31BF"/>
    <w:rsid w:val="529D2516"/>
    <w:rsid w:val="52BE14E1"/>
    <w:rsid w:val="52C7794C"/>
    <w:rsid w:val="52D279CD"/>
    <w:rsid w:val="52D51150"/>
    <w:rsid w:val="52DC68EF"/>
    <w:rsid w:val="52E76EBB"/>
    <w:rsid w:val="52EB0BC7"/>
    <w:rsid w:val="52FB4A75"/>
    <w:rsid w:val="530A5973"/>
    <w:rsid w:val="53202F66"/>
    <w:rsid w:val="53275D3D"/>
    <w:rsid w:val="53364538"/>
    <w:rsid w:val="538072BE"/>
    <w:rsid w:val="53811E50"/>
    <w:rsid w:val="53B72F65"/>
    <w:rsid w:val="53CB4BEF"/>
    <w:rsid w:val="53D8712E"/>
    <w:rsid w:val="54306199"/>
    <w:rsid w:val="547D14B1"/>
    <w:rsid w:val="549405C7"/>
    <w:rsid w:val="556A04C9"/>
    <w:rsid w:val="55741347"/>
    <w:rsid w:val="557E29D7"/>
    <w:rsid w:val="558973FF"/>
    <w:rsid w:val="558C6691"/>
    <w:rsid w:val="559215AE"/>
    <w:rsid w:val="559317CE"/>
    <w:rsid w:val="55932947"/>
    <w:rsid w:val="55AD03B6"/>
    <w:rsid w:val="55B709E4"/>
    <w:rsid w:val="55B81234"/>
    <w:rsid w:val="560C1580"/>
    <w:rsid w:val="561401DE"/>
    <w:rsid w:val="56260F6C"/>
    <w:rsid w:val="563A061B"/>
    <w:rsid w:val="56450ACA"/>
    <w:rsid w:val="56467B64"/>
    <w:rsid w:val="567A298E"/>
    <w:rsid w:val="568F071D"/>
    <w:rsid w:val="571921A6"/>
    <w:rsid w:val="57234DD3"/>
    <w:rsid w:val="57881CA5"/>
    <w:rsid w:val="57A75A04"/>
    <w:rsid w:val="57B06E81"/>
    <w:rsid w:val="57B75717"/>
    <w:rsid w:val="583074F9"/>
    <w:rsid w:val="583E3ED7"/>
    <w:rsid w:val="58516DA4"/>
    <w:rsid w:val="58603D47"/>
    <w:rsid w:val="58615BB3"/>
    <w:rsid w:val="587E0AE5"/>
    <w:rsid w:val="58900246"/>
    <w:rsid w:val="5895585D"/>
    <w:rsid w:val="58BF6D7E"/>
    <w:rsid w:val="58E80082"/>
    <w:rsid w:val="58FC1D80"/>
    <w:rsid w:val="59103712"/>
    <w:rsid w:val="59170968"/>
    <w:rsid w:val="59290661"/>
    <w:rsid w:val="59304651"/>
    <w:rsid w:val="594856C1"/>
    <w:rsid w:val="594902D2"/>
    <w:rsid w:val="596D67DA"/>
    <w:rsid w:val="5970491E"/>
    <w:rsid w:val="598B7425"/>
    <w:rsid w:val="59BA3E3C"/>
    <w:rsid w:val="59E03CF3"/>
    <w:rsid w:val="59F773FE"/>
    <w:rsid w:val="5A013D56"/>
    <w:rsid w:val="5A0D3C62"/>
    <w:rsid w:val="5A274BDA"/>
    <w:rsid w:val="5A3306E5"/>
    <w:rsid w:val="5A9E6D6F"/>
    <w:rsid w:val="5AFD593B"/>
    <w:rsid w:val="5B345801"/>
    <w:rsid w:val="5B3B50F4"/>
    <w:rsid w:val="5B404A7D"/>
    <w:rsid w:val="5B536054"/>
    <w:rsid w:val="5B916994"/>
    <w:rsid w:val="5BB24978"/>
    <w:rsid w:val="5BBD57F6"/>
    <w:rsid w:val="5C0D7E00"/>
    <w:rsid w:val="5C51268C"/>
    <w:rsid w:val="5C6F4617"/>
    <w:rsid w:val="5C991C53"/>
    <w:rsid w:val="5CBC43ED"/>
    <w:rsid w:val="5CE23DAC"/>
    <w:rsid w:val="5D1A64E6"/>
    <w:rsid w:val="5D63667B"/>
    <w:rsid w:val="5D752101"/>
    <w:rsid w:val="5D7E7207"/>
    <w:rsid w:val="5DA2735D"/>
    <w:rsid w:val="5DB05662"/>
    <w:rsid w:val="5DB915F2"/>
    <w:rsid w:val="5DDA5440"/>
    <w:rsid w:val="5DDF6E4E"/>
    <w:rsid w:val="5E0A0BE0"/>
    <w:rsid w:val="5E1B1722"/>
    <w:rsid w:val="5E6C6B78"/>
    <w:rsid w:val="5E767A88"/>
    <w:rsid w:val="5E952BDA"/>
    <w:rsid w:val="5EDA60B0"/>
    <w:rsid w:val="5EDA7D63"/>
    <w:rsid w:val="5F1303A9"/>
    <w:rsid w:val="5F1645A7"/>
    <w:rsid w:val="5F5A16B0"/>
    <w:rsid w:val="5F610B8F"/>
    <w:rsid w:val="5F635FFC"/>
    <w:rsid w:val="5F7F590B"/>
    <w:rsid w:val="5F8B6F6C"/>
    <w:rsid w:val="5F9B72D1"/>
    <w:rsid w:val="5FB310C5"/>
    <w:rsid w:val="5FCB3FE5"/>
    <w:rsid w:val="5FCE3F8F"/>
    <w:rsid w:val="5FD3459B"/>
    <w:rsid w:val="60162D11"/>
    <w:rsid w:val="601B6F8F"/>
    <w:rsid w:val="60365B77"/>
    <w:rsid w:val="60437231"/>
    <w:rsid w:val="60546BB6"/>
    <w:rsid w:val="60793CB6"/>
    <w:rsid w:val="607F756F"/>
    <w:rsid w:val="608C39E9"/>
    <w:rsid w:val="60C53D01"/>
    <w:rsid w:val="60D22838"/>
    <w:rsid w:val="61251748"/>
    <w:rsid w:val="613876CD"/>
    <w:rsid w:val="61387B5A"/>
    <w:rsid w:val="614C2A55"/>
    <w:rsid w:val="61666018"/>
    <w:rsid w:val="61693D2A"/>
    <w:rsid w:val="619F6EA3"/>
    <w:rsid w:val="61BB2DD9"/>
    <w:rsid w:val="61E57855"/>
    <w:rsid w:val="61E909C7"/>
    <w:rsid w:val="621911F7"/>
    <w:rsid w:val="621C6FBB"/>
    <w:rsid w:val="623954AB"/>
    <w:rsid w:val="623C48F4"/>
    <w:rsid w:val="624040F0"/>
    <w:rsid w:val="62586747"/>
    <w:rsid w:val="625E2A1D"/>
    <w:rsid w:val="626F7F74"/>
    <w:rsid w:val="62982A5C"/>
    <w:rsid w:val="62A055AD"/>
    <w:rsid w:val="62AA6755"/>
    <w:rsid w:val="62AB2595"/>
    <w:rsid w:val="62FD0A5D"/>
    <w:rsid w:val="63100901"/>
    <w:rsid w:val="63267478"/>
    <w:rsid w:val="63536418"/>
    <w:rsid w:val="637377E8"/>
    <w:rsid w:val="638537C1"/>
    <w:rsid w:val="63BF40D6"/>
    <w:rsid w:val="63DE2EEF"/>
    <w:rsid w:val="63E36016"/>
    <w:rsid w:val="64370110"/>
    <w:rsid w:val="64537800"/>
    <w:rsid w:val="6461518D"/>
    <w:rsid w:val="64754794"/>
    <w:rsid w:val="647C42DD"/>
    <w:rsid w:val="64942E6C"/>
    <w:rsid w:val="649A01CD"/>
    <w:rsid w:val="64A9391A"/>
    <w:rsid w:val="64AF414A"/>
    <w:rsid w:val="64E03BFD"/>
    <w:rsid w:val="64E9731B"/>
    <w:rsid w:val="65014CBA"/>
    <w:rsid w:val="650A3153"/>
    <w:rsid w:val="656E5DB3"/>
    <w:rsid w:val="657F44E3"/>
    <w:rsid w:val="65941900"/>
    <w:rsid w:val="65B17A4E"/>
    <w:rsid w:val="65DB69B9"/>
    <w:rsid w:val="65EF569A"/>
    <w:rsid w:val="65F17D10"/>
    <w:rsid w:val="661F1937"/>
    <w:rsid w:val="661F74A9"/>
    <w:rsid w:val="662E5667"/>
    <w:rsid w:val="668A782A"/>
    <w:rsid w:val="66B27D18"/>
    <w:rsid w:val="66DD6C01"/>
    <w:rsid w:val="66E0683D"/>
    <w:rsid w:val="66F12EF0"/>
    <w:rsid w:val="66F743D1"/>
    <w:rsid w:val="66FB2BD0"/>
    <w:rsid w:val="6716400D"/>
    <w:rsid w:val="671B1DB1"/>
    <w:rsid w:val="67753DB8"/>
    <w:rsid w:val="679D31F9"/>
    <w:rsid w:val="679D3BF4"/>
    <w:rsid w:val="67A708A4"/>
    <w:rsid w:val="67BC1058"/>
    <w:rsid w:val="67BD092C"/>
    <w:rsid w:val="680E73DA"/>
    <w:rsid w:val="683706DE"/>
    <w:rsid w:val="6862768C"/>
    <w:rsid w:val="687B4464"/>
    <w:rsid w:val="688B5EA0"/>
    <w:rsid w:val="688F1C8B"/>
    <w:rsid w:val="68B45B62"/>
    <w:rsid w:val="68D4417F"/>
    <w:rsid w:val="68EC4D01"/>
    <w:rsid w:val="69062508"/>
    <w:rsid w:val="690A7BA1"/>
    <w:rsid w:val="69214083"/>
    <w:rsid w:val="693764BC"/>
    <w:rsid w:val="69481344"/>
    <w:rsid w:val="69482477"/>
    <w:rsid w:val="6949691B"/>
    <w:rsid w:val="6955738A"/>
    <w:rsid w:val="695700E3"/>
    <w:rsid w:val="698F3A2A"/>
    <w:rsid w:val="69A96648"/>
    <w:rsid w:val="69FA3ED7"/>
    <w:rsid w:val="6A116DD0"/>
    <w:rsid w:val="6A1550DB"/>
    <w:rsid w:val="6A242416"/>
    <w:rsid w:val="6A3E3C8C"/>
    <w:rsid w:val="6A491BC4"/>
    <w:rsid w:val="6A4B7D7B"/>
    <w:rsid w:val="6A5B12B9"/>
    <w:rsid w:val="6A7A4D5B"/>
    <w:rsid w:val="6A984C02"/>
    <w:rsid w:val="6AAF20AA"/>
    <w:rsid w:val="6AB97AD1"/>
    <w:rsid w:val="6AC364FD"/>
    <w:rsid w:val="6ADC556D"/>
    <w:rsid w:val="6ADE7E74"/>
    <w:rsid w:val="6AEA323D"/>
    <w:rsid w:val="6AF01018"/>
    <w:rsid w:val="6AF705F9"/>
    <w:rsid w:val="6AFE1C3F"/>
    <w:rsid w:val="6B1B42E7"/>
    <w:rsid w:val="6B1B7E43"/>
    <w:rsid w:val="6B3709F5"/>
    <w:rsid w:val="6B3E4E41"/>
    <w:rsid w:val="6B7439F8"/>
    <w:rsid w:val="6B762110"/>
    <w:rsid w:val="6B7A141E"/>
    <w:rsid w:val="6B7C7E90"/>
    <w:rsid w:val="6BA22FDB"/>
    <w:rsid w:val="6BAB1207"/>
    <w:rsid w:val="6BBA58AE"/>
    <w:rsid w:val="6BDD6040"/>
    <w:rsid w:val="6BE95EA9"/>
    <w:rsid w:val="6BF15048"/>
    <w:rsid w:val="6BF570C6"/>
    <w:rsid w:val="6C0E65DE"/>
    <w:rsid w:val="6C3139A3"/>
    <w:rsid w:val="6C682001"/>
    <w:rsid w:val="6C6F3E5D"/>
    <w:rsid w:val="6C736043"/>
    <w:rsid w:val="6C895281"/>
    <w:rsid w:val="6C9D5038"/>
    <w:rsid w:val="6CB96D60"/>
    <w:rsid w:val="6CDC3602"/>
    <w:rsid w:val="6CFB62C0"/>
    <w:rsid w:val="6D1350F5"/>
    <w:rsid w:val="6D3C741F"/>
    <w:rsid w:val="6D405558"/>
    <w:rsid w:val="6D5E70E9"/>
    <w:rsid w:val="6DB46A9C"/>
    <w:rsid w:val="6DBD67AE"/>
    <w:rsid w:val="6DC02F24"/>
    <w:rsid w:val="6DC72505"/>
    <w:rsid w:val="6E3C316F"/>
    <w:rsid w:val="6E4E36BD"/>
    <w:rsid w:val="6E5B49FB"/>
    <w:rsid w:val="6E697118"/>
    <w:rsid w:val="6E71421E"/>
    <w:rsid w:val="6EB57168"/>
    <w:rsid w:val="6ECD2CED"/>
    <w:rsid w:val="6EDD18B4"/>
    <w:rsid w:val="6EE1422E"/>
    <w:rsid w:val="6EE350D5"/>
    <w:rsid w:val="6F2F210F"/>
    <w:rsid w:val="6F61462B"/>
    <w:rsid w:val="6F8C627E"/>
    <w:rsid w:val="6F912DCA"/>
    <w:rsid w:val="6FA0237A"/>
    <w:rsid w:val="6FAB550E"/>
    <w:rsid w:val="6FEA072C"/>
    <w:rsid w:val="6FEC1DAE"/>
    <w:rsid w:val="6FF069FB"/>
    <w:rsid w:val="7000224A"/>
    <w:rsid w:val="70057314"/>
    <w:rsid w:val="70076BE8"/>
    <w:rsid w:val="7056241A"/>
    <w:rsid w:val="70572259"/>
    <w:rsid w:val="707F2C23"/>
    <w:rsid w:val="70A34833"/>
    <w:rsid w:val="712A4901"/>
    <w:rsid w:val="714F6A99"/>
    <w:rsid w:val="71A033ED"/>
    <w:rsid w:val="71B106B0"/>
    <w:rsid w:val="71C034F3"/>
    <w:rsid w:val="71DB1985"/>
    <w:rsid w:val="71EA21EC"/>
    <w:rsid w:val="720D24B0"/>
    <w:rsid w:val="721519B2"/>
    <w:rsid w:val="72211D43"/>
    <w:rsid w:val="725C4A70"/>
    <w:rsid w:val="72613EF4"/>
    <w:rsid w:val="72824C4C"/>
    <w:rsid w:val="728E4E3A"/>
    <w:rsid w:val="72A1491E"/>
    <w:rsid w:val="72C16C93"/>
    <w:rsid w:val="72C614F3"/>
    <w:rsid w:val="72C75056"/>
    <w:rsid w:val="72D66A87"/>
    <w:rsid w:val="72E43D31"/>
    <w:rsid w:val="72FF6E9B"/>
    <w:rsid w:val="73027148"/>
    <w:rsid w:val="733C304D"/>
    <w:rsid w:val="73416F4F"/>
    <w:rsid w:val="73463ECB"/>
    <w:rsid w:val="7363682B"/>
    <w:rsid w:val="73B201E3"/>
    <w:rsid w:val="73CF3EC1"/>
    <w:rsid w:val="73DE1B70"/>
    <w:rsid w:val="73F71BA2"/>
    <w:rsid w:val="742C4E6F"/>
    <w:rsid w:val="74324450"/>
    <w:rsid w:val="743E2DF5"/>
    <w:rsid w:val="744F70D5"/>
    <w:rsid w:val="74566390"/>
    <w:rsid w:val="74850A24"/>
    <w:rsid w:val="7499002B"/>
    <w:rsid w:val="74AA60C2"/>
    <w:rsid w:val="74C959EF"/>
    <w:rsid w:val="74D51415"/>
    <w:rsid w:val="74E05C5A"/>
    <w:rsid w:val="75840CDB"/>
    <w:rsid w:val="75952EE8"/>
    <w:rsid w:val="75D00AAA"/>
    <w:rsid w:val="75D91BB6"/>
    <w:rsid w:val="76087EFE"/>
    <w:rsid w:val="76232A40"/>
    <w:rsid w:val="762E2D1D"/>
    <w:rsid w:val="763C17CD"/>
    <w:rsid w:val="764A7774"/>
    <w:rsid w:val="76694515"/>
    <w:rsid w:val="766F63FB"/>
    <w:rsid w:val="76795A9A"/>
    <w:rsid w:val="769B3012"/>
    <w:rsid w:val="76B7337A"/>
    <w:rsid w:val="76EF6628"/>
    <w:rsid w:val="770802F0"/>
    <w:rsid w:val="770D5830"/>
    <w:rsid w:val="773F4EBA"/>
    <w:rsid w:val="776A235D"/>
    <w:rsid w:val="77806E2C"/>
    <w:rsid w:val="778D3CDE"/>
    <w:rsid w:val="77986D62"/>
    <w:rsid w:val="779F004E"/>
    <w:rsid w:val="77A92E90"/>
    <w:rsid w:val="77BE184B"/>
    <w:rsid w:val="77CB0E43"/>
    <w:rsid w:val="78006A2B"/>
    <w:rsid w:val="78135527"/>
    <w:rsid w:val="786C7F30"/>
    <w:rsid w:val="78714DF4"/>
    <w:rsid w:val="7874661C"/>
    <w:rsid w:val="78AA6CAB"/>
    <w:rsid w:val="78FC0536"/>
    <w:rsid w:val="79056804"/>
    <w:rsid w:val="79163B79"/>
    <w:rsid w:val="794013BD"/>
    <w:rsid w:val="7945365A"/>
    <w:rsid w:val="795A5FDB"/>
    <w:rsid w:val="797F1EE5"/>
    <w:rsid w:val="79A50AF2"/>
    <w:rsid w:val="79A67472"/>
    <w:rsid w:val="79AC0800"/>
    <w:rsid w:val="79EA7C07"/>
    <w:rsid w:val="7A0917AF"/>
    <w:rsid w:val="7A41479A"/>
    <w:rsid w:val="7A4F7B0A"/>
    <w:rsid w:val="7A505630"/>
    <w:rsid w:val="7A54735F"/>
    <w:rsid w:val="7A5F0950"/>
    <w:rsid w:val="7A6963D8"/>
    <w:rsid w:val="7AA31C03"/>
    <w:rsid w:val="7AA936C9"/>
    <w:rsid w:val="7AAA1B5D"/>
    <w:rsid w:val="7AAF67FA"/>
    <w:rsid w:val="7AB12D4C"/>
    <w:rsid w:val="7AEF33E2"/>
    <w:rsid w:val="7AEF77D3"/>
    <w:rsid w:val="7B073F40"/>
    <w:rsid w:val="7B36137C"/>
    <w:rsid w:val="7B4049BA"/>
    <w:rsid w:val="7B5A0915"/>
    <w:rsid w:val="7B5D1DB2"/>
    <w:rsid w:val="7B9F061D"/>
    <w:rsid w:val="7BE23EB3"/>
    <w:rsid w:val="7C3A2FA7"/>
    <w:rsid w:val="7C4C461F"/>
    <w:rsid w:val="7C507B69"/>
    <w:rsid w:val="7C5840BF"/>
    <w:rsid w:val="7C8617DD"/>
    <w:rsid w:val="7C9909ED"/>
    <w:rsid w:val="7CB27A65"/>
    <w:rsid w:val="7CC540B3"/>
    <w:rsid w:val="7CD73DE6"/>
    <w:rsid w:val="7CEF2436"/>
    <w:rsid w:val="7D76523E"/>
    <w:rsid w:val="7D7C65AA"/>
    <w:rsid w:val="7DE91450"/>
    <w:rsid w:val="7DF84014"/>
    <w:rsid w:val="7E0342D7"/>
    <w:rsid w:val="7E086D8F"/>
    <w:rsid w:val="7E17563A"/>
    <w:rsid w:val="7E2272E3"/>
    <w:rsid w:val="7E461224"/>
    <w:rsid w:val="7E553215"/>
    <w:rsid w:val="7E6B1177"/>
    <w:rsid w:val="7EA93BE5"/>
    <w:rsid w:val="7EAE72DE"/>
    <w:rsid w:val="7EBE700C"/>
    <w:rsid w:val="7EC4735F"/>
    <w:rsid w:val="7EC65EC0"/>
    <w:rsid w:val="7EF81C78"/>
    <w:rsid w:val="7F037115"/>
    <w:rsid w:val="7F3E0944"/>
    <w:rsid w:val="7F4B200A"/>
    <w:rsid w:val="7F8D29D7"/>
    <w:rsid w:val="7FE24F7C"/>
    <w:rsid w:val="7FEF0074"/>
    <w:rsid w:val="7FFC64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0"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99"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0" w:semiHidden="0" w:name=""/>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sz w:val="24"/>
      <w:lang w:val="en-US" w:eastAsia="zh-CN" w:bidi="ar-SA"/>
    </w:rPr>
  </w:style>
  <w:style w:type="paragraph" w:styleId="3">
    <w:name w:val="heading 1"/>
    <w:basedOn w:val="1"/>
    <w:next w:val="1"/>
    <w:link w:val="200"/>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20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202"/>
    <w:qFormat/>
    <w:uiPriority w:val="0"/>
    <w:pPr>
      <w:keepNext/>
      <w:keepLines/>
      <w:spacing w:before="260" w:beforeLines="0" w:after="260" w:afterLines="0" w:line="415" w:lineRule="auto"/>
      <w:outlineLvl w:val="2"/>
    </w:pPr>
    <w:rPr>
      <w:b/>
      <w:bCs/>
      <w:kern w:val="0"/>
      <w:sz w:val="32"/>
      <w:szCs w:val="32"/>
    </w:rPr>
  </w:style>
  <w:style w:type="paragraph" w:styleId="6">
    <w:name w:val="heading 4"/>
    <w:basedOn w:val="1"/>
    <w:next w:val="1"/>
    <w:link w:val="203"/>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5"/>
    <w:basedOn w:val="1"/>
    <w:next w:val="1"/>
    <w:link w:val="204"/>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2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9">
    <w:name w:val="heading 7"/>
    <w:basedOn w:val="1"/>
    <w:next w:val="1"/>
    <w:link w:val="206"/>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10">
    <w:name w:val="heading 8"/>
    <w:basedOn w:val="1"/>
    <w:next w:val="1"/>
    <w:link w:val="207"/>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1">
    <w:name w:val="heading 9"/>
    <w:basedOn w:val="1"/>
    <w:next w:val="1"/>
    <w:link w:val="20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57">
    <w:name w:val="Default Paragraph Font"/>
    <w:uiPriority w:val="0"/>
  </w:style>
  <w:style w:type="table" w:default="1" w:styleId="73">
    <w:name w:val="Normal Table"/>
    <w:semiHidden/>
    <w:uiPriority w:val="0"/>
    <w:tblPr>
      <w:tblStyle w:val="73"/>
      <w:tblLayout w:type="fixed"/>
      <w:tblCellMar>
        <w:top w:w="0" w:type="dxa"/>
        <w:left w:w="108" w:type="dxa"/>
        <w:bottom w:w="0" w:type="dxa"/>
        <w:right w:w="108" w:type="dxa"/>
      </w:tblCellMar>
    </w:tblPr>
  </w:style>
  <w:style w:type="paragraph" w:styleId="2">
    <w:name w:val="Body Text"/>
    <w:basedOn w:val="1"/>
    <w:next w:val="1"/>
    <w:link w:val="199"/>
    <w:uiPriority w:val="0"/>
    <w:pPr>
      <w:spacing w:after="120" w:afterLines="0"/>
    </w:pPr>
  </w:style>
  <w:style w:type="paragraph" w:styleId="12">
    <w:name w:val="List 3"/>
    <w:basedOn w:val="1"/>
    <w:uiPriority w:val="0"/>
    <w:pPr>
      <w:ind w:left="100" w:leftChars="400" w:hanging="200" w:hangingChars="200"/>
    </w:pPr>
    <w:rPr>
      <w:rFonts w:ascii="Calibri" w:hAnsi="Calibri"/>
      <w:szCs w:val="22"/>
    </w:rPr>
  </w:style>
  <w:style w:type="paragraph" w:styleId="13">
    <w:name w:val="annotation subject"/>
    <w:basedOn w:val="14"/>
    <w:next w:val="14"/>
    <w:link w:val="226"/>
    <w:uiPriority w:val="0"/>
    <w:rPr>
      <w:b/>
      <w:bCs/>
    </w:rPr>
  </w:style>
  <w:style w:type="paragraph" w:styleId="14">
    <w:name w:val="annotation text"/>
    <w:basedOn w:val="1"/>
    <w:link w:val="210"/>
    <w:uiPriority w:val="0"/>
    <w:pPr>
      <w:jc w:val="left"/>
    </w:pPr>
  </w:style>
  <w:style w:type="paragraph" w:styleId="15">
    <w:name w:val="toc 7"/>
    <w:basedOn w:val="1"/>
    <w:next w:val="1"/>
    <w:uiPriority w:val="39"/>
    <w:pPr>
      <w:ind w:left="1260"/>
      <w:jc w:val="left"/>
    </w:pPr>
    <w:rPr>
      <w:sz w:val="18"/>
      <w:szCs w:val="18"/>
    </w:rPr>
  </w:style>
  <w:style w:type="paragraph" w:styleId="16">
    <w:name w:val="Body Text First Indent"/>
    <w:basedOn w:val="2"/>
    <w:next w:val="1"/>
    <w:unhideWhenUsed/>
    <w:qFormat/>
    <w:uiPriority w:val="99"/>
    <w:pPr>
      <w:ind w:firstLine="420" w:firstLineChars="100"/>
    </w:pPr>
  </w:style>
  <w:style w:type="paragraph" w:styleId="17">
    <w:name w:val="Normal Indent"/>
    <w:basedOn w:val="1"/>
    <w:next w:val="2"/>
    <w:uiPriority w:val="0"/>
    <w:pPr>
      <w:ind w:firstLine="420" w:firstLineChars="200"/>
    </w:p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209"/>
    <w:uiPriority w:val="0"/>
    <w:pPr>
      <w:shd w:val="clear" w:color="auto" w:fill="000080"/>
    </w:pPr>
  </w:style>
  <w:style w:type="paragraph" w:styleId="20">
    <w:name w:val="Salutation"/>
    <w:basedOn w:val="1"/>
    <w:next w:val="1"/>
    <w:link w:val="211"/>
    <w:uiPriority w:val="0"/>
    <w:rPr>
      <w:rFonts w:ascii="仿宋_GB2312" w:eastAsia="仿宋_GB2312"/>
      <w:sz w:val="28"/>
      <w:szCs w:val="20"/>
    </w:rPr>
  </w:style>
  <w:style w:type="paragraph" w:styleId="21">
    <w:name w:val="Body Text 3"/>
    <w:basedOn w:val="1"/>
    <w:link w:val="212"/>
    <w:uiPriority w:val="0"/>
    <w:rPr>
      <w:rFonts w:ascii="宋体"/>
      <w:sz w:val="24"/>
      <w:szCs w:val="20"/>
    </w:rPr>
  </w:style>
  <w:style w:type="paragraph" w:styleId="22">
    <w:name w:val="Body Text Indent"/>
    <w:basedOn w:val="1"/>
    <w:next w:val="23"/>
    <w:link w:val="213"/>
    <w:uiPriority w:val="0"/>
    <w:pPr>
      <w:spacing w:after="120" w:afterLines="0"/>
      <w:ind w:left="420" w:leftChars="200"/>
    </w:pPr>
  </w:style>
  <w:style w:type="paragraph" w:styleId="23">
    <w:name w:val="envelope return"/>
    <w:basedOn w:val="1"/>
    <w:next w:val="15"/>
    <w:qFormat/>
    <w:uiPriority w:val="0"/>
    <w:pPr>
      <w:snapToGrid w:val="0"/>
    </w:pPr>
    <w:rPr>
      <w:rFonts w:ascii="Arial" w:hAnsi="Arial"/>
    </w:rPr>
  </w:style>
  <w:style w:type="paragraph" w:styleId="24">
    <w:name w:val="List 2"/>
    <w:basedOn w:val="1"/>
    <w:uiPriority w:val="0"/>
    <w:pPr>
      <w:ind w:left="100" w:leftChars="200" w:hanging="200" w:hangingChars="200"/>
    </w:pPr>
    <w:rPr>
      <w:rFonts w:ascii="Calibri" w:hAnsi="Calibri"/>
      <w:szCs w:val="22"/>
    </w:rPr>
  </w:style>
  <w:style w:type="paragraph" w:styleId="25">
    <w:name w:val="List Continue"/>
    <w:basedOn w:val="1"/>
    <w:uiPriority w:val="0"/>
    <w:pPr>
      <w:spacing w:after="120"/>
      <w:ind w:left="420" w:leftChars="200"/>
    </w:pPr>
    <w:rPr>
      <w:rFonts w:ascii="Calibri" w:hAnsi="Calibri"/>
      <w:szCs w:val="22"/>
    </w:rPr>
  </w:style>
  <w:style w:type="paragraph" w:styleId="26">
    <w:name w:val="Block Text"/>
    <w:basedOn w:val="1"/>
    <w:next w:val="2"/>
    <w:uiPriority w:val="0"/>
    <w:pPr>
      <w:spacing w:line="400" w:lineRule="exact"/>
      <w:ind w:left="-359" w:leftChars="-171" w:right="31" w:rightChars="15" w:firstLine="980" w:firstLineChars="350"/>
    </w:pPr>
    <w:rPr>
      <w:rFonts w:ascii="宋体" w:hAnsi="宋体"/>
      <w:sz w:val="28"/>
      <w:szCs w:val="32"/>
    </w:rPr>
  </w:style>
  <w:style w:type="paragraph" w:styleId="27">
    <w:name w:val="index 4"/>
    <w:basedOn w:val="1"/>
    <w:next w:val="1"/>
    <w:uiPriority w:val="0"/>
    <w:pPr>
      <w:ind w:left="600" w:leftChars="600"/>
    </w:pPr>
  </w:style>
  <w:style w:type="paragraph" w:styleId="28">
    <w:name w:val="toc 5"/>
    <w:basedOn w:val="1"/>
    <w:next w:val="1"/>
    <w:uiPriority w:val="39"/>
    <w:pPr>
      <w:ind w:left="840"/>
      <w:jc w:val="left"/>
    </w:pPr>
    <w:rPr>
      <w:sz w:val="18"/>
      <w:szCs w:val="18"/>
    </w:rPr>
  </w:style>
  <w:style w:type="paragraph" w:styleId="29">
    <w:name w:val="toc 3"/>
    <w:basedOn w:val="1"/>
    <w:next w:val="1"/>
    <w:qFormat/>
    <w:uiPriority w:val="39"/>
    <w:pPr>
      <w:ind w:left="420"/>
      <w:jc w:val="left"/>
    </w:pPr>
    <w:rPr>
      <w:i/>
      <w:iCs/>
      <w:sz w:val="20"/>
      <w:szCs w:val="20"/>
    </w:rPr>
  </w:style>
  <w:style w:type="paragraph" w:styleId="30">
    <w:name w:val="Plain Text"/>
    <w:basedOn w:val="1"/>
    <w:link w:val="214"/>
    <w:qFormat/>
    <w:uiPriority w:val="0"/>
    <w:rPr>
      <w:rFonts w:ascii="Courier New" w:hAnsi="Courier New"/>
      <w:szCs w:val="20"/>
    </w:rPr>
  </w:style>
  <w:style w:type="paragraph" w:styleId="31">
    <w:name w:val="toc 8"/>
    <w:basedOn w:val="1"/>
    <w:next w:val="1"/>
    <w:uiPriority w:val="39"/>
    <w:pPr>
      <w:ind w:left="1470"/>
      <w:jc w:val="left"/>
    </w:pPr>
    <w:rPr>
      <w:sz w:val="18"/>
      <w:szCs w:val="18"/>
    </w:rPr>
  </w:style>
  <w:style w:type="paragraph" w:styleId="32">
    <w:name w:val="Date"/>
    <w:basedOn w:val="1"/>
    <w:next w:val="1"/>
    <w:link w:val="215"/>
    <w:uiPriority w:val="0"/>
    <w:rPr>
      <w:sz w:val="24"/>
      <w:szCs w:val="20"/>
    </w:rPr>
  </w:style>
  <w:style w:type="paragraph" w:styleId="33">
    <w:name w:val="Body Text Indent 2"/>
    <w:basedOn w:val="1"/>
    <w:link w:val="216"/>
    <w:qFormat/>
    <w:uiPriority w:val="0"/>
    <w:pPr>
      <w:spacing w:line="360" w:lineRule="exact"/>
      <w:ind w:firstLine="600" w:firstLineChars="250"/>
      <w:jc w:val="left"/>
    </w:pPr>
    <w:rPr>
      <w:sz w:val="24"/>
    </w:rPr>
  </w:style>
  <w:style w:type="paragraph" w:styleId="34">
    <w:name w:val="Balloon Text"/>
    <w:basedOn w:val="1"/>
    <w:link w:val="217"/>
    <w:uiPriority w:val="0"/>
    <w:rPr>
      <w:sz w:val="18"/>
      <w:szCs w:val="18"/>
    </w:rPr>
  </w:style>
  <w:style w:type="paragraph" w:styleId="35">
    <w:name w:val="footer"/>
    <w:basedOn w:val="1"/>
    <w:link w:val="218"/>
    <w:uiPriority w:val="99"/>
    <w:pPr>
      <w:tabs>
        <w:tab w:val="center" w:pos="4153"/>
        <w:tab w:val="right" w:pos="8306"/>
      </w:tabs>
      <w:snapToGrid w:val="0"/>
      <w:jc w:val="left"/>
    </w:pPr>
    <w:rPr>
      <w:sz w:val="18"/>
      <w:szCs w:val="18"/>
    </w:rPr>
  </w:style>
  <w:style w:type="paragraph" w:styleId="36">
    <w:name w:val="Body Text First Indent 2"/>
    <w:basedOn w:val="22"/>
    <w:next w:val="26"/>
    <w:link w:val="227"/>
    <w:qFormat/>
    <w:uiPriority w:val="99"/>
    <w:pPr>
      <w:ind w:firstLine="420" w:firstLineChars="200"/>
    </w:pPr>
  </w:style>
  <w:style w:type="paragraph" w:styleId="37">
    <w:name w:val="header"/>
    <w:basedOn w:val="1"/>
    <w:link w:val="219"/>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spacing w:before="120" w:beforeLines="0" w:after="120" w:afterLines="0"/>
      <w:jc w:val="left"/>
    </w:pPr>
    <w:rPr>
      <w:b/>
      <w:bCs/>
      <w:caps/>
      <w:sz w:val="20"/>
      <w:szCs w:val="20"/>
    </w:rPr>
  </w:style>
  <w:style w:type="paragraph" w:styleId="39">
    <w:name w:val="List Continue 4"/>
    <w:basedOn w:val="1"/>
    <w:uiPriority w:val="0"/>
    <w:pPr>
      <w:spacing w:after="120"/>
      <w:ind w:left="1680" w:leftChars="800"/>
    </w:pPr>
    <w:rPr>
      <w:rFonts w:ascii="Calibri" w:hAnsi="Calibri"/>
      <w:szCs w:val="22"/>
    </w:rPr>
  </w:style>
  <w:style w:type="paragraph" w:styleId="40">
    <w:name w:val="toc 4"/>
    <w:basedOn w:val="1"/>
    <w:next w:val="1"/>
    <w:uiPriority w:val="39"/>
    <w:pPr>
      <w:ind w:left="630"/>
      <w:jc w:val="left"/>
    </w:pPr>
    <w:rPr>
      <w:sz w:val="18"/>
      <w:szCs w:val="18"/>
    </w:rPr>
  </w:style>
  <w:style w:type="paragraph" w:styleId="41">
    <w:name w:val="index heading"/>
    <w:basedOn w:val="1"/>
    <w:next w:val="42"/>
    <w:uiPriority w:val="0"/>
  </w:style>
  <w:style w:type="paragraph" w:styleId="42">
    <w:name w:val="index 1"/>
    <w:basedOn w:val="1"/>
    <w:next w:val="1"/>
    <w:uiPriority w:val="0"/>
  </w:style>
  <w:style w:type="paragraph" w:styleId="43">
    <w:name w:val="Subtitle"/>
    <w:basedOn w:val="1"/>
    <w:link w:val="220"/>
    <w:qFormat/>
    <w:uiPriority w:val="0"/>
    <w:pPr>
      <w:spacing w:before="240" w:after="60" w:line="312" w:lineRule="auto"/>
      <w:jc w:val="center"/>
      <w:outlineLvl w:val="1"/>
    </w:pPr>
    <w:rPr>
      <w:rFonts w:ascii="Arial" w:hAnsi="Arial"/>
      <w:b/>
      <w:bCs/>
      <w:kern w:val="28"/>
      <w:sz w:val="32"/>
      <w:szCs w:val="32"/>
    </w:rPr>
  </w:style>
  <w:style w:type="paragraph" w:styleId="44">
    <w:name w:val="List"/>
    <w:basedOn w:val="1"/>
    <w:uiPriority w:val="0"/>
    <w:pPr>
      <w:ind w:left="200" w:hanging="200" w:hangingChars="200"/>
    </w:pPr>
    <w:rPr>
      <w:rFonts w:ascii="Calibri" w:hAnsi="Calibri"/>
      <w:szCs w:val="22"/>
    </w:rPr>
  </w:style>
  <w:style w:type="paragraph" w:styleId="45">
    <w:name w:val="footnote text"/>
    <w:basedOn w:val="1"/>
    <w:link w:val="221"/>
    <w:qFormat/>
    <w:uiPriority w:val="0"/>
    <w:rPr>
      <w:sz w:val="20"/>
      <w:szCs w:val="20"/>
    </w:rPr>
  </w:style>
  <w:style w:type="paragraph" w:styleId="46">
    <w:name w:val="toc 6"/>
    <w:basedOn w:val="1"/>
    <w:next w:val="1"/>
    <w:uiPriority w:val="39"/>
    <w:pPr>
      <w:ind w:left="1050"/>
      <w:jc w:val="left"/>
    </w:pPr>
    <w:rPr>
      <w:sz w:val="18"/>
      <w:szCs w:val="18"/>
    </w:rPr>
  </w:style>
  <w:style w:type="paragraph" w:styleId="47">
    <w:name w:val="Body Text Indent 3"/>
    <w:basedOn w:val="1"/>
    <w:link w:val="222"/>
    <w:uiPriority w:val="0"/>
    <w:pPr>
      <w:spacing w:after="120" w:afterLines="0"/>
      <w:ind w:left="420" w:leftChars="200"/>
    </w:pPr>
    <w:rPr>
      <w:sz w:val="16"/>
      <w:szCs w:val="16"/>
    </w:rPr>
  </w:style>
  <w:style w:type="paragraph" w:styleId="48">
    <w:name w:val="table of figures"/>
    <w:basedOn w:val="1"/>
    <w:next w:val="1"/>
    <w:uiPriority w:val="0"/>
    <w:pPr>
      <w:ind w:leftChars="200" w:hanging="200" w:hangingChars="200"/>
    </w:pPr>
  </w:style>
  <w:style w:type="paragraph" w:styleId="49">
    <w:name w:val="toc 2"/>
    <w:basedOn w:val="1"/>
    <w:next w:val="1"/>
    <w:qFormat/>
    <w:uiPriority w:val="39"/>
    <w:pPr>
      <w:ind w:left="210"/>
      <w:jc w:val="left"/>
    </w:pPr>
    <w:rPr>
      <w:smallCaps/>
      <w:sz w:val="20"/>
      <w:szCs w:val="20"/>
    </w:rPr>
  </w:style>
  <w:style w:type="paragraph" w:styleId="50">
    <w:name w:val="toc 9"/>
    <w:basedOn w:val="1"/>
    <w:next w:val="1"/>
    <w:uiPriority w:val="39"/>
    <w:pPr>
      <w:ind w:left="1680"/>
      <w:jc w:val="left"/>
    </w:pPr>
    <w:rPr>
      <w:sz w:val="18"/>
      <w:szCs w:val="18"/>
    </w:rPr>
  </w:style>
  <w:style w:type="paragraph" w:styleId="51">
    <w:name w:val="Body Text 2"/>
    <w:basedOn w:val="1"/>
    <w:link w:val="223"/>
    <w:uiPriority w:val="0"/>
    <w:pPr>
      <w:spacing w:line="440" w:lineRule="exact"/>
    </w:pPr>
    <w:rPr>
      <w:sz w:val="28"/>
    </w:rPr>
  </w:style>
  <w:style w:type="paragraph" w:styleId="52">
    <w:name w:val="List 4"/>
    <w:basedOn w:val="1"/>
    <w:uiPriority w:val="0"/>
    <w:pPr>
      <w:ind w:left="100" w:leftChars="600" w:hanging="200" w:hangingChars="200"/>
    </w:pPr>
    <w:rPr>
      <w:rFonts w:ascii="Calibri" w:hAnsi="Calibri"/>
      <w:szCs w:val="22"/>
    </w:rPr>
  </w:style>
  <w:style w:type="paragraph" w:styleId="53">
    <w:name w:val="List Continue 2"/>
    <w:basedOn w:val="1"/>
    <w:uiPriority w:val="0"/>
    <w:pPr>
      <w:spacing w:after="120"/>
      <w:ind w:left="840" w:leftChars="400"/>
    </w:pPr>
    <w:rPr>
      <w:rFonts w:ascii="Calibri" w:hAnsi="Calibri"/>
      <w:szCs w:val="22"/>
    </w:rPr>
  </w:style>
  <w:style w:type="paragraph" w:styleId="54">
    <w:name w:val="HTML Preformatted"/>
    <w:basedOn w:val="1"/>
    <w:link w:val="22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56">
    <w:name w:val="Title"/>
    <w:basedOn w:val="1"/>
    <w:link w:val="225"/>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58">
    <w:name w:val="Strong"/>
    <w:qFormat/>
    <w:uiPriority w:val="0"/>
    <w:rPr>
      <w:b/>
    </w:rPr>
  </w:style>
  <w:style w:type="character" w:styleId="59">
    <w:name w:val="page number"/>
    <w:uiPriority w:val="0"/>
  </w:style>
  <w:style w:type="character" w:styleId="60">
    <w:name w:val="FollowedHyperlink"/>
    <w:uiPriority w:val="0"/>
    <w:rPr>
      <w:color w:val="333333"/>
      <w:u w:val="none"/>
    </w:rPr>
  </w:style>
  <w:style w:type="character" w:styleId="61">
    <w:name w:val="Emphasis"/>
    <w:qFormat/>
    <w:uiPriority w:val="0"/>
    <w:rPr>
      <w:color w:val="CC0033"/>
    </w:rPr>
  </w:style>
  <w:style w:type="character" w:styleId="62">
    <w:name w:val="HTML Definition"/>
    <w:uiPriority w:val="99"/>
  </w:style>
  <w:style w:type="character" w:styleId="63">
    <w:name w:val="HTML Typewriter"/>
    <w:uiPriority w:val="0"/>
    <w:rPr>
      <w:rFonts w:hint="default" w:ascii="monospace" w:hAnsi="monospace" w:eastAsia="monospace" w:cs="monospace"/>
      <w:sz w:val="20"/>
    </w:rPr>
  </w:style>
  <w:style w:type="character" w:styleId="64">
    <w:name w:val="HTML Acronym"/>
    <w:basedOn w:val="57"/>
    <w:uiPriority w:val="99"/>
  </w:style>
  <w:style w:type="character" w:styleId="65">
    <w:name w:val="HTML Variable"/>
    <w:uiPriority w:val="99"/>
  </w:style>
  <w:style w:type="character" w:styleId="66">
    <w:name w:val="Hyperlink"/>
    <w:uiPriority w:val="99"/>
    <w:rPr>
      <w:color w:val="333333"/>
      <w:u w:val="none"/>
    </w:rPr>
  </w:style>
  <w:style w:type="character" w:styleId="67">
    <w:name w:val="HTML Code"/>
    <w:uiPriority w:val="99"/>
    <w:rPr>
      <w:rFonts w:hint="default" w:ascii="monospace" w:hAnsi="monospace" w:eastAsia="monospace" w:cs="monospace"/>
      <w:sz w:val="20"/>
    </w:rPr>
  </w:style>
  <w:style w:type="character" w:styleId="68">
    <w:name w:val="annotation reference"/>
    <w:uiPriority w:val="0"/>
    <w:rPr>
      <w:sz w:val="21"/>
      <w:szCs w:val="21"/>
    </w:rPr>
  </w:style>
  <w:style w:type="character" w:styleId="69">
    <w:name w:val="HTML Cite"/>
    <w:uiPriority w:val="99"/>
  </w:style>
  <w:style w:type="character" w:styleId="70">
    <w:name w:val="footnote reference"/>
    <w:uiPriority w:val="0"/>
    <w:rPr>
      <w:vertAlign w:val="superscript"/>
    </w:rPr>
  </w:style>
  <w:style w:type="character" w:styleId="71">
    <w:name w:val="HTML Keyboard"/>
    <w:uiPriority w:val="99"/>
    <w:rPr>
      <w:rFonts w:ascii="monospace" w:hAnsi="monospace" w:eastAsia="monospace" w:cs="monospace"/>
      <w:sz w:val="20"/>
    </w:rPr>
  </w:style>
  <w:style w:type="character" w:styleId="72">
    <w:name w:val="HTML Sample"/>
    <w:uiPriority w:val="0"/>
    <w:rPr>
      <w:rFonts w:hint="default" w:ascii="monospace" w:hAnsi="monospace" w:eastAsia="monospace" w:cs="monospace"/>
    </w:rPr>
  </w:style>
  <w:style w:type="table" w:styleId="74">
    <w:name w:val="Table Grid"/>
    <w:basedOn w:val="73"/>
    <w:uiPriority w:val="0"/>
    <w:pPr>
      <w:widowControl w:val="0"/>
      <w:jc w:val="both"/>
    </w:pPr>
    <w:tblPr>
      <w:tblStyle w:val="7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5">
    <w:name w:val="p15"/>
    <w:uiPriority w:val="0"/>
    <w:pPr>
      <w:jc w:val="both"/>
    </w:pPr>
    <w:rPr>
      <w:rFonts w:ascii="宋体" w:cs="宋体"/>
      <w:sz w:val="21"/>
      <w:szCs w:val="21"/>
      <w:lang w:val="en-US" w:eastAsia="zh-CN" w:bidi="ar-SA"/>
    </w:rPr>
  </w:style>
  <w:style w:type="paragraph" w:customStyle="1" w:styleId="76">
    <w:name w:val="Char4"/>
    <w:basedOn w:val="1"/>
    <w:uiPriority w:val="0"/>
    <w:pPr>
      <w:widowControl/>
      <w:spacing w:line="360" w:lineRule="auto"/>
      <w:ind w:firstLine="200" w:firstLineChars="200"/>
      <w:textAlignment w:val="baseline"/>
    </w:pPr>
    <w:rPr>
      <w:color w:val="000000"/>
      <w:kern w:val="0"/>
      <w:szCs w:val="20"/>
      <w:u w:val="none" w:color="000000"/>
    </w:rPr>
  </w:style>
  <w:style w:type="paragraph" w:customStyle="1" w:styleId="77">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78">
    <w:name w:val="1"/>
    <w:basedOn w:val="1"/>
    <w:next w:val="1"/>
    <w:uiPriority w:val="0"/>
  </w:style>
  <w:style w:type="paragraph" w:customStyle="1" w:styleId="79">
    <w:name w:val="Blockquote"/>
    <w:basedOn w:val="1"/>
    <w:link w:val="310"/>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80">
    <w:name w:val="Char Char Char Char Char Char Char Char Char Char Char Char Char"/>
    <w:basedOn w:val="1"/>
    <w:uiPriority w:val="0"/>
  </w:style>
  <w:style w:type="paragraph" w:customStyle="1" w:styleId="81">
    <w:name w:val="Char"/>
    <w:basedOn w:val="1"/>
    <w:next w:val="1"/>
    <w:uiPriority w:val="0"/>
    <w:pPr>
      <w:widowControl/>
      <w:spacing w:line="360" w:lineRule="auto"/>
      <w:jc w:val="left"/>
    </w:pPr>
    <w:rPr>
      <w:kern w:val="0"/>
      <w:szCs w:val="20"/>
      <w:lang w:eastAsia="en-US"/>
    </w:rPr>
  </w:style>
  <w:style w:type="paragraph" w:customStyle="1" w:styleId="82">
    <w:name w:val="Default Paragraph Char Char Char Char"/>
    <w:basedOn w:val="1"/>
    <w:next w:val="1"/>
    <w:uiPriority w:val="0"/>
    <w:pPr>
      <w:spacing w:line="360" w:lineRule="auto"/>
    </w:pPr>
    <w:rPr>
      <w:szCs w:val="20"/>
    </w:rPr>
  </w:style>
  <w:style w:type="paragraph" w:styleId="83">
    <w:name w:val=""/>
    <w:unhideWhenUsed/>
    <w:uiPriority w:val="0"/>
    <w:rPr>
      <w:kern w:val="2"/>
      <w:sz w:val="21"/>
      <w:szCs w:val="24"/>
      <w:lang w:val="en-US" w:eastAsia="zh-CN" w:bidi="ar-SA"/>
    </w:rPr>
  </w:style>
  <w:style w:type="paragraph" w:customStyle="1" w:styleId="84">
    <w:name w:val="List Paragraph"/>
    <w:basedOn w:val="1"/>
    <w:qFormat/>
    <w:uiPriority w:val="1"/>
    <w:pPr>
      <w:ind w:left="354" w:firstLine="420"/>
    </w:pPr>
    <w:rPr>
      <w:rFonts w:ascii="宋体" w:hAnsi="宋体" w:eastAsia="宋体" w:cs="宋体"/>
      <w:lang w:val="zh-CN" w:eastAsia="zh-CN" w:bidi="zh-CN"/>
    </w:rPr>
  </w:style>
  <w:style w:type="paragraph" w:customStyle="1" w:styleId="85">
    <w:name w:val="样式1"/>
    <w:basedOn w:val="5"/>
    <w:uiPriority w:val="0"/>
    <w:rPr>
      <w:rFonts w:eastAsia="Arial"/>
    </w:rPr>
  </w:style>
  <w:style w:type="paragraph" w:customStyle="1" w:styleId="86">
    <w:name w:val="p0"/>
    <w:basedOn w:val="1"/>
    <w:qFormat/>
    <w:uiPriority w:val="0"/>
    <w:pPr>
      <w:widowControl/>
    </w:pPr>
    <w:rPr>
      <w:kern w:val="0"/>
      <w:szCs w:val="21"/>
    </w:rPr>
  </w:style>
  <w:style w:type="paragraph" w:customStyle="1" w:styleId="87">
    <w:name w:val="Table Paragraph"/>
    <w:basedOn w:val="1"/>
    <w:qFormat/>
    <w:uiPriority w:val="1"/>
    <w:rPr>
      <w:rFonts w:ascii="宋体" w:hAnsi="宋体" w:eastAsia="宋体" w:cs="宋体"/>
      <w:lang w:val="zh-CN" w:eastAsia="zh-CN" w:bidi="zh-CN"/>
    </w:rPr>
  </w:style>
  <w:style w:type="paragraph" w:customStyle="1" w:styleId="88">
    <w:name w:val="表格文字"/>
    <w:basedOn w:val="1"/>
    <w:uiPriority w:val="0"/>
    <w:pPr>
      <w:adjustRightInd w:val="0"/>
      <w:spacing w:line="420" w:lineRule="atLeast"/>
      <w:jc w:val="left"/>
      <w:textAlignment w:val="baseline"/>
    </w:pPr>
    <w:rPr>
      <w:kern w:val="0"/>
      <w:szCs w:val="20"/>
    </w:rPr>
  </w:style>
  <w:style w:type="paragraph" w:customStyle="1" w:styleId="89">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样式3"/>
    <w:basedOn w:val="5"/>
    <w:uiPriority w:val="0"/>
    <w:rPr>
      <w:rFonts w:eastAsia="Arial"/>
    </w:rPr>
  </w:style>
  <w:style w:type="paragraph" w:styleId="91">
    <w:name w:val="List Paragraph"/>
    <w:basedOn w:val="1"/>
    <w:qFormat/>
    <w:uiPriority w:val="34"/>
    <w:pPr>
      <w:ind w:firstLine="420" w:firstLineChars="200"/>
    </w:pPr>
  </w:style>
  <w:style w:type="paragraph" w:customStyle="1" w:styleId="92">
    <w:name w:val="节标题"/>
    <w:basedOn w:val="1"/>
    <w:next w:val="1"/>
    <w:uiPriority w:val="0"/>
    <w:pPr>
      <w:widowControl/>
      <w:spacing w:line="289" w:lineRule="atLeast"/>
      <w:jc w:val="center"/>
      <w:textAlignment w:val="baseline"/>
    </w:pPr>
    <w:rPr>
      <w:color w:val="000000"/>
      <w:kern w:val="0"/>
      <w:sz w:val="28"/>
      <w:szCs w:val="20"/>
      <w:u w:val="none" w:color="000000"/>
    </w:rPr>
  </w:style>
  <w:style w:type="paragraph" w:styleId="93">
    <w:name w:val=""/>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4">
    <w:name w:val=" Char Char Char Char Char Char Char Char Char Char Char Char Char"/>
    <w:basedOn w:val="1"/>
    <w:uiPriority w:val="0"/>
  </w:style>
  <w:style w:type="paragraph" w:customStyle="1" w:styleId="95">
    <w:name w:val="样式4"/>
    <w:basedOn w:val="5"/>
    <w:uiPriority w:val="0"/>
    <w:rPr>
      <w:rFonts w:eastAsia="Arial"/>
    </w:rPr>
  </w:style>
  <w:style w:type="paragraph" w:customStyle="1" w:styleId="96">
    <w:name w:val="默认段落字体 Para Char Char Char Char"/>
    <w:basedOn w:val="1"/>
    <w:uiPriority w:val="0"/>
  </w:style>
  <w:style w:type="paragraph" w:customStyle="1" w:styleId="97">
    <w:name w:val="正文1"/>
    <w:uiPriority w:val="0"/>
    <w:pPr>
      <w:widowControl w:val="0"/>
      <w:adjustRightInd w:val="0"/>
      <w:spacing w:line="312" w:lineRule="atLeast"/>
      <w:jc w:val="both"/>
      <w:textAlignment w:val="baseline"/>
    </w:pPr>
    <w:rPr>
      <w:rFonts w:ascii="宋体" w:cs="宋体"/>
      <w:sz w:val="24"/>
      <w:szCs w:val="24"/>
      <w:lang w:val="en-US" w:eastAsia="zh-CN" w:bidi="ar-SA"/>
    </w:rPr>
  </w:style>
  <w:style w:type="paragraph" w:customStyle="1" w:styleId="98">
    <w:name w:val=" Char Char Char Char"/>
    <w:basedOn w:val="1"/>
    <w:uiPriority w:val="0"/>
  </w:style>
  <w:style w:type="paragraph" w:customStyle="1" w:styleId="99">
    <w:name w:val=" Char"/>
    <w:basedOn w:val="1"/>
    <w:uiPriority w:val="0"/>
    <w:pPr>
      <w:tabs>
        <w:tab w:val="left" w:pos="360"/>
      </w:tabs>
    </w:pPr>
    <w:rPr>
      <w:sz w:val="24"/>
    </w:rPr>
  </w:style>
  <w:style w:type="paragraph" w:customStyle="1" w:styleId="100">
    <w:name w:val="表格"/>
    <w:basedOn w:val="1"/>
    <w:uiPriority w:val="0"/>
    <w:pPr>
      <w:jc w:val="center"/>
      <w:textAlignment w:val="center"/>
    </w:pPr>
    <w:rPr>
      <w:rFonts w:ascii="华文细黑" w:hAnsi="华文细黑"/>
      <w:kern w:val="0"/>
      <w:szCs w:val="20"/>
    </w:rPr>
  </w:style>
  <w:style w:type="paragraph" w:customStyle="1" w:styleId="101">
    <w:name w:val="样式 标题 2 + Times New Roman 四号 非加粗 段前: 5 磅 段后: 0 磅 行距: 固定值 20..."/>
    <w:basedOn w:val="4"/>
    <w:uiPriority w:val="0"/>
    <w:pPr>
      <w:spacing w:before="100" w:beforeLines="0" w:after="0" w:afterLines="0" w:line="400" w:lineRule="exact"/>
    </w:pPr>
    <w:rPr>
      <w:rFonts w:ascii="Times New Roman" w:hAnsi="Times New Roman" w:cs="宋体"/>
      <w:b w:val="0"/>
      <w:bCs w:val="0"/>
      <w:sz w:val="28"/>
      <w:szCs w:val="20"/>
    </w:rPr>
  </w:style>
  <w:style w:type="paragraph" w:customStyle="1" w:styleId="102">
    <w:name w:val="样式 标题 1 + 黑体 三号 非加粗 居中 段前: 6 磅 段后: 6 磅 行距: 固定值 20 磅"/>
    <w:basedOn w:val="3"/>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03">
    <w:name w:val="p0 New"/>
    <w:basedOn w:val="1"/>
    <w:uiPriority w:val="0"/>
    <w:pPr>
      <w:widowControl/>
      <w:jc w:val="left"/>
    </w:pPr>
    <w:rPr>
      <w:rFonts w:ascii="宋体" w:hAnsi="宋体" w:cs="宋体"/>
      <w:kern w:val="0"/>
      <w:sz w:val="18"/>
      <w:szCs w:val="18"/>
    </w:rPr>
  </w:style>
  <w:style w:type="paragraph" w:customStyle="1" w:styleId="104">
    <w:name w:val="样式 标题 3 + (中文) 黑体 小四 非加粗 段前: 7.8 磅 段后: 0 磅 行距: 固定值 20 磅"/>
    <w:basedOn w:val="5"/>
    <w:uiPriority w:val="0"/>
    <w:pPr>
      <w:spacing w:before="0" w:beforeLines="0" w:after="0" w:afterLines="0" w:line="400" w:lineRule="exact"/>
    </w:pPr>
    <w:rPr>
      <w:rFonts w:eastAsia="黑体" w:cs="宋体"/>
      <w:b w:val="0"/>
      <w:bCs w:val="0"/>
      <w:sz w:val="24"/>
      <w:szCs w:val="20"/>
    </w:rPr>
  </w:style>
  <w:style w:type="paragraph" w:customStyle="1" w:styleId="105">
    <w:name w:val="样式2"/>
    <w:basedOn w:val="5"/>
    <w:uiPriority w:val="0"/>
  </w:style>
  <w:style w:type="paragraph" w:customStyle="1" w:styleId="106">
    <w:name w:val="正文文字 8"/>
    <w:basedOn w:val="1"/>
    <w:next w:val="1"/>
    <w:qFormat/>
    <w:uiPriority w:val="0"/>
    <w:pPr>
      <w:ind w:left="240"/>
    </w:pPr>
    <w:rPr>
      <w:sz w:val="16"/>
    </w:rPr>
  </w:style>
  <w:style w:type="paragraph" w:customStyle="1" w:styleId="107">
    <w:name w:val="Body text|1"/>
    <w:basedOn w:val="1"/>
    <w:uiPriority w:val="0"/>
    <w:pPr>
      <w:widowControl w:val="0"/>
      <w:shd w:val="clear" w:color="auto" w:fill="auto"/>
      <w:spacing w:after="80" w:line="389" w:lineRule="auto"/>
      <w:ind w:firstLine="400"/>
    </w:pPr>
    <w:rPr>
      <w:rFonts w:ascii="宋体" w:hAnsi="宋体" w:eastAsia="宋体" w:cs="宋体"/>
      <w:sz w:val="30"/>
      <w:szCs w:val="30"/>
      <w:u w:val="none"/>
      <w:shd w:val="clear" w:color="auto" w:fill="auto"/>
      <w:lang w:val="zh-TW" w:eastAsia="zh-TW" w:bidi="zh-TW"/>
    </w:rPr>
  </w:style>
  <w:style w:type="paragraph" w:customStyle="1" w:styleId="108">
    <w:name w:val="Header or footer|1"/>
    <w:basedOn w:val="1"/>
    <w:qFormat/>
    <w:uiPriority w:val="0"/>
    <w:pPr>
      <w:widowControl w:val="0"/>
      <w:shd w:val="clear" w:color="auto" w:fill="auto"/>
    </w:pPr>
    <w:rPr>
      <w:sz w:val="17"/>
      <w:szCs w:val="17"/>
      <w:u w:val="none"/>
      <w:shd w:val="clear" w:color="auto" w:fill="auto"/>
      <w:lang w:val="zh-TW" w:eastAsia="zh-TW" w:bidi="zh-TW"/>
    </w:rPr>
  </w:style>
  <w:style w:type="paragraph" w:customStyle="1" w:styleId="109">
    <w:name w:val="Body text|2"/>
    <w:basedOn w:val="1"/>
    <w:qFormat/>
    <w:uiPriority w:val="0"/>
    <w:pPr>
      <w:widowControl w:val="0"/>
      <w:shd w:val="clear" w:color="auto" w:fill="auto"/>
      <w:jc w:val="right"/>
    </w:pPr>
    <w:rPr>
      <w:sz w:val="30"/>
      <w:szCs w:val="30"/>
      <w:u w:val="none"/>
      <w:shd w:val="clear" w:color="auto" w:fill="auto"/>
      <w:lang w:val="zh-TW" w:eastAsia="zh-TW" w:bidi="zh-TW"/>
    </w:rPr>
  </w:style>
  <w:style w:type="paragraph" w:customStyle="1" w:styleId="110">
    <w:name w:val="Main Title"/>
    <w:next w:val="1"/>
    <w:qFormat/>
    <w:uiPriority w:val="0"/>
    <w:pPr>
      <w:adjustRightInd w:val="0"/>
      <w:snapToGrid w:val="0"/>
      <w:spacing w:after="120" w:afterLines="50" w:line="360" w:lineRule="auto"/>
      <w:jc w:val="center"/>
    </w:pPr>
    <w:rPr>
      <w:rFonts w:ascii="黑体" w:hAnsi="黑体" w:eastAsia="黑体"/>
      <w:b/>
      <w:kern w:val="2"/>
      <w:sz w:val="36"/>
      <w:szCs w:val="22"/>
      <w:lang w:val="zh-CN" w:eastAsia="zh-CN" w:bidi="ar-SA"/>
    </w:rPr>
  </w:style>
  <w:style w:type="paragraph" w:customStyle="1" w:styleId="111">
    <w:name w:val="TOC 标题2"/>
    <w:basedOn w:val="3"/>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112">
    <w:name w:val="协议书标题2"/>
    <w:basedOn w:val="4"/>
    <w:next w:val="1"/>
    <w:qFormat/>
    <w:uiPriority w:val="0"/>
    <w:pPr>
      <w:keepNext w:val="0"/>
      <w:keepLines w:val="0"/>
      <w:tabs>
        <w:tab w:val="left" w:pos="567"/>
      </w:tabs>
      <w:spacing w:line="360" w:lineRule="auto"/>
      <w:ind w:left="425"/>
      <w:jc w:val="left"/>
    </w:pPr>
    <w:rPr>
      <w:rFonts w:ascii="宋体" w:hAnsi="宋体" w:eastAsia="宋体"/>
      <w:sz w:val="24"/>
    </w:rPr>
  </w:style>
  <w:style w:type="paragraph" w:customStyle="1" w:styleId="113">
    <w:name w:val="table"/>
    <w:qFormat/>
    <w:uiPriority w:val="0"/>
    <w:pPr>
      <w:framePr w:hSpace="180" w:wrap="around" w:vAnchor="text" w:hAnchor="margin" w:y="1418"/>
      <w:adjustRightInd w:val="0"/>
      <w:snapToGrid w:val="0"/>
    </w:pPr>
    <w:rPr>
      <w:rFonts w:ascii="宋体" w:hAnsi="Calibri"/>
      <w:kern w:val="2"/>
      <w:sz w:val="24"/>
      <w:szCs w:val="22"/>
      <w:lang w:val="en-US" w:eastAsia="zh-CN" w:bidi="ar-SA"/>
    </w:rPr>
  </w:style>
  <w:style w:type="paragraph" w:customStyle="1" w:styleId="114">
    <w:name w:val="通用标题2"/>
    <w:basedOn w:val="4"/>
    <w:next w:val="1"/>
    <w:qFormat/>
    <w:uiPriority w:val="0"/>
    <w:pPr>
      <w:keepNext w:val="0"/>
      <w:keepLines w:val="0"/>
      <w:tabs>
        <w:tab w:val="left" w:pos="993"/>
      </w:tabs>
      <w:spacing w:line="360" w:lineRule="auto"/>
    </w:pPr>
    <w:rPr>
      <w:rFonts w:ascii="黑体" w:hAnsi="黑体"/>
    </w:rPr>
  </w:style>
  <w:style w:type="paragraph" w:customStyle="1" w:styleId="115">
    <w:name w:val="专用标题2"/>
    <w:basedOn w:val="4"/>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116">
    <w:name w:val="附件标题"/>
    <w:basedOn w:val="4"/>
    <w:next w:val="1"/>
    <w:qFormat/>
    <w:uiPriority w:val="0"/>
    <w:pPr>
      <w:tabs>
        <w:tab w:val="left" w:pos="1134"/>
      </w:tabs>
      <w:spacing w:line="360" w:lineRule="auto"/>
      <w:ind w:left="3681"/>
      <w:jc w:val="center"/>
    </w:pPr>
    <w:rPr>
      <w:rFonts w:ascii="黑体" w:hAnsi="黑体"/>
      <w:sz w:val="30"/>
      <w:szCs w:val="30"/>
    </w:rPr>
  </w:style>
  <w:style w:type="paragraph" w:customStyle="1" w:styleId="117">
    <w:name w:val="正文2"/>
    <w:link w:val="311"/>
    <w:qFormat/>
    <w:uiPriority w:val="0"/>
    <w:pPr>
      <w:widowControl w:val="0"/>
      <w:adjustRightInd w:val="0"/>
      <w:snapToGrid w:val="0"/>
      <w:spacing w:line="360" w:lineRule="auto"/>
      <w:ind w:firstLine="200" w:firstLineChars="200"/>
      <w:jc w:val="both"/>
      <w:textAlignment w:val="baseline"/>
    </w:pPr>
    <w:rPr>
      <w:rFonts w:ascii="楷体" w:eastAsia="楷体"/>
      <w:b/>
      <w:color w:val="0000FF"/>
      <w:kern w:val="2"/>
      <w:sz w:val="21"/>
      <w:szCs w:val="22"/>
      <w:lang w:val="en-US" w:eastAsia="zh-CN" w:bidi="ar-SA"/>
    </w:rPr>
  </w:style>
  <w:style w:type="paragraph" w:customStyle="1" w:styleId="118">
    <w:name w:val="2"/>
    <w:uiPriority w:val="0"/>
    <w:pPr>
      <w:widowControl w:val="0"/>
      <w:jc w:val="both"/>
    </w:pPr>
    <w:rPr>
      <w:kern w:val="2"/>
      <w:sz w:val="21"/>
      <w:szCs w:val="24"/>
      <w:lang w:val="en-US" w:eastAsia="zh-CN" w:bidi="ar-SA"/>
    </w:rPr>
  </w:style>
  <w:style w:type="paragraph" w:customStyle="1" w:styleId="119">
    <w:name w:val="标题 9_0"/>
    <w:basedOn w:val="120"/>
    <w:next w:val="120"/>
    <w:link w:val="312"/>
    <w:qFormat/>
    <w:uiPriority w:val="0"/>
    <w:pPr>
      <w:keepNext/>
      <w:keepLines/>
      <w:widowControl/>
      <w:tabs>
        <w:tab w:val="left" w:pos="1584"/>
      </w:tabs>
      <w:spacing w:before="240" w:after="64" w:line="320" w:lineRule="auto"/>
      <w:ind w:left="5102" w:hanging="1700"/>
      <w:jc w:val="left"/>
      <w:outlineLvl w:val="8"/>
    </w:pPr>
    <w:rPr>
      <w:rFonts w:ascii="Arial" w:hAnsi="Arial" w:eastAsia="黑体"/>
      <w:kern w:val="0"/>
      <w:szCs w:val="21"/>
    </w:rPr>
  </w:style>
  <w:style w:type="paragraph" w:customStyle="1" w:styleId="120">
    <w:name w:val="正文_2"/>
    <w:qFormat/>
    <w:uiPriority w:val="0"/>
    <w:pPr>
      <w:widowControl w:val="0"/>
      <w:jc w:val="both"/>
    </w:pPr>
    <w:rPr>
      <w:kern w:val="2"/>
      <w:sz w:val="21"/>
      <w:szCs w:val="24"/>
      <w:lang w:val="en-US" w:eastAsia="zh-CN" w:bidi="ar-SA"/>
    </w:rPr>
  </w:style>
  <w:style w:type="paragraph" w:styleId="121">
    <w:name w:val="Intense Quote"/>
    <w:basedOn w:val="1"/>
    <w:next w:val="1"/>
    <w:link w:val="331"/>
    <w:qFormat/>
    <w:uiPriority w:val="0"/>
    <w:pPr>
      <w:pBdr>
        <w:bottom w:val="single" w:color="4F81BD" w:sz="4" w:space="4"/>
      </w:pBdr>
      <w:spacing w:before="200" w:after="280"/>
      <w:ind w:left="936" w:right="936"/>
    </w:pPr>
    <w:rPr>
      <w:b/>
      <w:bCs/>
      <w:i/>
      <w:iCs/>
      <w:color w:val="4F81BD"/>
      <w:szCs w:val="22"/>
    </w:rPr>
  </w:style>
  <w:style w:type="paragraph" w:customStyle="1" w:styleId="122">
    <w:name w:val="标题 6_0"/>
    <w:basedOn w:val="120"/>
    <w:next w:val="120"/>
    <w:link w:val="336"/>
    <w:qFormat/>
    <w:uiPriority w:val="0"/>
    <w:pPr>
      <w:keepNext/>
      <w:keepLines/>
      <w:widowControl/>
      <w:tabs>
        <w:tab w:val="left" w:pos="1440"/>
      </w:tabs>
      <w:spacing w:before="240" w:after="64" w:line="320" w:lineRule="auto"/>
      <w:ind w:left="3260" w:hanging="1134"/>
      <w:jc w:val="left"/>
      <w:outlineLvl w:val="5"/>
    </w:pPr>
    <w:rPr>
      <w:rFonts w:ascii="Arial" w:hAnsi="Arial" w:eastAsia="黑体"/>
      <w:b/>
      <w:bCs/>
      <w:kern w:val="0"/>
      <w:sz w:val="24"/>
    </w:rPr>
  </w:style>
  <w:style w:type="paragraph" w:customStyle="1" w:styleId="123">
    <w:name w:val="Blockquote_0_1"/>
    <w:basedOn w:val="124"/>
    <w:link w:val="338"/>
    <w:uiPriority w:val="0"/>
    <w:pPr>
      <w:autoSpaceDE w:val="0"/>
      <w:autoSpaceDN w:val="0"/>
      <w:adjustRightInd w:val="0"/>
      <w:spacing w:before="100" w:after="100"/>
      <w:ind w:left="360" w:right="360"/>
      <w:jc w:val="left"/>
    </w:pPr>
    <w:rPr>
      <w:kern w:val="0"/>
      <w:sz w:val="24"/>
      <w:szCs w:val="20"/>
    </w:rPr>
  </w:style>
  <w:style w:type="paragraph" w:customStyle="1" w:styleId="124">
    <w:name w:val="正文_1_1"/>
    <w:qFormat/>
    <w:uiPriority w:val="0"/>
    <w:pPr>
      <w:widowControl w:val="0"/>
      <w:jc w:val="both"/>
    </w:pPr>
    <w:rPr>
      <w:kern w:val="2"/>
      <w:sz w:val="21"/>
      <w:szCs w:val="24"/>
      <w:lang w:val="en-US" w:eastAsia="zh-CN" w:bidi="ar-SA"/>
    </w:rPr>
  </w:style>
  <w:style w:type="paragraph" w:customStyle="1" w:styleId="125">
    <w:name w:val="标题 4_0"/>
    <w:basedOn w:val="120"/>
    <w:next w:val="120"/>
    <w:link w:val="339"/>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126">
    <w:name w:val="标题 2_0"/>
    <w:basedOn w:val="127"/>
    <w:next w:val="128"/>
    <w:link w:val="340"/>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27">
    <w:name w:val="正文_0_0"/>
    <w:qFormat/>
    <w:uiPriority w:val="0"/>
    <w:pPr>
      <w:widowControl w:val="0"/>
      <w:jc w:val="both"/>
    </w:pPr>
    <w:rPr>
      <w:kern w:val="2"/>
      <w:sz w:val="21"/>
      <w:szCs w:val="24"/>
      <w:lang w:val="en-US" w:eastAsia="zh-CN" w:bidi="ar-SA"/>
    </w:rPr>
  </w:style>
  <w:style w:type="paragraph" w:customStyle="1" w:styleId="128">
    <w:name w:val="正文_0"/>
    <w:qFormat/>
    <w:uiPriority w:val="0"/>
    <w:pPr>
      <w:widowControl w:val="0"/>
      <w:jc w:val="both"/>
    </w:pPr>
    <w:rPr>
      <w:kern w:val="2"/>
      <w:sz w:val="21"/>
      <w:szCs w:val="24"/>
      <w:lang w:val="en-US" w:eastAsia="zh-CN" w:bidi="ar-SA"/>
    </w:rPr>
  </w:style>
  <w:style w:type="paragraph" w:customStyle="1" w:styleId="129">
    <w:name w:val="纯文本_1"/>
    <w:basedOn w:val="130"/>
    <w:link w:val="342"/>
    <w:uiPriority w:val="0"/>
    <w:rPr>
      <w:rFonts w:ascii="宋体" w:hAnsi="Courier New"/>
      <w:szCs w:val="21"/>
    </w:rPr>
  </w:style>
  <w:style w:type="paragraph" w:customStyle="1" w:styleId="130">
    <w:name w:val="正文_1"/>
    <w:qFormat/>
    <w:uiPriority w:val="0"/>
    <w:pPr>
      <w:widowControl w:val="0"/>
      <w:jc w:val="both"/>
    </w:pPr>
    <w:rPr>
      <w:kern w:val="2"/>
      <w:sz w:val="21"/>
      <w:szCs w:val="24"/>
      <w:lang w:val="en-US" w:eastAsia="zh-CN" w:bidi="ar-SA"/>
    </w:rPr>
  </w:style>
  <w:style w:type="paragraph" w:customStyle="1" w:styleId="131">
    <w:name w:val="标题 1_0"/>
    <w:basedOn w:val="120"/>
    <w:next w:val="120"/>
    <w:link w:val="343"/>
    <w:qFormat/>
    <w:uiPriority w:val="0"/>
    <w:pPr>
      <w:keepNext/>
      <w:widowControl/>
      <w:tabs>
        <w:tab w:val="left" w:pos="432"/>
      </w:tabs>
      <w:ind w:left="425" w:hanging="425"/>
      <w:jc w:val="center"/>
      <w:outlineLvl w:val="0"/>
    </w:pPr>
    <w:rPr>
      <w:rFonts w:ascii="黑体" w:eastAsia="黑体"/>
      <w:kern w:val="0"/>
      <w:sz w:val="52"/>
      <w:szCs w:val="20"/>
    </w:rPr>
  </w:style>
  <w:style w:type="paragraph" w:customStyle="1" w:styleId="132">
    <w:name w:val="标题 7_0"/>
    <w:basedOn w:val="120"/>
    <w:next w:val="120"/>
    <w:link w:val="346"/>
    <w:qFormat/>
    <w:uiPriority w:val="0"/>
    <w:pPr>
      <w:keepNext/>
      <w:keepLines/>
      <w:widowControl/>
      <w:tabs>
        <w:tab w:val="left" w:pos="2520"/>
      </w:tabs>
      <w:spacing w:before="240" w:after="64" w:line="320" w:lineRule="auto"/>
      <w:ind w:left="3827" w:hanging="1276"/>
      <w:jc w:val="left"/>
      <w:outlineLvl w:val="6"/>
    </w:pPr>
    <w:rPr>
      <w:b/>
      <w:bCs/>
      <w:kern w:val="0"/>
      <w:sz w:val="24"/>
    </w:rPr>
  </w:style>
  <w:style w:type="paragraph" w:customStyle="1" w:styleId="133">
    <w:name w:val="正文文本_0"/>
    <w:basedOn w:val="120"/>
    <w:link w:val="347"/>
    <w:uiPriority w:val="0"/>
    <w:pPr>
      <w:spacing w:after="120"/>
    </w:pPr>
  </w:style>
  <w:style w:type="paragraph" w:customStyle="1" w:styleId="134">
    <w:name w:val="标题4"/>
    <w:basedOn w:val="4"/>
    <w:next w:val="27"/>
    <w:link w:val="353"/>
    <w:uiPriority w:val="0"/>
    <w:pPr>
      <w:spacing w:before="0" w:after="0" w:line="413" w:lineRule="auto"/>
    </w:pPr>
    <w:rPr>
      <w:rFonts w:eastAsia="宋体"/>
      <w:kern w:val="0"/>
      <w:sz w:val="24"/>
    </w:rPr>
  </w:style>
  <w:style w:type="paragraph" w:customStyle="1" w:styleId="135">
    <w:name w:val="纯文本_0"/>
    <w:basedOn w:val="128"/>
    <w:link w:val="357"/>
    <w:uiPriority w:val="99"/>
    <w:rPr>
      <w:rFonts w:ascii="宋体" w:hAnsi="Courier New"/>
      <w:szCs w:val="21"/>
      <w:lang/>
    </w:rPr>
  </w:style>
  <w:style w:type="paragraph" w:customStyle="1" w:styleId="136">
    <w:name w:val="纯文本_2"/>
    <w:basedOn w:val="120"/>
    <w:link w:val="358"/>
    <w:uiPriority w:val="0"/>
    <w:rPr>
      <w:rFonts w:ascii="宋体" w:hAnsi="Courier New"/>
      <w:szCs w:val="21"/>
    </w:rPr>
  </w:style>
  <w:style w:type="paragraph" w:customStyle="1" w:styleId="137">
    <w:name w:val="正文文本 (2)1"/>
    <w:basedOn w:val="1"/>
    <w:link w:val="361"/>
    <w:uiPriority w:val="99"/>
    <w:pPr>
      <w:shd w:val="clear" w:color="auto" w:fill="FFFFFF"/>
      <w:spacing w:before="300" w:line="439" w:lineRule="exact"/>
      <w:jc w:val="distribute"/>
    </w:pPr>
    <w:rPr>
      <w:rFonts w:ascii="MingLiU" w:eastAsia="MingLiU"/>
      <w:spacing w:val="20"/>
      <w:kern w:val="0"/>
      <w:sz w:val="22"/>
      <w:szCs w:val="20"/>
    </w:rPr>
  </w:style>
  <w:style w:type="paragraph" w:customStyle="1" w:styleId="138">
    <w:name w:val="标题 8_0"/>
    <w:basedOn w:val="120"/>
    <w:next w:val="120"/>
    <w:link w:val="368"/>
    <w:qFormat/>
    <w:uiPriority w:val="0"/>
    <w:pPr>
      <w:keepNext/>
      <w:keepLines/>
      <w:widowControl/>
      <w:tabs>
        <w:tab w:val="left" w:pos="1440"/>
      </w:tabs>
      <w:spacing w:before="240" w:after="64" w:line="320" w:lineRule="auto"/>
      <w:ind w:left="4394" w:hanging="1418"/>
      <w:jc w:val="left"/>
      <w:outlineLvl w:val="7"/>
    </w:pPr>
    <w:rPr>
      <w:rFonts w:ascii="Arial" w:hAnsi="Arial" w:eastAsia="黑体"/>
      <w:kern w:val="0"/>
      <w:sz w:val="24"/>
    </w:rPr>
  </w:style>
  <w:style w:type="paragraph" w:customStyle="1" w:styleId="139">
    <w:name w:val="标题 3_0"/>
    <w:basedOn w:val="120"/>
    <w:next w:val="140"/>
    <w:link w:val="369"/>
    <w:qFormat/>
    <w:uiPriority w:val="0"/>
    <w:pPr>
      <w:keepNext/>
      <w:keepLines/>
      <w:widowControl/>
      <w:tabs>
        <w:tab w:val="left" w:pos="720"/>
      </w:tabs>
      <w:spacing w:before="120" w:after="120" w:line="360" w:lineRule="auto"/>
      <w:ind w:left="1418" w:hanging="567"/>
      <w:jc w:val="center"/>
      <w:outlineLvl w:val="2"/>
    </w:pPr>
    <w:rPr>
      <w:b/>
      <w:kern w:val="0"/>
      <w:sz w:val="32"/>
      <w:szCs w:val="20"/>
    </w:rPr>
  </w:style>
  <w:style w:type="paragraph" w:customStyle="1" w:styleId="140">
    <w:name w:val="正文缩进_0"/>
    <w:basedOn w:val="120"/>
    <w:unhideWhenUsed/>
    <w:uiPriority w:val="0"/>
    <w:pPr>
      <w:ind w:firstLine="420" w:firstLineChars="200"/>
    </w:pPr>
    <w:rPr>
      <w:rFonts w:ascii="Calibri" w:hAnsi="Calibri"/>
      <w:bCs/>
      <w:szCs w:val="32"/>
    </w:rPr>
  </w:style>
  <w:style w:type="paragraph" w:customStyle="1" w:styleId="141">
    <w:name w:val="Blockquote_0"/>
    <w:basedOn w:val="120"/>
    <w:link w:val="370"/>
    <w:uiPriority w:val="0"/>
    <w:pPr>
      <w:autoSpaceDE w:val="0"/>
      <w:autoSpaceDN w:val="0"/>
      <w:adjustRightInd w:val="0"/>
      <w:spacing w:before="100" w:after="100"/>
      <w:ind w:left="360" w:right="360"/>
      <w:jc w:val="left"/>
    </w:pPr>
    <w:rPr>
      <w:kern w:val="0"/>
      <w:sz w:val="24"/>
      <w:szCs w:val="20"/>
    </w:rPr>
  </w:style>
  <w:style w:type="paragraph" w:customStyle="1" w:styleId="142">
    <w:name w:val="脚注文本_0"/>
    <w:basedOn w:val="143"/>
    <w:link w:val="371"/>
    <w:unhideWhenUsed/>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43">
    <w:name w:val="正文_3"/>
    <w:qFormat/>
    <w:uiPriority w:val="0"/>
    <w:pPr>
      <w:widowControl w:val="0"/>
      <w:jc w:val="both"/>
    </w:pPr>
    <w:rPr>
      <w:rFonts w:ascii="Calibri" w:hAnsi="Calibri"/>
      <w:kern w:val="2"/>
      <w:sz w:val="21"/>
      <w:szCs w:val="22"/>
      <w:lang w:val="en-US" w:eastAsia="zh-CN" w:bidi="ar-SA"/>
    </w:rPr>
  </w:style>
  <w:style w:type="paragraph" w:customStyle="1" w:styleId="144">
    <w:name w:val="标题5"/>
    <w:basedOn w:val="5"/>
    <w:link w:val="372"/>
    <w:uiPriority w:val="0"/>
    <w:pPr>
      <w:spacing w:line="413" w:lineRule="auto"/>
      <w:jc w:val="left"/>
    </w:pPr>
    <w:rPr>
      <w:rFonts w:ascii="Arial" w:hAnsi="Arial"/>
      <w:sz w:val="24"/>
    </w:rPr>
  </w:style>
  <w:style w:type="paragraph" w:styleId="145">
    <w:name w:val="Quote"/>
    <w:basedOn w:val="1"/>
    <w:next w:val="1"/>
    <w:link w:val="373"/>
    <w:qFormat/>
    <w:uiPriority w:val="0"/>
    <w:rPr>
      <w:i/>
      <w:iCs/>
      <w:color w:val="000000"/>
      <w:szCs w:val="22"/>
    </w:rPr>
  </w:style>
  <w:style w:type="paragraph" w:customStyle="1" w:styleId="146">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正文_2_1_0"/>
    <w:qFormat/>
    <w:uiPriority w:val="0"/>
    <w:pPr>
      <w:widowControl w:val="0"/>
      <w:jc w:val="both"/>
    </w:pPr>
    <w:rPr>
      <w:rFonts w:ascii="Calibri" w:hAnsi="Calibri"/>
      <w:kern w:val="2"/>
      <w:sz w:val="21"/>
      <w:szCs w:val="22"/>
      <w:lang w:val="en-US" w:eastAsia="zh-CN" w:bidi="ar-SA"/>
    </w:rPr>
  </w:style>
  <w:style w:type="paragraph" w:customStyle="1" w:styleId="148">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49">
    <w:name w:val="Normal_3"/>
    <w:qFormat/>
    <w:uiPriority w:val="0"/>
    <w:rPr>
      <w:rFonts w:eastAsia="Times New Roman"/>
      <w:sz w:val="24"/>
      <w:szCs w:val="24"/>
      <w:lang w:bidi="ar-SA"/>
    </w:rPr>
  </w:style>
  <w:style w:type="paragraph" w:customStyle="1" w:styleId="150">
    <w:name w:val="Normal"/>
    <w:uiPriority w:val="0"/>
    <w:pPr>
      <w:widowControl w:val="0"/>
      <w:adjustRightInd w:val="0"/>
      <w:spacing w:line="312" w:lineRule="atLeast"/>
      <w:jc w:val="both"/>
      <w:textAlignment w:val="baseline"/>
    </w:pPr>
    <w:rPr>
      <w:rFonts w:ascii="宋体"/>
      <w:sz w:val="24"/>
      <w:lang w:val="en-US" w:eastAsia="zh-CN" w:bidi="ar-SA"/>
    </w:rPr>
  </w:style>
  <w:style w:type="paragraph" w:customStyle="1" w:styleId="151">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2">
    <w:name w:val="xl4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3">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54">
    <w:name w:val="正文_2_1"/>
    <w:qFormat/>
    <w:uiPriority w:val="0"/>
    <w:pPr>
      <w:widowControl w:val="0"/>
      <w:jc w:val="both"/>
    </w:pPr>
    <w:rPr>
      <w:rFonts w:ascii="Calibri" w:hAnsi="Calibri"/>
      <w:kern w:val="2"/>
      <w:sz w:val="21"/>
      <w:szCs w:val="22"/>
      <w:lang w:val="en-US" w:eastAsia="zh-CN" w:bidi="ar-SA"/>
    </w:rPr>
  </w:style>
  <w:style w:type="paragraph" w:customStyle="1" w:styleId="155">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6">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5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58">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Char Char Char Char Char Char"/>
    <w:basedOn w:val="1"/>
    <w:uiPriority w:val="0"/>
    <w:rPr>
      <w:rFonts w:ascii="Tahoma" w:hAnsi="Tahoma"/>
      <w:sz w:val="24"/>
      <w:szCs w:val="20"/>
    </w:rPr>
  </w:style>
  <w:style w:type="paragraph" w:customStyle="1" w:styleId="160">
    <w:name w:val="Normal_2"/>
    <w:qFormat/>
    <w:uiPriority w:val="0"/>
    <w:rPr>
      <w:rFonts w:eastAsia="Times New Roman"/>
      <w:sz w:val="24"/>
      <w:szCs w:val="24"/>
      <w:lang w:bidi="ar-SA"/>
    </w:rPr>
  </w:style>
  <w:style w:type="paragraph" w:customStyle="1" w:styleId="161">
    <w:name w:val="Normal_1"/>
    <w:qFormat/>
    <w:uiPriority w:val="0"/>
    <w:rPr>
      <w:rFonts w:eastAsia="Times New Roman"/>
      <w:sz w:val="24"/>
      <w:szCs w:val="24"/>
      <w:lang w:bidi="ar-SA"/>
    </w:rPr>
  </w:style>
  <w:style w:type="paragraph" w:customStyle="1" w:styleId="162">
    <w:name w:val="普通 (Web)"/>
    <w:basedOn w:val="1"/>
    <w:uiPriority w:val="0"/>
    <w:pPr>
      <w:widowControl/>
      <w:spacing w:before="100" w:beforeAutospacing="1" w:after="100" w:afterAutospacing="1"/>
      <w:jc w:val="left"/>
    </w:pPr>
    <w:rPr>
      <w:rFonts w:ascii="宋体" w:hAnsi="宋体"/>
      <w:kern w:val="0"/>
      <w:sz w:val="24"/>
    </w:rPr>
  </w:style>
  <w:style w:type="paragraph" w:styleId="163">
    <w:name w:val="No Spacing"/>
    <w:qFormat/>
    <w:uiPriority w:val="0"/>
    <w:pPr>
      <w:widowControl w:val="0"/>
      <w:jc w:val="both"/>
    </w:pPr>
    <w:rPr>
      <w:rFonts w:ascii="Calibri" w:hAnsi="Calibri"/>
      <w:kern w:val="2"/>
      <w:sz w:val="21"/>
      <w:szCs w:val="22"/>
      <w:lang w:val="en-US" w:eastAsia="zh-CN" w:bidi="ar-SA"/>
    </w:rPr>
  </w:style>
  <w:style w:type="paragraph" w:customStyle="1" w:styleId="164">
    <w:name w:val="Normal_0"/>
    <w:qFormat/>
    <w:uiPriority w:val="0"/>
    <w:rPr>
      <w:sz w:val="24"/>
      <w:szCs w:val="24"/>
      <w:lang w:val="en-US" w:eastAsia="zh-CN" w:bidi="ar-SA"/>
    </w:rPr>
  </w:style>
  <w:style w:type="paragraph" w:customStyle="1" w:styleId="16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66">
    <w:name w:val="xl42"/>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67">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68">
    <w:name w:val="xl22"/>
    <w:basedOn w:val="1"/>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169">
    <w:name w:val="段落2"/>
    <w:basedOn w:val="1"/>
    <w:uiPriority w:val="0"/>
    <w:pPr>
      <w:spacing w:line="360" w:lineRule="auto"/>
      <w:ind w:firstLine="480" w:firstLineChars="200"/>
    </w:pPr>
    <w:rPr>
      <w:rFonts w:ascii="Calibri" w:hAnsi="Calibri" w:cs="Courier New"/>
      <w:sz w:val="24"/>
      <w:szCs w:val="21"/>
    </w:rPr>
  </w:style>
  <w:style w:type="paragraph" w:customStyle="1" w:styleId="170">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171">
    <w:name w:val="目录"/>
    <w:basedOn w:val="1"/>
    <w:uiPriority w:val="0"/>
    <w:pPr>
      <w:widowControl/>
      <w:jc w:val="center"/>
    </w:pPr>
    <w:rPr>
      <w:rFonts w:ascii="宋体" w:hAnsi="Calibri"/>
      <w:b/>
      <w:kern w:val="0"/>
      <w:sz w:val="36"/>
      <w:szCs w:val="20"/>
    </w:rPr>
  </w:style>
  <w:style w:type="paragraph" w:customStyle="1" w:styleId="172">
    <w:name w:val="目录文字"/>
    <w:basedOn w:val="1"/>
    <w:uiPriority w:val="0"/>
    <w:pPr>
      <w:widowControl/>
      <w:spacing w:line="480" w:lineRule="auto"/>
      <w:jc w:val="left"/>
    </w:pPr>
    <w:rPr>
      <w:rFonts w:ascii="宋体" w:hAnsi="宋体"/>
      <w:kern w:val="0"/>
      <w:sz w:val="24"/>
      <w:szCs w:val="20"/>
    </w:rPr>
  </w:style>
  <w:style w:type="paragraph" w:customStyle="1" w:styleId="17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4">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75">
    <w:name w:val="xl33"/>
    <w:basedOn w:val="1"/>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76">
    <w:name w:val="段落1 Char"/>
    <w:basedOn w:val="30"/>
    <w:uiPriority w:val="0"/>
    <w:pPr>
      <w:spacing w:line="360" w:lineRule="auto"/>
    </w:pPr>
    <w:rPr>
      <w:rFonts w:ascii="Times New Roman" w:hAnsi="Times New Roman"/>
      <w:sz w:val="24"/>
      <w:szCs w:val="21"/>
    </w:rPr>
  </w:style>
  <w:style w:type="paragraph" w:customStyle="1" w:styleId="177">
    <w:name w:val="xl43"/>
    <w:basedOn w:val="1"/>
    <w:uiPriority w:val="0"/>
    <w:pPr>
      <w:widowControl/>
      <w:spacing w:before="100" w:beforeAutospacing="1" w:after="100" w:afterAutospacing="1"/>
      <w:jc w:val="left"/>
      <w:textAlignment w:val="top"/>
    </w:pPr>
    <w:rPr>
      <w:rFonts w:ascii="宋体" w:hAnsi="宋体"/>
      <w:kern w:val="0"/>
      <w:sz w:val="24"/>
    </w:rPr>
  </w:style>
  <w:style w:type="paragraph" w:customStyle="1" w:styleId="178">
    <w:name w:val="简单回函地址"/>
    <w:basedOn w:val="1"/>
    <w:uiPriority w:val="0"/>
    <w:rPr>
      <w:rFonts w:ascii="Calibri" w:hAnsi="Calibri"/>
      <w:szCs w:val="22"/>
    </w:rPr>
  </w:style>
  <w:style w:type="paragraph" w:customStyle="1" w:styleId="179">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0">
    <w:name w:val="xl44"/>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1">
    <w:name w:val="font6"/>
    <w:basedOn w:val="1"/>
    <w:uiPriority w:val="0"/>
    <w:pPr>
      <w:widowControl/>
      <w:spacing w:before="100" w:beforeAutospacing="1" w:after="100" w:afterAutospacing="1"/>
      <w:jc w:val="left"/>
    </w:pPr>
    <w:rPr>
      <w:kern w:val="0"/>
      <w:sz w:val="18"/>
      <w:szCs w:val="18"/>
    </w:rPr>
  </w:style>
  <w:style w:type="paragraph" w:customStyle="1" w:styleId="182">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83">
    <w:name w:val="普通(网站)_0"/>
    <w:basedOn w:val="120"/>
    <w:uiPriority w:val="0"/>
    <w:pPr>
      <w:widowControl/>
      <w:spacing w:before="100" w:beforeAutospacing="1" w:after="100" w:afterAutospacing="1"/>
      <w:jc w:val="left"/>
    </w:pPr>
    <w:rPr>
      <w:rFonts w:ascii="宋体" w:hAnsi="宋体"/>
      <w:kern w:val="0"/>
      <w:sz w:val="24"/>
    </w:rPr>
  </w:style>
  <w:style w:type="paragraph" w:customStyle="1" w:styleId="184">
    <w:name w:val=" Char10 Char Char Char Char Char Char Char Char Char"/>
    <w:basedOn w:val="1"/>
    <w:next w:val="1"/>
    <w:uiPriority w:val="0"/>
    <w:rPr>
      <w:rFonts w:ascii="Calibri" w:hAnsi="Calibri"/>
      <w:szCs w:val="22"/>
    </w:rPr>
  </w:style>
  <w:style w:type="paragraph" w:customStyle="1" w:styleId="185">
    <w:name w:val="Char Char Char Char"/>
    <w:basedOn w:val="1"/>
    <w:uiPriority w:val="0"/>
    <w:pPr>
      <w:snapToGrid w:val="0"/>
      <w:spacing w:line="360" w:lineRule="auto"/>
      <w:ind w:firstLine="200" w:firstLineChars="200"/>
    </w:pPr>
    <w:rPr>
      <w:rFonts w:ascii="Calibri" w:hAnsi="Calibri" w:eastAsia="仿宋_GB2312"/>
      <w:sz w:val="24"/>
      <w:szCs w:val="22"/>
    </w:rPr>
  </w:style>
  <w:style w:type="paragraph" w:customStyle="1" w:styleId="186">
    <w:name w:val="Char10 Char Char Char Char Char Char Char Char Char"/>
    <w:basedOn w:val="1"/>
    <w:next w:val="1"/>
    <w:uiPriority w:val="0"/>
    <w:rPr>
      <w:rFonts w:ascii="Calibri" w:hAnsi="Calibri"/>
      <w:szCs w:val="22"/>
    </w:rPr>
  </w:style>
  <w:style w:type="paragraph" w:customStyle="1" w:styleId="187">
    <w:name w:val="xl45"/>
    <w:basedOn w:val="1"/>
    <w:uiPriority w:val="0"/>
    <w:pPr>
      <w:widowControl/>
      <w:spacing w:before="100" w:beforeAutospacing="1" w:after="100" w:afterAutospacing="1"/>
      <w:jc w:val="left"/>
      <w:textAlignment w:val="top"/>
    </w:pPr>
    <w:rPr>
      <w:rFonts w:ascii="宋体" w:hAnsi="宋体"/>
      <w:kern w:val="0"/>
      <w:sz w:val="24"/>
    </w:rPr>
  </w:style>
  <w:style w:type="paragraph" w:customStyle="1" w:styleId="188">
    <w:name w:val="MsoNormal"/>
    <w:basedOn w:val="164"/>
    <w:uiPriority w:val="0"/>
    <w:rPr>
      <w:rFonts w:ascii="Calibri" w:hAnsi="Calibri" w:eastAsia="Calibri"/>
      <w:sz w:val="21"/>
      <w:lang/>
    </w:rPr>
  </w:style>
  <w:style w:type="paragraph" w:customStyle="1" w:styleId="189">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xl2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91">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92">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3">
    <w:name w:val="正文_1_0"/>
    <w:qFormat/>
    <w:uiPriority w:val="0"/>
    <w:pPr>
      <w:widowControl w:val="0"/>
      <w:jc w:val="both"/>
    </w:pPr>
    <w:rPr>
      <w:kern w:val="2"/>
      <w:sz w:val="21"/>
      <w:szCs w:val="24"/>
      <w:lang w:val="en-US" w:eastAsia="zh-CN" w:bidi="ar-SA"/>
    </w:rPr>
  </w:style>
  <w:style w:type="paragraph" w:customStyle="1" w:styleId="194">
    <w:name w:val="范本目录"/>
    <w:basedOn w:val="1"/>
    <w:uiPriority w:val="0"/>
    <w:pPr>
      <w:adjustRightInd w:val="0"/>
      <w:snapToGrid w:val="0"/>
      <w:spacing w:before="48" w:beforeLines="20" w:after="48" w:afterLines="20" w:line="540" w:lineRule="exact"/>
      <w:jc w:val="center"/>
    </w:pPr>
    <w:rPr>
      <w:rFonts w:hAnsi="宋体"/>
      <w:b/>
      <w:bCs/>
      <w:sz w:val="36"/>
    </w:rPr>
  </w:style>
  <w:style w:type="paragraph" w:customStyle="1" w:styleId="195">
    <w:name w:val="正文_2_0"/>
    <w:qFormat/>
    <w:uiPriority w:val="0"/>
    <w:pPr>
      <w:widowControl w:val="0"/>
      <w:jc w:val="both"/>
    </w:pPr>
    <w:rPr>
      <w:rFonts w:ascii="Calibri" w:hAnsi="Calibri"/>
      <w:kern w:val="2"/>
      <w:sz w:val="21"/>
      <w:szCs w:val="22"/>
      <w:lang w:val="en-US" w:eastAsia="zh-CN" w:bidi="ar-SA"/>
    </w:rPr>
  </w:style>
  <w:style w:type="paragraph" w:customStyle="1" w:styleId="196">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97">
    <w:name w:val=" Char Char Char Char Char"/>
    <w:basedOn w:val="1"/>
    <w:uiPriority w:val="0"/>
    <w:rPr>
      <w:rFonts w:ascii="Tahoma" w:hAnsi="Tahoma"/>
      <w:sz w:val="24"/>
      <w:szCs w:val="20"/>
    </w:rPr>
  </w:style>
  <w:style w:type="paragraph" w:customStyle="1" w:styleId="19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199">
    <w:name w:val="正文文本 Char"/>
    <w:link w:val="2"/>
    <w:uiPriority w:val="0"/>
    <w:rPr>
      <w:kern w:val="2"/>
      <w:sz w:val="21"/>
      <w:szCs w:val="24"/>
    </w:rPr>
  </w:style>
  <w:style w:type="character" w:customStyle="1" w:styleId="200">
    <w:name w:val="标题 1 Char"/>
    <w:link w:val="3"/>
    <w:uiPriority w:val="0"/>
    <w:rPr>
      <w:rFonts w:eastAsia="宋体"/>
      <w:b/>
      <w:bCs/>
      <w:kern w:val="44"/>
      <w:sz w:val="44"/>
      <w:szCs w:val="44"/>
      <w:lang w:val="en-US" w:eastAsia="zh-CN" w:bidi="ar-SA"/>
    </w:rPr>
  </w:style>
  <w:style w:type="character" w:customStyle="1" w:styleId="201">
    <w:name w:val="标题 2 Char"/>
    <w:link w:val="4"/>
    <w:uiPriority w:val="0"/>
    <w:rPr>
      <w:rFonts w:ascii="Arial" w:hAnsi="Arial" w:eastAsia="黑体"/>
      <w:b/>
      <w:bCs/>
      <w:kern w:val="2"/>
      <w:sz w:val="32"/>
      <w:szCs w:val="32"/>
      <w:lang w:val="en-US" w:eastAsia="zh-CN" w:bidi="ar-SA"/>
    </w:rPr>
  </w:style>
  <w:style w:type="character" w:customStyle="1" w:styleId="202">
    <w:name w:val="标题 3 Char"/>
    <w:link w:val="5"/>
    <w:uiPriority w:val="0"/>
    <w:rPr>
      <w:b/>
      <w:bCs/>
      <w:sz w:val="32"/>
      <w:szCs w:val="32"/>
    </w:rPr>
  </w:style>
  <w:style w:type="character" w:customStyle="1" w:styleId="203">
    <w:name w:val="标题 4 Char"/>
    <w:link w:val="6"/>
    <w:uiPriority w:val="0"/>
    <w:rPr>
      <w:rFonts w:ascii="Arial" w:hAnsi="Arial" w:eastAsia="黑体"/>
      <w:b/>
      <w:bCs/>
      <w:kern w:val="2"/>
      <w:sz w:val="28"/>
      <w:szCs w:val="28"/>
    </w:rPr>
  </w:style>
  <w:style w:type="character" w:customStyle="1" w:styleId="204">
    <w:name w:val="标题 5 Char"/>
    <w:link w:val="7"/>
    <w:uiPriority w:val="0"/>
    <w:rPr>
      <w:b/>
      <w:bCs/>
      <w:kern w:val="2"/>
      <w:sz w:val="28"/>
      <w:szCs w:val="28"/>
    </w:rPr>
  </w:style>
  <w:style w:type="character" w:customStyle="1" w:styleId="205">
    <w:name w:val="标题 6 Char"/>
    <w:link w:val="8"/>
    <w:uiPriority w:val="0"/>
    <w:rPr>
      <w:rFonts w:ascii="Arial" w:hAnsi="Arial" w:eastAsia="黑体"/>
      <w:b/>
      <w:bCs/>
      <w:sz w:val="24"/>
      <w:szCs w:val="24"/>
    </w:rPr>
  </w:style>
  <w:style w:type="character" w:customStyle="1" w:styleId="206">
    <w:name w:val="标题 7 Char"/>
    <w:link w:val="9"/>
    <w:uiPriority w:val="0"/>
    <w:rPr>
      <w:b/>
      <w:bCs/>
      <w:sz w:val="24"/>
      <w:szCs w:val="24"/>
    </w:rPr>
  </w:style>
  <w:style w:type="character" w:customStyle="1" w:styleId="207">
    <w:name w:val="标题 8 Char"/>
    <w:link w:val="10"/>
    <w:uiPriority w:val="0"/>
    <w:rPr>
      <w:rFonts w:ascii="Arial" w:hAnsi="Arial" w:eastAsia="黑体"/>
      <w:sz w:val="24"/>
      <w:szCs w:val="24"/>
    </w:rPr>
  </w:style>
  <w:style w:type="character" w:customStyle="1" w:styleId="208">
    <w:name w:val="标题 9 Char"/>
    <w:link w:val="11"/>
    <w:uiPriority w:val="0"/>
    <w:rPr>
      <w:rFonts w:ascii="Arial" w:hAnsi="Arial" w:eastAsia="黑体"/>
      <w:sz w:val="21"/>
      <w:szCs w:val="21"/>
    </w:rPr>
  </w:style>
  <w:style w:type="character" w:customStyle="1" w:styleId="209">
    <w:name w:val="文档结构图 Char"/>
    <w:link w:val="19"/>
    <w:uiPriority w:val="0"/>
    <w:rPr>
      <w:kern w:val="2"/>
      <w:sz w:val="21"/>
      <w:szCs w:val="24"/>
      <w:shd w:val="clear" w:color="auto" w:fill="000080"/>
    </w:rPr>
  </w:style>
  <w:style w:type="character" w:customStyle="1" w:styleId="210">
    <w:name w:val="批注文字 Char"/>
    <w:link w:val="14"/>
    <w:uiPriority w:val="0"/>
    <w:rPr>
      <w:rFonts w:eastAsia="宋体"/>
      <w:kern w:val="2"/>
      <w:sz w:val="21"/>
      <w:szCs w:val="24"/>
      <w:lang w:val="en-US" w:eastAsia="zh-CN" w:bidi="ar-SA"/>
    </w:rPr>
  </w:style>
  <w:style w:type="character" w:customStyle="1" w:styleId="211">
    <w:name w:val="称呼 Char"/>
    <w:link w:val="20"/>
    <w:uiPriority w:val="0"/>
    <w:rPr>
      <w:rFonts w:ascii="仿宋_GB2312" w:eastAsia="仿宋_GB2312"/>
      <w:kern w:val="2"/>
      <w:sz w:val="28"/>
    </w:rPr>
  </w:style>
  <w:style w:type="character" w:customStyle="1" w:styleId="212">
    <w:name w:val="正文文本 3 Char"/>
    <w:link w:val="21"/>
    <w:uiPriority w:val="0"/>
    <w:rPr>
      <w:rFonts w:ascii="宋体"/>
      <w:kern w:val="2"/>
      <w:sz w:val="24"/>
    </w:rPr>
  </w:style>
  <w:style w:type="character" w:customStyle="1" w:styleId="213">
    <w:name w:val="正文文本缩进 Char"/>
    <w:link w:val="22"/>
    <w:uiPriority w:val="0"/>
    <w:rPr>
      <w:kern w:val="2"/>
      <w:sz w:val="21"/>
      <w:szCs w:val="24"/>
    </w:rPr>
  </w:style>
  <w:style w:type="character" w:customStyle="1" w:styleId="214">
    <w:name w:val="纯文本 Char"/>
    <w:link w:val="30"/>
    <w:qFormat/>
    <w:uiPriority w:val="0"/>
    <w:rPr>
      <w:rFonts w:ascii="Courier New" w:hAnsi="Courier New" w:eastAsia="宋体"/>
      <w:kern w:val="2"/>
      <w:sz w:val="21"/>
      <w:lang w:val="en-US" w:eastAsia="zh-CN" w:bidi="ar-SA"/>
    </w:rPr>
  </w:style>
  <w:style w:type="character" w:customStyle="1" w:styleId="215">
    <w:name w:val="日期 Char"/>
    <w:link w:val="32"/>
    <w:uiPriority w:val="0"/>
    <w:rPr>
      <w:kern w:val="2"/>
      <w:sz w:val="24"/>
    </w:rPr>
  </w:style>
  <w:style w:type="character" w:customStyle="1" w:styleId="216">
    <w:name w:val="正文文本缩进 2 Char"/>
    <w:link w:val="33"/>
    <w:qFormat/>
    <w:locked/>
    <w:uiPriority w:val="0"/>
    <w:rPr>
      <w:kern w:val="2"/>
      <w:sz w:val="24"/>
      <w:szCs w:val="24"/>
    </w:rPr>
  </w:style>
  <w:style w:type="character" w:customStyle="1" w:styleId="217">
    <w:name w:val="批注框文本 Char"/>
    <w:link w:val="34"/>
    <w:uiPriority w:val="0"/>
    <w:rPr>
      <w:kern w:val="2"/>
      <w:sz w:val="18"/>
      <w:szCs w:val="18"/>
    </w:rPr>
  </w:style>
  <w:style w:type="character" w:customStyle="1" w:styleId="218">
    <w:name w:val="页脚 Char"/>
    <w:link w:val="35"/>
    <w:uiPriority w:val="99"/>
    <w:rPr>
      <w:kern w:val="2"/>
      <w:sz w:val="18"/>
      <w:szCs w:val="18"/>
    </w:rPr>
  </w:style>
  <w:style w:type="character" w:customStyle="1" w:styleId="219">
    <w:name w:val="页眉 Char"/>
    <w:link w:val="37"/>
    <w:uiPriority w:val="0"/>
    <w:rPr>
      <w:kern w:val="2"/>
      <w:sz w:val="18"/>
      <w:szCs w:val="18"/>
    </w:rPr>
  </w:style>
  <w:style w:type="character" w:customStyle="1" w:styleId="220">
    <w:name w:val="副标题 Char"/>
    <w:link w:val="43"/>
    <w:uiPriority w:val="0"/>
    <w:rPr>
      <w:rFonts w:ascii="Arial" w:hAnsi="Arial"/>
      <w:b/>
      <w:bCs/>
      <w:kern w:val="28"/>
      <w:sz w:val="32"/>
      <w:szCs w:val="32"/>
    </w:rPr>
  </w:style>
  <w:style w:type="character" w:customStyle="1" w:styleId="221">
    <w:name w:val="脚注文本 Char"/>
    <w:link w:val="45"/>
    <w:uiPriority w:val="0"/>
    <w:rPr>
      <w:kern w:val="2"/>
    </w:rPr>
  </w:style>
  <w:style w:type="character" w:customStyle="1" w:styleId="222">
    <w:name w:val="正文文本缩进 3 Char"/>
    <w:link w:val="47"/>
    <w:uiPriority w:val="0"/>
    <w:rPr>
      <w:kern w:val="2"/>
      <w:sz w:val="16"/>
      <w:szCs w:val="16"/>
    </w:rPr>
  </w:style>
  <w:style w:type="character" w:customStyle="1" w:styleId="223">
    <w:name w:val="正文文本 2 Char"/>
    <w:link w:val="51"/>
    <w:uiPriority w:val="0"/>
    <w:rPr>
      <w:kern w:val="2"/>
      <w:sz w:val="28"/>
      <w:szCs w:val="24"/>
    </w:rPr>
  </w:style>
  <w:style w:type="character" w:customStyle="1" w:styleId="224">
    <w:name w:val="HTML 预设格式 Char"/>
    <w:link w:val="54"/>
    <w:uiPriority w:val="0"/>
    <w:rPr>
      <w:rFonts w:ascii="宋体" w:hAnsi="宋体" w:cs="宋体"/>
      <w:sz w:val="24"/>
      <w:szCs w:val="24"/>
    </w:rPr>
  </w:style>
  <w:style w:type="character" w:customStyle="1" w:styleId="225">
    <w:name w:val="标题 Char"/>
    <w:link w:val="56"/>
    <w:uiPriority w:val="0"/>
    <w:rPr>
      <w:rFonts w:ascii="Arial" w:hAnsi="Arial"/>
      <w:b/>
      <w:sz w:val="32"/>
    </w:rPr>
  </w:style>
  <w:style w:type="character" w:customStyle="1" w:styleId="226">
    <w:name w:val="批注主题 Char"/>
    <w:link w:val="13"/>
    <w:uiPriority w:val="0"/>
    <w:rPr>
      <w:b/>
      <w:bCs/>
      <w:kern w:val="2"/>
      <w:sz w:val="21"/>
      <w:szCs w:val="24"/>
    </w:rPr>
  </w:style>
  <w:style w:type="character" w:customStyle="1" w:styleId="227">
    <w:name w:val="正文首行缩进 2 Char"/>
    <w:link w:val="36"/>
    <w:qFormat/>
    <w:uiPriority w:val="99"/>
    <w:rPr>
      <w:kern w:val="2"/>
      <w:sz w:val="21"/>
      <w:szCs w:val="24"/>
    </w:rPr>
  </w:style>
  <w:style w:type="character" w:customStyle="1" w:styleId="228">
    <w:name w:val="c2"/>
    <w:uiPriority w:val="0"/>
  </w:style>
  <w:style w:type="character" w:customStyle="1" w:styleId="229">
    <w:name w:val="tit14"/>
    <w:uiPriority w:val="0"/>
    <w:rPr>
      <w:color w:val="B60000"/>
    </w:rPr>
  </w:style>
  <w:style w:type="character" w:customStyle="1" w:styleId="230">
    <w:name w:val="num41"/>
    <w:uiPriority w:val="0"/>
  </w:style>
  <w:style w:type="character" w:customStyle="1" w:styleId="231">
    <w:name w:val="buvis"/>
    <w:uiPriority w:val="0"/>
    <w:rPr>
      <w:color w:val="999999"/>
    </w:rPr>
  </w:style>
  <w:style w:type="character" w:customStyle="1" w:styleId="232">
    <w:name w:val="job"/>
    <w:uiPriority w:val="0"/>
  </w:style>
  <w:style w:type="character" w:customStyle="1" w:styleId="233">
    <w:name w:val=" Char Char8"/>
    <w:uiPriority w:val="0"/>
    <w:rPr>
      <w:rFonts w:ascii="Arial" w:hAnsi="Arial" w:eastAsia="黑体"/>
      <w:b/>
      <w:bCs/>
      <w:kern w:val="2"/>
      <w:sz w:val="32"/>
      <w:szCs w:val="32"/>
      <w:lang w:val="en-US" w:eastAsia="zh-CN" w:bidi="ar-SA"/>
    </w:rPr>
  </w:style>
  <w:style w:type="character" w:customStyle="1" w:styleId="234">
    <w:name w:val="l51"/>
    <w:uiPriority w:val="0"/>
    <w:rPr>
      <w:color w:val="999999"/>
    </w:rPr>
  </w:style>
  <w:style w:type="character" w:customStyle="1" w:styleId="235">
    <w:name w:val="c3"/>
    <w:uiPriority w:val="0"/>
  </w:style>
  <w:style w:type="character" w:customStyle="1" w:styleId="236">
    <w:name w:val="datetime"/>
    <w:uiPriority w:val="0"/>
    <w:rPr>
      <w:rFonts w:hint="default" w:ascii="Arial" w:hAnsi="Arial" w:cs="Arial"/>
      <w:color w:val="999999"/>
      <w:sz w:val="21"/>
      <w:szCs w:val="21"/>
    </w:rPr>
  </w:style>
  <w:style w:type="character" w:customStyle="1" w:styleId="237">
    <w:name w:val=" Char Char3"/>
    <w:uiPriority w:val="0"/>
    <w:rPr>
      <w:rFonts w:ascii="Arial" w:hAnsi="Arial" w:eastAsia="黑体"/>
      <w:b/>
      <w:bCs/>
      <w:kern w:val="2"/>
      <w:sz w:val="32"/>
      <w:szCs w:val="32"/>
      <w:lang w:val="en-US" w:eastAsia="zh-CN" w:bidi="ar-SA"/>
    </w:rPr>
  </w:style>
  <w:style w:type="character" w:customStyle="1" w:styleId="238">
    <w:name w:val="msg-box31"/>
    <w:uiPriority w:val="0"/>
  </w:style>
  <w:style w:type="character" w:customStyle="1" w:styleId="239">
    <w:name w:val="red"/>
    <w:uiPriority w:val="0"/>
    <w:rPr>
      <w:rFonts w:hint="default" w:ascii="Arial" w:hAnsi="Arial" w:cs="Arial"/>
      <w:color w:val="E50000"/>
    </w:rPr>
  </w:style>
  <w:style w:type="character" w:customStyle="1" w:styleId="240">
    <w:name w:val="num61"/>
    <w:uiPriority w:val="0"/>
  </w:style>
  <w:style w:type="character" w:customStyle="1" w:styleId="241">
    <w:name w:val="over"/>
    <w:uiPriority w:val="0"/>
    <w:rPr>
      <w:color w:val="B60000"/>
    </w:rPr>
  </w:style>
  <w:style w:type="character" w:customStyle="1" w:styleId="242">
    <w:name w:val="Char Char2"/>
    <w:uiPriority w:val="0"/>
    <w:rPr>
      <w:rFonts w:eastAsia="宋体"/>
      <w:kern w:val="2"/>
      <w:sz w:val="21"/>
      <w:szCs w:val="24"/>
      <w:lang w:val="en-US" w:eastAsia="zh-CN" w:bidi="ar-SA"/>
    </w:rPr>
  </w:style>
  <w:style w:type="character" w:customStyle="1" w:styleId="243">
    <w:name w:val="img_title8"/>
    <w:uiPriority w:val="0"/>
    <w:rPr>
      <w:vanish/>
    </w:rPr>
  </w:style>
  <w:style w:type="character" w:customStyle="1" w:styleId="244">
    <w:name w:val="tit12"/>
    <w:uiPriority w:val="0"/>
    <w:rPr>
      <w:color w:val="04A06C"/>
    </w:rPr>
  </w:style>
  <w:style w:type="character" w:customStyle="1" w:styleId="245">
    <w:name w:val="tit9"/>
    <w:uiPriority w:val="0"/>
    <w:rPr>
      <w:color w:val="B60000"/>
      <w:sz w:val="27"/>
      <w:szCs w:val="27"/>
      <w:bdr w:val="single" w:color="DFCEB8" w:sz="6" w:space="0"/>
      <w:shd w:val="clear" w:color="auto" w:fill="FFFFFF"/>
    </w:rPr>
  </w:style>
  <w:style w:type="character" w:customStyle="1" w:styleId="246">
    <w:name w:val="zs"/>
    <w:uiPriority w:val="0"/>
    <w:rPr>
      <w:color w:val="8D744B"/>
      <w:sz w:val="18"/>
      <w:szCs w:val="18"/>
    </w:rPr>
  </w:style>
  <w:style w:type="character" w:customStyle="1" w:styleId="247">
    <w:name w:val="num71"/>
    <w:uiPriority w:val="0"/>
  </w:style>
  <w:style w:type="character" w:customStyle="1" w:styleId="248">
    <w:name w:val="l6"/>
    <w:uiPriority w:val="0"/>
    <w:rPr>
      <w:color w:val="999999"/>
    </w:rPr>
  </w:style>
  <w:style w:type="character" w:customStyle="1" w:styleId="249">
    <w:name w:val="starting"/>
    <w:uiPriority w:val="0"/>
    <w:rPr>
      <w:color w:val="339900"/>
    </w:rPr>
  </w:style>
  <w:style w:type="character" w:customStyle="1" w:styleId="250">
    <w:name w:val="starting1"/>
    <w:uiPriority w:val="0"/>
    <w:rPr>
      <w:color w:val="339900"/>
    </w:rPr>
  </w:style>
  <w:style w:type="character" w:customStyle="1" w:styleId="251">
    <w:name w:val="msg-box28"/>
    <w:uiPriority w:val="0"/>
  </w:style>
  <w:style w:type="character" w:customStyle="1" w:styleId="252">
    <w:name w:val="txt"/>
    <w:uiPriority w:val="0"/>
    <w:rPr>
      <w:color w:val="C0C0C0"/>
    </w:rPr>
  </w:style>
  <w:style w:type="character" w:customStyle="1" w:styleId="253">
    <w:name w:val="unit"/>
    <w:uiPriority w:val="0"/>
    <w:rPr>
      <w:color w:val="999999"/>
    </w:rPr>
  </w:style>
  <w:style w:type="character" w:customStyle="1" w:styleId="254">
    <w:name w:val=" Char Char1"/>
    <w:uiPriority w:val="0"/>
    <w:rPr>
      <w:rFonts w:eastAsia="宋体"/>
      <w:kern w:val="2"/>
      <w:sz w:val="21"/>
      <w:szCs w:val="24"/>
      <w:lang w:val="en-US" w:eastAsia="zh-CN" w:bidi="ar-SA"/>
    </w:rPr>
  </w:style>
  <w:style w:type="character" w:customStyle="1" w:styleId="255">
    <w:name w:val="jg"/>
    <w:uiPriority w:val="0"/>
  </w:style>
  <w:style w:type="character" w:customStyle="1" w:styleId="256">
    <w:name w:val="l11"/>
    <w:uiPriority w:val="0"/>
    <w:rPr>
      <w:color w:val="999999"/>
    </w:rPr>
  </w:style>
  <w:style w:type="character" w:customStyle="1" w:styleId="257">
    <w:name w:val="starting3"/>
    <w:uiPriority w:val="0"/>
  </w:style>
  <w:style w:type="character" w:customStyle="1" w:styleId="258">
    <w:name w:val="l3"/>
    <w:uiPriority w:val="0"/>
    <w:rPr>
      <w:color w:val="999999"/>
    </w:rPr>
  </w:style>
  <w:style w:type="character" w:customStyle="1" w:styleId="259">
    <w:name w:val="c1"/>
    <w:uiPriority w:val="0"/>
  </w:style>
  <w:style w:type="character" w:customStyle="1" w:styleId="260">
    <w:name w:val="nostart2"/>
    <w:uiPriority w:val="0"/>
    <w:rPr>
      <w:color w:val="B60000"/>
    </w:rPr>
  </w:style>
  <w:style w:type="character" w:customStyle="1" w:styleId="261">
    <w:name w:val="over1"/>
    <w:uiPriority w:val="0"/>
    <w:rPr>
      <w:color w:val="B60000"/>
    </w:rPr>
  </w:style>
  <w:style w:type="character" w:customStyle="1" w:styleId="262">
    <w:name w:val="num51"/>
    <w:uiPriority w:val="0"/>
  </w:style>
  <w:style w:type="character" w:customStyle="1" w:styleId="263">
    <w:name w:val=" Char Char Char"/>
    <w:uiPriority w:val="0"/>
    <w:rPr>
      <w:rFonts w:eastAsia="宋体"/>
      <w:b/>
      <w:bCs/>
      <w:kern w:val="44"/>
      <w:sz w:val="44"/>
      <w:szCs w:val="44"/>
      <w:lang w:val="en-US" w:eastAsia="zh-CN" w:bidi="ar-SA"/>
    </w:rPr>
  </w:style>
  <w:style w:type="character" w:customStyle="1" w:styleId="264">
    <w:name w:val="img_title7"/>
    <w:uiPriority w:val="0"/>
    <w:rPr>
      <w:vanish/>
    </w:rPr>
  </w:style>
  <w:style w:type="character" w:customStyle="1" w:styleId="265">
    <w:name w:val="over2"/>
    <w:uiPriority w:val="0"/>
    <w:rPr>
      <w:color w:val="999999"/>
    </w:rPr>
  </w:style>
  <w:style w:type="character" w:customStyle="1" w:styleId="266">
    <w:name w:val=" Char Char2"/>
    <w:uiPriority w:val="0"/>
    <w:rPr>
      <w:rFonts w:eastAsia="宋体"/>
      <w:kern w:val="2"/>
      <w:sz w:val="21"/>
      <w:szCs w:val="24"/>
      <w:lang w:val="en-US" w:eastAsia="zh-CN" w:bidi="ar-SA"/>
    </w:rPr>
  </w:style>
  <w:style w:type="character" w:customStyle="1" w:styleId="267">
    <w:name w:val="over3"/>
    <w:uiPriority w:val="0"/>
  </w:style>
  <w:style w:type="character" w:customStyle="1" w:styleId="268">
    <w:name w:val="starting2"/>
    <w:uiPriority w:val="0"/>
    <w:rPr>
      <w:color w:val="B60000"/>
    </w:rPr>
  </w:style>
  <w:style w:type="character" w:customStyle="1" w:styleId="269">
    <w:name w:val="nostart"/>
    <w:uiPriority w:val="0"/>
    <w:rPr>
      <w:color w:val="FF0000"/>
    </w:rPr>
  </w:style>
  <w:style w:type="character" w:customStyle="1" w:styleId="270">
    <w:name w:val="msg-box30"/>
    <w:uiPriority w:val="0"/>
  </w:style>
  <w:style w:type="character" w:customStyle="1" w:styleId="271">
    <w:name w:val="tit13"/>
    <w:uiPriority w:val="0"/>
    <w:rPr>
      <w:color w:val="FFFFFF"/>
    </w:rPr>
  </w:style>
  <w:style w:type="character" w:customStyle="1" w:styleId="272">
    <w:name w:val="starting4"/>
    <w:uiPriority w:val="0"/>
  </w:style>
  <w:style w:type="character" w:customStyle="1" w:styleId="273">
    <w:name w:val="txt1"/>
    <w:uiPriority w:val="0"/>
  </w:style>
  <w:style w:type="character" w:customStyle="1" w:styleId="274">
    <w:name w:val=" Char Char Char Char Char Char"/>
    <w:uiPriority w:val="0"/>
    <w:rPr>
      <w:rFonts w:ascii="Arial" w:hAnsi="Arial" w:eastAsia="黑体"/>
      <w:b/>
      <w:bCs/>
      <w:kern w:val="2"/>
      <w:sz w:val="32"/>
      <w:szCs w:val="32"/>
      <w:lang w:val="en-US" w:eastAsia="zh-CN" w:bidi="ar-SA"/>
    </w:rPr>
  </w:style>
  <w:style w:type="character" w:customStyle="1" w:styleId="275">
    <w:name w:val="标题 2 Char1"/>
    <w:uiPriority w:val="0"/>
    <w:rPr>
      <w:rFonts w:ascii="Arial" w:hAnsi="Arial" w:eastAsia="黑体"/>
      <w:b/>
      <w:bCs/>
      <w:kern w:val="2"/>
      <w:sz w:val="32"/>
      <w:szCs w:val="32"/>
      <w:lang w:val="en-US" w:eastAsia="zh-CN" w:bidi="ar-SA"/>
    </w:rPr>
  </w:style>
  <w:style w:type="character" w:customStyle="1" w:styleId="276">
    <w:name w:val="font161"/>
    <w:uiPriority w:val="0"/>
    <w:rPr>
      <w:b/>
      <w:bCs/>
      <w:sz w:val="32"/>
      <w:szCs w:val="32"/>
    </w:rPr>
  </w:style>
  <w:style w:type="character" w:customStyle="1" w:styleId="277">
    <w:name w:val="name1"/>
    <w:uiPriority w:val="0"/>
    <w:rPr>
      <w:color w:val="695435"/>
      <w:sz w:val="24"/>
      <w:szCs w:val="24"/>
    </w:rPr>
  </w:style>
  <w:style w:type="character" w:customStyle="1" w:styleId="278">
    <w:name w:val="name2"/>
    <w:uiPriority w:val="0"/>
    <w:rPr>
      <w:color w:val="000000"/>
      <w:sz w:val="39"/>
      <w:szCs w:val="39"/>
    </w:rPr>
  </w:style>
  <w:style w:type="character" w:customStyle="1" w:styleId="279">
    <w:name w:val="img_title6"/>
    <w:uiPriority w:val="0"/>
    <w:rPr>
      <w:vanish/>
    </w:rPr>
  </w:style>
  <w:style w:type="character" w:customStyle="1" w:styleId="280">
    <w:name w:val="img_title9"/>
    <w:uiPriority w:val="0"/>
    <w:rPr>
      <w:vanish/>
    </w:rPr>
  </w:style>
  <w:style w:type="character" w:customStyle="1" w:styleId="281">
    <w:name w:val="bigfont"/>
    <w:uiPriority w:val="0"/>
  </w:style>
  <w:style w:type="character" w:customStyle="1" w:styleId="282">
    <w:name w:val="name"/>
    <w:uiPriority w:val="0"/>
    <w:rPr>
      <w:color w:val="444444"/>
      <w:sz w:val="21"/>
      <w:szCs w:val="21"/>
    </w:rPr>
  </w:style>
  <w:style w:type="character" w:customStyle="1" w:styleId="283">
    <w:name w:val="Char Char8"/>
    <w:uiPriority w:val="0"/>
    <w:rPr>
      <w:rFonts w:ascii="Arial" w:hAnsi="Arial" w:eastAsia="黑体"/>
      <w:b/>
      <w:bCs/>
      <w:kern w:val="2"/>
      <w:sz w:val="32"/>
      <w:szCs w:val="32"/>
      <w:lang w:val="en-US" w:eastAsia="zh-CN" w:bidi="ar-SA"/>
    </w:rPr>
  </w:style>
  <w:style w:type="character" w:customStyle="1" w:styleId="284">
    <w:name w:val="zw"/>
    <w:uiPriority w:val="0"/>
    <w:rPr>
      <w:color w:val="BD1E22"/>
      <w:sz w:val="22"/>
      <w:szCs w:val="22"/>
    </w:rPr>
  </w:style>
  <w:style w:type="character" w:customStyle="1" w:styleId="285">
    <w:name w:val="num210"/>
    <w:uiPriority w:val="0"/>
  </w:style>
  <w:style w:type="character" w:customStyle="1" w:styleId="286">
    <w:name w:val="tit11"/>
    <w:uiPriority w:val="0"/>
    <w:rPr>
      <w:color w:val="B60000"/>
    </w:rPr>
  </w:style>
  <w:style w:type="character" w:customStyle="1" w:styleId="287">
    <w:name w:val="num81"/>
    <w:uiPriority w:val="0"/>
  </w:style>
  <w:style w:type="character" w:customStyle="1" w:styleId="288">
    <w:name w:val="纯文本 Char1"/>
    <w:uiPriority w:val="0"/>
    <w:rPr>
      <w:rFonts w:ascii="Courier New" w:hAnsi="Courier New" w:eastAsia="宋体"/>
      <w:kern w:val="2"/>
      <w:sz w:val="21"/>
      <w:lang w:val="en-US" w:eastAsia="zh-CN" w:bidi="ar-SA"/>
    </w:rPr>
  </w:style>
  <w:style w:type="character" w:customStyle="1" w:styleId="289">
    <w:name w:val="mesg-myd"/>
    <w:uiPriority w:val="0"/>
    <w:rPr>
      <w:color w:val="EE0000"/>
    </w:rPr>
  </w:style>
  <w:style w:type="character" w:customStyle="1" w:styleId="290">
    <w:name w:val="msg-box29"/>
    <w:uiPriority w:val="0"/>
  </w:style>
  <w:style w:type="character" w:customStyle="1" w:styleId="291">
    <w:name w:val="bsharetext"/>
    <w:uiPriority w:val="0"/>
  </w:style>
  <w:style w:type="character" w:customStyle="1" w:styleId="292">
    <w:name w:val="tit10"/>
    <w:uiPriority w:val="0"/>
    <w:rPr>
      <w:color w:val="B60000"/>
    </w:rPr>
  </w:style>
  <w:style w:type="character" w:customStyle="1" w:styleId="293">
    <w:name w:val="buvis1"/>
    <w:uiPriority w:val="0"/>
    <w:rPr>
      <w:color w:val="CC0000"/>
    </w:rPr>
  </w:style>
  <w:style w:type="character" w:customStyle="1" w:styleId="294">
    <w:name w:val="nostart3"/>
    <w:uiPriority w:val="0"/>
  </w:style>
  <w:style w:type="character" w:customStyle="1" w:styleId="295">
    <w:name w:val="tit15"/>
    <w:uiPriority w:val="0"/>
    <w:rPr>
      <w:b/>
      <w:color w:val="B60000"/>
    </w:rPr>
  </w:style>
  <w:style w:type="character" w:customStyle="1" w:styleId="296">
    <w:name w:val="textcontents"/>
    <w:uiPriority w:val="0"/>
  </w:style>
  <w:style w:type="character" w:customStyle="1" w:styleId="297">
    <w:name w:val="l21"/>
    <w:uiPriority w:val="0"/>
    <w:rPr>
      <w:color w:val="999999"/>
    </w:rPr>
  </w:style>
  <w:style w:type="character" w:customStyle="1" w:styleId="298">
    <w:name w:val="Char Char7"/>
    <w:uiPriority w:val="0"/>
    <w:rPr>
      <w:rFonts w:ascii="Arial" w:hAnsi="Arial" w:eastAsia="黑体"/>
      <w:b/>
      <w:bCs/>
      <w:kern w:val="2"/>
      <w:sz w:val="32"/>
      <w:szCs w:val="32"/>
      <w:lang w:val="en-US" w:eastAsia="zh-CN" w:bidi="ar-SA"/>
    </w:rPr>
  </w:style>
  <w:style w:type="character" w:customStyle="1" w:styleId="299">
    <w:name w:val="l41"/>
    <w:uiPriority w:val="0"/>
    <w:rPr>
      <w:color w:val="999999"/>
    </w:rPr>
  </w:style>
  <w:style w:type="character" w:customStyle="1" w:styleId="300">
    <w:name w:val="job1"/>
    <w:uiPriority w:val="0"/>
  </w:style>
  <w:style w:type="character" w:customStyle="1" w:styleId="301">
    <w:name w:val="num31"/>
    <w:uiPriority w:val="0"/>
  </w:style>
  <w:style w:type="character" w:customStyle="1" w:styleId="302">
    <w:name w:val=" Char Char7"/>
    <w:uiPriority w:val="0"/>
    <w:rPr>
      <w:rFonts w:ascii="Arial" w:hAnsi="Arial" w:eastAsia="黑体"/>
      <w:b/>
      <w:bCs/>
      <w:kern w:val="2"/>
      <w:sz w:val="32"/>
      <w:szCs w:val="32"/>
      <w:lang w:val="en-US" w:eastAsia="zh-CN" w:bidi="ar-SA"/>
    </w:rPr>
  </w:style>
  <w:style w:type="character" w:customStyle="1" w:styleId="303">
    <w:name w:val="l7"/>
    <w:uiPriority w:val="0"/>
    <w:rPr>
      <w:color w:val="999999"/>
    </w:rPr>
  </w:style>
  <w:style w:type="character" w:customStyle="1" w:styleId="304">
    <w:name w:val="p05"/>
    <w:uiPriority w:val="0"/>
  </w:style>
  <w:style w:type="character" w:customStyle="1" w:styleId="305">
    <w:name w:val="img4"/>
    <w:uiPriority w:val="0"/>
  </w:style>
  <w:style w:type="character" w:customStyle="1" w:styleId="306">
    <w:name w:val="nostart1"/>
    <w:uiPriority w:val="0"/>
    <w:rPr>
      <w:color w:val="FF0000"/>
    </w:rPr>
  </w:style>
  <w:style w:type="character" w:customStyle="1" w:styleId="307">
    <w:name w:val=" Char Char4"/>
    <w:uiPriority w:val="0"/>
    <w:rPr>
      <w:rFonts w:eastAsia="宋体"/>
      <w:b/>
      <w:bCs/>
      <w:kern w:val="44"/>
      <w:sz w:val="44"/>
      <w:szCs w:val="44"/>
      <w:lang w:val="en-US" w:eastAsia="zh-CN" w:bidi="ar-SA"/>
    </w:rPr>
  </w:style>
  <w:style w:type="character" w:customStyle="1" w:styleId="308">
    <w:name w:val="Char Char Char"/>
    <w:uiPriority w:val="0"/>
    <w:rPr>
      <w:rFonts w:ascii="Arial" w:hAnsi="Arial" w:eastAsia="黑体"/>
      <w:b/>
      <w:bCs/>
      <w:kern w:val="2"/>
      <w:sz w:val="32"/>
      <w:szCs w:val="32"/>
      <w:lang w:val="en-US" w:eastAsia="zh-CN" w:bidi="ar-SA"/>
    </w:rPr>
  </w:style>
  <w:style w:type="character" w:customStyle="1" w:styleId="309">
    <w:name w:val=" Char Char5"/>
    <w:uiPriority w:val="0"/>
    <w:rPr>
      <w:rFonts w:ascii="Arial" w:hAnsi="Arial" w:eastAsia="黑体"/>
      <w:b/>
      <w:bCs/>
      <w:kern w:val="2"/>
      <w:sz w:val="32"/>
      <w:szCs w:val="32"/>
    </w:rPr>
  </w:style>
  <w:style w:type="character" w:customStyle="1" w:styleId="310">
    <w:name w:val="Blockquote Char"/>
    <w:link w:val="79"/>
    <w:uiPriority w:val="0"/>
    <w:rPr>
      <w:sz w:val="24"/>
    </w:rPr>
  </w:style>
  <w:style w:type="character" w:customStyle="1" w:styleId="311">
    <w:name w:val="正文2 Char"/>
    <w:link w:val="117"/>
    <w:qFormat/>
    <w:uiPriority w:val="0"/>
    <w:rPr>
      <w:rFonts w:ascii="楷体" w:eastAsia="楷体"/>
      <w:b/>
      <w:color w:val="0000FF"/>
      <w:kern w:val="2"/>
      <w:sz w:val="21"/>
      <w:szCs w:val="22"/>
      <w:lang w:val="en-US" w:eastAsia="zh-CN" w:bidi="ar-SA"/>
    </w:rPr>
  </w:style>
  <w:style w:type="character" w:customStyle="1" w:styleId="312">
    <w:name w:val="标题 9 Char_0"/>
    <w:link w:val="119"/>
    <w:uiPriority w:val="0"/>
    <w:rPr>
      <w:rFonts w:ascii="Arial" w:hAnsi="Arial" w:eastAsia="黑体"/>
      <w:sz w:val="21"/>
      <w:szCs w:val="21"/>
    </w:rPr>
  </w:style>
  <w:style w:type="character" w:customStyle="1" w:styleId="313">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uiPriority w:val="0"/>
    <w:rPr>
      <w:rFonts w:ascii="Cambria" w:hAnsi="Cambria" w:eastAsia="宋体"/>
      <w:kern w:val="2"/>
      <w:sz w:val="21"/>
      <w:szCs w:val="21"/>
    </w:rPr>
  </w:style>
  <w:style w:type="character" w:styleId="314">
    <w:name w:val=""/>
    <w:qFormat/>
    <w:uiPriority w:val="0"/>
    <w:rPr>
      <w:b/>
      <w:bCs/>
      <w:i/>
      <w:iCs/>
      <w:color w:val="4F81BD"/>
    </w:rPr>
  </w:style>
  <w:style w:type="character" w:customStyle="1" w:styleId="315">
    <w:name w:val="left"/>
    <w:uiPriority w:val="0"/>
  </w:style>
  <w:style w:type="character" w:customStyle="1" w:styleId="316">
    <w:name w:val="文档结构图 Char1"/>
    <w:uiPriority w:val="0"/>
    <w:rPr>
      <w:rFonts w:ascii="宋体"/>
      <w:kern w:val="2"/>
      <w:sz w:val="18"/>
      <w:szCs w:val="18"/>
    </w:rPr>
  </w:style>
  <w:style w:type="character" w:customStyle="1" w:styleId="317">
    <w:name w:val="日期 Char1"/>
    <w:uiPriority w:val="0"/>
    <w:rPr>
      <w:kern w:val="2"/>
      <w:sz w:val="21"/>
      <w:szCs w:val="22"/>
    </w:rPr>
  </w:style>
  <w:style w:type="character" w:customStyle="1" w:styleId="318">
    <w:name w:val="引用 Char1"/>
    <w:uiPriority w:val="29"/>
    <w:rPr>
      <w:i/>
      <w:iCs/>
      <w:color w:val="000000"/>
      <w:kern w:val="2"/>
      <w:sz w:val="21"/>
      <w:szCs w:val="24"/>
    </w:rPr>
  </w:style>
  <w:style w:type="character" w:customStyle="1" w:styleId="319">
    <w:name w:val="fontstyle01"/>
    <w:uiPriority w:val="0"/>
    <w:rPr>
      <w:rFonts w:ascii="仿宋" w:hAnsi="仿宋" w:eastAsia="仿宋" w:cs="仿宋"/>
      <w:color w:val="000000"/>
      <w:sz w:val="22"/>
      <w:szCs w:val="22"/>
    </w:rPr>
  </w:style>
  <w:style w:type="character" w:customStyle="1" w:styleId="320">
    <w:name w:val="ask-title2"/>
    <w:uiPriority w:val="0"/>
  </w:style>
  <w:style w:type="character" w:customStyle="1" w:styleId="321">
    <w:name w:val="批注文字 Char Char"/>
    <w:uiPriority w:val="0"/>
    <w:rPr>
      <w:rFonts w:ascii="宋体" w:hAnsi="Times New Roman" w:eastAsia="宋体" w:cs="Times New Roman"/>
      <w:sz w:val="28"/>
      <w:szCs w:val="20"/>
    </w:rPr>
  </w:style>
  <w:style w:type="character" w:customStyle="1" w:styleId="322">
    <w:name w:val="tit"/>
    <w:uiPriority w:val="0"/>
    <w:rPr>
      <w:b/>
      <w:bCs/>
      <w:color w:val="333333"/>
      <w:sz w:val="24"/>
      <w:szCs w:val="24"/>
    </w:rPr>
  </w:style>
  <w:style w:type="character" w:customStyle="1" w:styleId="323">
    <w:name w:val="批注框文本 Char2"/>
    <w:semiHidden/>
    <w:uiPriority w:val="99"/>
    <w:rPr>
      <w:kern w:val="2"/>
      <w:sz w:val="18"/>
      <w:szCs w:val="18"/>
    </w:rPr>
  </w:style>
  <w:style w:type="character" w:customStyle="1" w:styleId="324">
    <w:name w:val="tit1"/>
    <w:uiPriority w:val="0"/>
    <w:rPr>
      <w:b/>
      <w:bCs/>
    </w:rPr>
  </w:style>
  <w:style w:type="character" w:customStyle="1" w:styleId="325">
    <w:name w:val="正文文本 Char1"/>
    <w:uiPriority w:val="0"/>
    <w:rPr>
      <w:kern w:val="2"/>
      <w:sz w:val="21"/>
      <w:szCs w:val="22"/>
    </w:rPr>
  </w:style>
  <w:style w:type="character" w:customStyle="1" w:styleId="326">
    <w:name w:val="页眉 Char1"/>
    <w:semiHidden/>
    <w:uiPriority w:val="99"/>
    <w:rPr>
      <w:kern w:val="2"/>
      <w:sz w:val="18"/>
      <w:szCs w:val="18"/>
    </w:rPr>
  </w:style>
  <w:style w:type="character" w:customStyle="1" w:styleId="327">
    <w:name w:val="文档结构图 Char2"/>
    <w:semiHidden/>
    <w:uiPriority w:val="99"/>
    <w:rPr>
      <w:rFonts w:ascii="宋体"/>
      <w:kern w:val="2"/>
      <w:sz w:val="18"/>
      <w:szCs w:val="18"/>
    </w:rPr>
  </w:style>
  <w:style w:type="character" w:customStyle="1" w:styleId="328">
    <w:name w:val="正文文本 (2) + 间距 0 pt5"/>
    <w:qFormat/>
    <w:uiPriority w:val="99"/>
    <w:rPr>
      <w:rFonts w:ascii="MingLiU" w:eastAsia="MingLiU" w:cs="MingLiU"/>
      <w:spacing w:val="0"/>
      <w:sz w:val="22"/>
      <w:shd w:val="clear" w:color="auto" w:fill="FFFFFF"/>
    </w:rPr>
  </w:style>
  <w:style w:type="character" w:customStyle="1" w:styleId="329">
    <w:name w:val="批注主题 Char1"/>
    <w:uiPriority w:val="0"/>
    <w:rPr>
      <w:b/>
      <w:bCs/>
      <w:kern w:val="2"/>
      <w:sz w:val="21"/>
      <w:szCs w:val="24"/>
    </w:rPr>
  </w:style>
  <w:style w:type="character" w:styleId="330">
    <w:name w:val=""/>
    <w:qFormat/>
    <w:uiPriority w:val="0"/>
    <w:rPr>
      <w:i/>
      <w:iCs/>
      <w:color w:val="808080"/>
    </w:rPr>
  </w:style>
  <w:style w:type="character" w:customStyle="1" w:styleId="331">
    <w:name w:val="明显引用 Char"/>
    <w:link w:val="121"/>
    <w:uiPriority w:val="0"/>
    <w:rPr>
      <w:b/>
      <w:bCs/>
      <w:i/>
      <w:iCs/>
      <w:color w:val="4F81BD"/>
      <w:kern w:val="2"/>
      <w:sz w:val="21"/>
      <w:szCs w:val="22"/>
    </w:rPr>
  </w:style>
  <w:style w:type="character" w:customStyle="1" w:styleId="332">
    <w:name w:val="明显引用 Char1"/>
    <w:uiPriority w:val="30"/>
    <w:rPr>
      <w:b/>
      <w:bCs/>
      <w:i/>
      <w:iCs/>
      <w:color w:val="4F81BD"/>
      <w:kern w:val="2"/>
      <w:sz w:val="21"/>
      <w:szCs w:val="24"/>
    </w:rPr>
  </w:style>
  <w:style w:type="character" w:customStyle="1" w:styleId="333">
    <w:name w:val="页脚 Char1"/>
    <w:semiHidden/>
    <w:uiPriority w:val="99"/>
    <w:rPr>
      <w:kern w:val="2"/>
      <w:sz w:val="18"/>
      <w:szCs w:val="18"/>
    </w:rPr>
  </w:style>
  <w:style w:type="character" w:customStyle="1" w:styleId="334">
    <w:name w:val="fontstrikethrough"/>
    <w:uiPriority w:val="0"/>
    <w:rPr>
      <w:strike/>
    </w:rPr>
  </w:style>
  <w:style w:type="character" w:customStyle="1" w:styleId="335">
    <w:name w:val="left2"/>
    <w:uiPriority w:val="0"/>
  </w:style>
  <w:style w:type="character" w:customStyle="1" w:styleId="336">
    <w:name w:val="标题 6 Char_0"/>
    <w:link w:val="122"/>
    <w:uiPriority w:val="0"/>
    <w:rPr>
      <w:rFonts w:ascii="Arial" w:hAnsi="Arial" w:eastAsia="黑体"/>
      <w:b/>
      <w:bCs/>
      <w:sz w:val="24"/>
      <w:szCs w:val="24"/>
    </w:rPr>
  </w:style>
  <w:style w:type="character" w:customStyle="1" w:styleId="33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338">
    <w:name w:val="Blockquote Char_0_1"/>
    <w:link w:val="123"/>
    <w:locked/>
    <w:uiPriority w:val="0"/>
    <w:rPr>
      <w:sz w:val="24"/>
    </w:rPr>
  </w:style>
  <w:style w:type="character" w:customStyle="1" w:styleId="339">
    <w:name w:val="标题 4 Char_0"/>
    <w:link w:val="125"/>
    <w:uiPriority w:val="0"/>
    <w:rPr>
      <w:rFonts w:ascii="Arial" w:hAnsi="Arial" w:eastAsia="黑体"/>
      <w:sz w:val="28"/>
    </w:rPr>
  </w:style>
  <w:style w:type="character" w:customStyle="1" w:styleId="340">
    <w:name w:val="标题 2 Char_0"/>
    <w:link w:val="126"/>
    <w:uiPriority w:val="0"/>
    <w:rPr>
      <w:rFonts w:ascii="黑体" w:hAnsi="宋体" w:eastAsia="黑体"/>
      <w:b/>
      <w:smallCaps/>
      <w:snapToGrid/>
      <w:sz w:val="36"/>
      <w:szCs w:val="24"/>
    </w:rPr>
  </w:style>
  <w:style w:type="character" w:customStyle="1" w:styleId="341">
    <w:name w:val="标题 1 Char1"/>
    <w:aliases w:val="1 Char1,1. Char1,123321 Char1,1st level Char1,H1 Char1,H11 Char1,H111 Char1,H12 Char1,H13 Char1,H14 Char1,H15 Char1,H16 Char1,H17 Char1,Heading 0 Char1,PIM 1 Char1,Section Head Char1,ch Char1,h1 Char1,l1 Char1,标题 1_ylm Char1,章节标题 Char1"/>
    <w:uiPriority w:val="0"/>
    <w:rPr>
      <w:rFonts w:ascii="Calibri" w:hAnsi="Calibri" w:eastAsia="宋体"/>
      <w:b/>
      <w:kern w:val="44"/>
      <w:sz w:val="44"/>
      <w:szCs w:val="44"/>
    </w:rPr>
  </w:style>
  <w:style w:type="character" w:customStyle="1" w:styleId="342">
    <w:name w:val="纯文本 Char1_0"/>
    <w:link w:val="129"/>
    <w:uiPriority w:val="0"/>
    <w:rPr>
      <w:rFonts w:ascii="宋体" w:hAnsi="Courier New"/>
      <w:kern w:val="2"/>
      <w:sz w:val="21"/>
      <w:szCs w:val="21"/>
    </w:rPr>
  </w:style>
  <w:style w:type="character" w:customStyle="1" w:styleId="343">
    <w:name w:val="标题 1 Char_0"/>
    <w:link w:val="131"/>
    <w:uiPriority w:val="0"/>
    <w:rPr>
      <w:rFonts w:ascii="黑体" w:eastAsia="黑体"/>
      <w:sz w:val="52"/>
    </w:rPr>
  </w:style>
  <w:style w:type="character" w:customStyle="1" w:styleId="344">
    <w:name w:val=" Char Char"/>
    <w:uiPriority w:val="0"/>
    <w:rPr>
      <w:rFonts w:ascii="宋体" w:hAnsi="Courier New" w:eastAsia="宋体" w:cs="Courier New"/>
      <w:kern w:val="2"/>
      <w:sz w:val="21"/>
      <w:szCs w:val="21"/>
      <w:lang w:val="en-US" w:eastAsia="zh-CN" w:bidi="ar-SA"/>
    </w:rPr>
  </w:style>
  <w:style w:type="character" w:customStyle="1" w:styleId="345">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uiPriority w:val="0"/>
    <w:rPr>
      <w:rFonts w:ascii="Cambria" w:hAnsi="Cambria" w:eastAsia="宋体"/>
      <w:b/>
      <w:kern w:val="2"/>
      <w:sz w:val="24"/>
      <w:szCs w:val="24"/>
    </w:rPr>
  </w:style>
  <w:style w:type="character" w:customStyle="1" w:styleId="346">
    <w:name w:val="标题 7 Char_0"/>
    <w:link w:val="132"/>
    <w:uiPriority w:val="0"/>
    <w:rPr>
      <w:b/>
      <w:bCs/>
      <w:sz w:val="24"/>
      <w:szCs w:val="24"/>
    </w:rPr>
  </w:style>
  <w:style w:type="character" w:customStyle="1" w:styleId="347">
    <w:name w:val="正文文本 Char_0"/>
    <w:link w:val="133"/>
    <w:uiPriority w:val="0"/>
    <w:rPr>
      <w:kern w:val="2"/>
      <w:sz w:val="21"/>
      <w:szCs w:val="24"/>
    </w:rPr>
  </w:style>
  <w:style w:type="character" w:customStyle="1" w:styleId="348">
    <w:name w:val="标题 Char1"/>
    <w:uiPriority w:val="10"/>
    <w:rPr>
      <w:rFonts w:ascii="Cambria" w:hAnsi="Cambria" w:cs="Times New Roman"/>
      <w:b/>
      <w:bCs/>
      <w:kern w:val="2"/>
      <w:sz w:val="32"/>
      <w:szCs w:val="32"/>
    </w:rPr>
  </w:style>
  <w:style w:type="character" w:customStyle="1" w:styleId="349">
    <w:name w:val="正文文本 Char2"/>
    <w:semiHidden/>
    <w:uiPriority w:val="99"/>
    <w:rPr>
      <w:kern w:val="2"/>
      <w:sz w:val="21"/>
      <w:szCs w:val="22"/>
    </w:rPr>
  </w:style>
  <w:style w:type="character" w:customStyle="1" w:styleId="350">
    <w:name w:val="t_tag"/>
    <w:uiPriority w:val="0"/>
  </w:style>
  <w:style w:type="character" w:customStyle="1" w:styleId="351">
    <w:name w:val="副标题 Char1"/>
    <w:uiPriority w:val="11"/>
    <w:rPr>
      <w:rFonts w:ascii="Cambria" w:hAnsi="Cambria" w:cs="Times New Roman"/>
      <w:b/>
      <w:bCs/>
      <w:kern w:val="28"/>
      <w:sz w:val="32"/>
      <w:szCs w:val="32"/>
    </w:rPr>
  </w:style>
  <w:style w:type="character" w:customStyle="1" w:styleId="352">
    <w:name w:val="日期 Char2"/>
    <w:semiHidden/>
    <w:uiPriority w:val="99"/>
    <w:rPr>
      <w:kern w:val="2"/>
      <w:sz w:val="21"/>
      <w:szCs w:val="22"/>
    </w:rPr>
  </w:style>
  <w:style w:type="character" w:customStyle="1" w:styleId="353">
    <w:name w:val="标题4 Char Char"/>
    <w:link w:val="134"/>
    <w:uiPriority w:val="0"/>
    <w:rPr>
      <w:rFonts w:ascii="Arial" w:hAnsi="Arial"/>
      <w:b/>
      <w:bCs/>
      <w:sz w:val="24"/>
      <w:szCs w:val="32"/>
    </w:rPr>
  </w:style>
  <w:style w:type="character" w:customStyle="1" w:styleId="354">
    <w:name w:val="标题 5 Char1"/>
    <w:aliases w:val="5 Char1,H5 Char1,PIM 5 Char1,Second Subheading Char1,dash Char1,dash1 Char1,dash2 Char1,dash3 Char1,dash4 Char1,dd Char1,dd1 Char1,dd2 Char1,dd3 Char1,ds Char1,ds1 Char1,ds2 Char1,ds3 Char1,ds4 Char1,h5 Char1,l4 Char1,口 Char1,第四层条 Char1"/>
    <w:semiHidden/>
    <w:uiPriority w:val="0"/>
    <w:rPr>
      <w:rFonts w:ascii="Calibri" w:hAnsi="Calibri" w:eastAsia="宋体"/>
      <w:b/>
      <w:kern w:val="2"/>
      <w:sz w:val="28"/>
      <w:szCs w:val="28"/>
    </w:rPr>
  </w:style>
  <w:style w:type="character" w:customStyle="1" w:styleId="355">
    <w:name w:val="标题 4 Char1"/>
    <w:aliases w:val="H4 Char1,Ref Heading 1 Char1,Ref Heading 11 Char1,Ref Heading 111 Char1,Ref Heading 12 Char1,rh1 Char1,rh11 Char1,rh111 Char1,rh12 Char1,rh13 Char,sect 1.2.3.4 Char1,sect 1.2.3.41 Char1,sect 1.2.3.411 Char1,sect 1.2.3.42 Char1,标题 4_ylm Char1"/>
    <w:semiHidden/>
    <w:uiPriority w:val="0"/>
    <w:rPr>
      <w:rFonts w:ascii="Cambria" w:hAnsi="Cambria" w:eastAsia="宋体"/>
      <w:b/>
      <w:kern w:val="2"/>
      <w:sz w:val="28"/>
      <w:szCs w:val="28"/>
    </w:rPr>
  </w:style>
  <w:style w:type="character" w:customStyle="1" w:styleId="356">
    <w:name w:val="标题 8 Char1"/>
    <w:aliases w:val="Legal Level 1.1.1. Char1,h8 Char1,不用8 Char1,图名 Char1,标题6 Char1,注意框体 Char1,第七层条 Char1"/>
    <w:semiHidden/>
    <w:uiPriority w:val="0"/>
    <w:rPr>
      <w:rFonts w:ascii="Cambria" w:hAnsi="Cambria" w:eastAsia="宋体"/>
      <w:kern w:val="2"/>
      <w:sz w:val="24"/>
      <w:szCs w:val="24"/>
    </w:rPr>
  </w:style>
  <w:style w:type="character" w:customStyle="1" w:styleId="357">
    <w:name w:val="Texte Char1"/>
    <w:link w:val="135"/>
    <w:uiPriority w:val="99"/>
    <w:rPr>
      <w:rFonts w:ascii="宋体" w:hAnsi="Courier New"/>
      <w:kern w:val="2"/>
      <w:sz w:val="21"/>
      <w:szCs w:val="21"/>
      <w:lang/>
    </w:rPr>
  </w:style>
  <w:style w:type="character" w:customStyle="1" w:styleId="358">
    <w:name w:val="纯文本 Char1_1"/>
    <w:link w:val="136"/>
    <w:uiPriority w:val="0"/>
    <w:rPr>
      <w:rFonts w:ascii="宋体" w:hAnsi="Courier New"/>
      <w:kern w:val="2"/>
      <w:sz w:val="21"/>
      <w:szCs w:val="21"/>
    </w:rPr>
  </w:style>
  <w:style w:type="character" w:styleId="359">
    <w:name w:val=""/>
    <w:qFormat/>
    <w:uiPriority w:val="0"/>
    <w:rPr>
      <w:b/>
      <w:bCs/>
      <w:smallCaps/>
      <w:spacing w:val="5"/>
    </w:rPr>
  </w:style>
  <w:style w:type="character" w:customStyle="1" w:styleId="360">
    <w:name w:val="tdrownotice1"/>
    <w:uiPriority w:val="0"/>
    <w:rPr>
      <w:sz w:val="22"/>
    </w:rPr>
  </w:style>
  <w:style w:type="character" w:customStyle="1" w:styleId="361">
    <w:name w:val="正文文本 (2)_"/>
    <w:link w:val="137"/>
    <w:qFormat/>
    <w:locked/>
    <w:uiPriority w:val="99"/>
    <w:rPr>
      <w:rFonts w:ascii="MingLiU" w:eastAsia="MingLiU" w:cs="MingLiU"/>
      <w:spacing w:val="20"/>
      <w:sz w:val="22"/>
      <w:shd w:val="clear" w:color="auto" w:fill="FFFFFF"/>
    </w:rPr>
  </w:style>
  <w:style w:type="character" w:customStyle="1" w:styleId="362">
    <w:name w:val="批注框文本 Char1"/>
    <w:uiPriority w:val="0"/>
    <w:rPr>
      <w:kern w:val="2"/>
      <w:sz w:val="18"/>
      <w:szCs w:val="18"/>
    </w:rPr>
  </w:style>
  <w:style w:type="character" w:customStyle="1" w:styleId="363">
    <w:name w:val="批注文字 Char1"/>
    <w:uiPriority w:val="99"/>
    <w:rPr>
      <w:kern w:val="2"/>
      <w:sz w:val="21"/>
      <w:szCs w:val="24"/>
    </w:rPr>
  </w:style>
  <w:style w:type="character" w:customStyle="1" w:styleId="364">
    <w:name w:val="批注主题 Char2"/>
    <w:semiHidden/>
    <w:uiPriority w:val="99"/>
    <w:rPr>
      <w:b/>
      <w:bCs/>
      <w:kern w:val="2"/>
      <w:sz w:val="21"/>
      <w:szCs w:val="22"/>
    </w:rPr>
  </w:style>
  <w:style w:type="character" w:customStyle="1" w:styleId="365">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Pr>
      <w:rFonts w:ascii="宋体" w:hAnsi="Courier New" w:eastAsia="宋体" w:cs="Courier New"/>
      <w:szCs w:val="21"/>
    </w:rPr>
  </w:style>
  <w:style w:type="character" w:customStyle="1" w:styleId="366">
    <w:name w:val="标题 3 Char1"/>
    <w:aliases w:val="(A-3) Char1,3 Char1,3rd level Char1,BOD 0 Char1,CT Char1,Fab-3 Char1,H3 Char1,Heading 3 - old Char1,Heading 3 Char Char,Level 3 Char1,Level 3 Head Char1,PIM 3 Char1,h3 Char1,l3 Char1,level_3 Char1,sect1.2.3 Char1,一 Char1,标题 3_ylm Char1"/>
    <w:semiHidden/>
    <w:uiPriority w:val="0"/>
    <w:rPr>
      <w:rFonts w:ascii="Calibri" w:hAnsi="Calibri" w:eastAsia="宋体"/>
      <w:b/>
      <w:kern w:val="2"/>
      <w:sz w:val="32"/>
    </w:rPr>
  </w:style>
  <w:style w:type="character" w:customStyle="1" w:styleId="367">
    <w:name w:val="标题 7 Char1"/>
    <w:aliases w:val="H TIMES1 Char1,L7 Char1,Legal Level 1.1. Char1,Level 1.1 Char1,PIM 7 Char1,SDL title Char1,h7 Char1,letter list Char1,st Char1,不用 Char1,第六层条 Char1,表名 Char1"/>
    <w:semiHidden/>
    <w:uiPriority w:val="0"/>
    <w:rPr>
      <w:rFonts w:ascii="Calibri" w:hAnsi="Calibri" w:eastAsia="宋体"/>
      <w:b/>
      <w:kern w:val="2"/>
      <w:sz w:val="24"/>
      <w:szCs w:val="24"/>
    </w:rPr>
  </w:style>
  <w:style w:type="character" w:customStyle="1" w:styleId="368">
    <w:name w:val="标题 8 Char_0"/>
    <w:link w:val="138"/>
    <w:uiPriority w:val="0"/>
    <w:rPr>
      <w:rFonts w:ascii="Arial" w:hAnsi="Arial" w:eastAsia="黑体"/>
      <w:sz w:val="24"/>
      <w:szCs w:val="24"/>
    </w:rPr>
  </w:style>
  <w:style w:type="character" w:customStyle="1" w:styleId="369">
    <w:name w:val="标题 3 Char_0"/>
    <w:link w:val="139"/>
    <w:uiPriority w:val="0"/>
    <w:rPr>
      <w:b/>
      <w:sz w:val="32"/>
    </w:rPr>
  </w:style>
  <w:style w:type="character" w:customStyle="1" w:styleId="370">
    <w:name w:val="Blockquote Char_0"/>
    <w:link w:val="141"/>
    <w:locked/>
    <w:uiPriority w:val="0"/>
    <w:rPr>
      <w:sz w:val="24"/>
    </w:rPr>
  </w:style>
  <w:style w:type="character" w:customStyle="1" w:styleId="371">
    <w:name w:val="脚注文本 Char_0"/>
    <w:link w:val="142"/>
    <w:uiPriority w:val="0"/>
    <w:rPr>
      <w:sz w:val="18"/>
    </w:rPr>
  </w:style>
  <w:style w:type="character" w:customStyle="1" w:styleId="372">
    <w:name w:val="标题5 Char Char"/>
    <w:link w:val="144"/>
    <w:uiPriority w:val="0"/>
    <w:rPr>
      <w:rFonts w:ascii="Arial" w:hAnsi="Arial"/>
      <w:b/>
      <w:bCs/>
      <w:sz w:val="24"/>
      <w:szCs w:val="32"/>
    </w:rPr>
  </w:style>
  <w:style w:type="character" w:customStyle="1" w:styleId="373">
    <w:name w:val="引用 Char"/>
    <w:link w:val="145"/>
    <w:uiPriority w:val="0"/>
    <w:rPr>
      <w:i/>
      <w:iCs/>
      <w:color w:val="000000"/>
      <w:kern w:val="2"/>
      <w:sz w:val="21"/>
      <w:szCs w:val="22"/>
    </w:rPr>
  </w:style>
  <w:style w:type="character" w:customStyle="1" w:styleId="374">
    <w:name w:val="引用 Char2"/>
    <w:uiPriority w:val="99"/>
    <w:rPr>
      <w:i/>
      <w:iCs/>
      <w:color w:val="000000"/>
      <w:kern w:val="2"/>
      <w:sz w:val="21"/>
      <w:szCs w:val="24"/>
    </w:rPr>
  </w:style>
  <w:style w:type="character" w:styleId="375">
    <w:name w:val=""/>
    <w:qFormat/>
    <w:uiPriority w:val="0"/>
    <w:rPr>
      <w:b/>
      <w:bCs/>
      <w:smallCaps/>
      <w:color w:val="C0504D"/>
      <w:spacing w:val="5"/>
      <w:u w:val="single"/>
    </w:rPr>
  </w:style>
  <w:style w:type="character" w:styleId="376">
    <w:name w:val=""/>
    <w:qFormat/>
    <w:uiPriority w:val="0"/>
    <w:rPr>
      <w:smallCaps/>
      <w:color w:val="C0504D"/>
      <w:u w:val="single"/>
    </w:rPr>
  </w:style>
  <w:style w:type="character" w:customStyle="1" w:styleId="377">
    <w:name w:val="tit2"/>
    <w:uiPriority w:val="0"/>
  </w:style>
  <w:style w:type="character" w:customStyle="1" w:styleId="378">
    <w:name w:val="msg-box10"/>
    <w:uiPriority w:val="0"/>
  </w:style>
  <w:style w:type="character" w:customStyle="1" w:styleId="379">
    <w:name w:val="msg-box11"/>
    <w:uiPriority w:val="0"/>
  </w:style>
  <w:style w:type="character" w:customStyle="1" w:styleId="380">
    <w:name w:val="fontborder"/>
    <w:uiPriority w:val="0"/>
    <w:rPr>
      <w:bdr w:val="single" w:color="000000" w:sz="6" w:space="0"/>
    </w:rPr>
  </w:style>
  <w:style w:type="character" w:customStyle="1" w:styleId="381">
    <w:name w:val="jxz"/>
    <w:uiPriority w:val="0"/>
    <w:rPr>
      <w:shd w:val="clear" w:color="auto" w:fill="71A0D3"/>
    </w:rPr>
  </w:style>
  <w:style w:type="character" w:customStyle="1" w:styleId="382">
    <w:name w:val="share"/>
    <w:uiPriority w:val="0"/>
  </w:style>
  <w:style w:type="character" w:customStyle="1" w:styleId="383">
    <w:name w:val="wx-space"/>
    <w:uiPriority w:val="0"/>
  </w:style>
  <w:style w:type="character" w:customStyle="1" w:styleId="384">
    <w:name w:val="hover20"/>
    <w:uiPriority w:val="0"/>
    <w:rPr>
      <w:color w:val="000000"/>
      <w:shd w:val="clear" w:color="auto" w:fill="FFFFFF"/>
    </w:rPr>
  </w:style>
  <w:style w:type="character" w:customStyle="1" w:styleId="385">
    <w:name w:val="margin_right20"/>
    <w:uiPriority w:val="0"/>
  </w:style>
  <w:style w:type="character" w:customStyle="1" w:styleId="386">
    <w:name w:val="active2"/>
    <w:uiPriority w:val="0"/>
    <w:rPr>
      <w:color w:val="FFFFFF"/>
      <w:shd w:val="clear" w:color="auto" w:fill="E22323"/>
    </w:rPr>
  </w:style>
  <w:style w:type="character" w:customStyle="1" w:styleId="387">
    <w:name w:val="hover4"/>
    <w:uiPriority w:val="0"/>
    <w:rPr>
      <w:color w:val="0063BA"/>
    </w:rPr>
  </w:style>
  <w:style w:type="character" w:customStyle="1" w:styleId="388">
    <w:name w:val="before"/>
    <w:uiPriority w:val="0"/>
    <w:rPr>
      <w:shd w:val="clear" w:color="auto" w:fill="E22323"/>
    </w:rPr>
  </w:style>
  <w:style w:type="character" w:customStyle="1" w:styleId="389">
    <w:name w:val="badge"/>
    <w:uiPriority w:val="0"/>
    <w:rPr>
      <w:shd w:val="clear" w:color="auto" w:fill="FFFFFF"/>
    </w:rPr>
  </w:style>
  <w:style w:type="character" w:customStyle="1" w:styleId="390">
    <w:name w:val="badge1"/>
    <w:uiPriority w:val="0"/>
    <w:rPr>
      <w:color w:val="909090"/>
      <w:sz w:val="18"/>
      <w:szCs w:val="18"/>
    </w:rPr>
  </w:style>
  <w:style w:type="character" w:customStyle="1" w:styleId="391">
    <w:name w:val="badge2"/>
    <w:uiPriority w:val="0"/>
    <w:rPr>
      <w:color w:val="128BED"/>
    </w:rPr>
  </w:style>
  <w:style w:type="character" w:customStyle="1" w:styleId="392">
    <w:name w:val="badge3"/>
    <w:uiPriority w:val="0"/>
    <w:rPr>
      <w:shd w:val="clear" w:color="auto" w:fill="FFFFFF"/>
    </w:rPr>
  </w:style>
  <w:style w:type="character" w:customStyle="1" w:styleId="393">
    <w:name w:val="badge4"/>
    <w:uiPriority w:val="0"/>
    <w:rPr>
      <w:color w:val="909090"/>
      <w:sz w:val="18"/>
      <w:szCs w:val="18"/>
    </w:rPr>
  </w:style>
  <w:style w:type="character" w:customStyle="1" w:styleId="394">
    <w:name w:val="badge5"/>
    <w:uiPriority w:val="0"/>
    <w:rPr>
      <w:color w:val="128BED"/>
    </w:rPr>
  </w:style>
  <w:style w:type="character" w:customStyle="1" w:styleId="395">
    <w:name w:val="badge6"/>
    <w:uiPriority w:val="0"/>
    <w:rPr>
      <w:color w:val="128BED"/>
    </w:rPr>
  </w:style>
  <w:style w:type="character" w:customStyle="1" w:styleId="396">
    <w:name w:val="after"/>
    <w:uiPriority w:val="0"/>
    <w:rPr>
      <w:shd w:val="clear" w:color="auto" w:fill="FFFFFF"/>
    </w:rPr>
  </w:style>
  <w:style w:type="character" w:customStyle="1" w:styleId="397">
    <w:name w:val="nc-lang-cnt"/>
    <w:uiPriority w:val="0"/>
    <w:rPr>
      <w:rFonts w:hint="cs"/>
      <w:rtl/>
      <w:cs/>
    </w:rPr>
  </w:style>
  <w:style w:type="character" w:customStyle="1" w:styleId="398">
    <w:name w:val="nc-lang-cnt1"/>
    <w:uiPriority w:val="0"/>
  </w:style>
  <w:style w:type="character" w:customStyle="1" w:styleId="399">
    <w:name w:val="nc-lang-cnt2"/>
    <w:uiPriority w:val="0"/>
    <w:rPr>
      <w:rFonts w:hint="cs"/>
      <w:rtl/>
      <w:cs/>
    </w:rPr>
  </w:style>
  <w:style w:type="character" w:customStyle="1" w:styleId="400">
    <w:name w:val="nc-lang-cnt3"/>
    <w:uiPriority w:val="0"/>
  </w:style>
  <w:style w:type="character" w:customStyle="1" w:styleId="401">
    <w:name w:val="nc-lang-cnt4"/>
    <w:uiPriority w:val="0"/>
  </w:style>
  <w:style w:type="character" w:customStyle="1" w:styleId="402">
    <w:name w:val="nc-lang-cnt5"/>
    <w:uiPriority w:val="0"/>
    <w:rPr>
      <w:rFonts w:hint="cs"/>
      <w:rtl/>
      <w:cs/>
    </w:rPr>
  </w:style>
  <w:style w:type="character" w:customStyle="1" w:styleId="403">
    <w:name w:val="nc-lang-cnt6"/>
    <w:uiPriority w:val="0"/>
    <w:rPr>
      <w:rFonts w:hint="cs"/>
      <w:rtl/>
      <w:cs/>
    </w:rPr>
  </w:style>
  <w:style w:type="character" w:customStyle="1" w:styleId="404">
    <w:name w:val="edit"/>
    <w:uiPriority w:val="0"/>
  </w:style>
  <w:style w:type="character" w:customStyle="1" w:styleId="405">
    <w:name w:val="delete"/>
    <w:uiPriority w:val="0"/>
  </w:style>
  <w:style w:type="character" w:customStyle="1" w:styleId="406">
    <w:name w:val="des14"/>
    <w:uiPriority w:val="0"/>
    <w:rPr>
      <w:color w:val="333333"/>
    </w:rPr>
  </w:style>
  <w:style w:type="character" w:customStyle="1" w:styleId="407">
    <w:name w:val="nth-child(2)"/>
    <w:uiPriority w:val="0"/>
  </w:style>
  <w:style w:type="character" w:customStyle="1" w:styleId="408">
    <w:name w:val="fc2"/>
    <w:uiPriority w:val="0"/>
    <w:rPr>
      <w:color w:val="FFFFFF"/>
    </w:rPr>
  </w:style>
  <w:style w:type="character" w:customStyle="1" w:styleId="409">
    <w:name w:val="first-child"/>
    <w:uiPriority w:val="0"/>
  </w:style>
  <w:style w:type="character" w:customStyle="1" w:styleId="410">
    <w:name w:val="layui-layer-tabnow"/>
    <w:uiPriority w:val="0"/>
    <w:rPr>
      <w:bdr w:val="single" w:color="CCCCCC" w:sz="6" w:space="0"/>
      <w:shd w:val="clear" w:color="auto" w:fill="FFFFFF"/>
    </w:rPr>
  </w:style>
  <w:style w:type="character" w:customStyle="1" w:styleId="411">
    <w:name w:val="index-module_accountauthentication_3bwix"/>
    <w:uiPriority w:val="0"/>
  </w:style>
  <w:style w:type="character" w:customStyle="1" w:styleId="412">
    <w:name w:val="spr"/>
    <w:uiPriority w:val="0"/>
  </w:style>
  <w:style w:type="character" w:customStyle="1" w:styleId="413">
    <w:name w:val="spl"/>
    <w:uiPriority w:val="0"/>
  </w:style>
  <w:style w:type="character" w:customStyle="1" w:styleId="414">
    <w:name w:val="tit4"/>
    <w:uiPriority w:val="0"/>
    <w:rPr>
      <w:b/>
      <w:bCs/>
      <w:color w:val="333333"/>
      <w:sz w:val="24"/>
      <w:szCs w:val="24"/>
    </w:rPr>
  </w:style>
  <w:style w:type="character" w:customStyle="1" w:styleId="415">
    <w:name w:val="tit5"/>
    <w:uiPriority w:val="0"/>
    <w:rPr>
      <w:b/>
      <w:bCs/>
    </w:rPr>
  </w:style>
  <w:style w:type="character" w:customStyle="1" w:styleId="416">
    <w:name w:val="tit6"/>
    <w:uiPriority w:val="0"/>
  </w:style>
  <w:style w:type="character" w:customStyle="1" w:styleId="417">
    <w:name w:val="layui-this"/>
    <w:basedOn w:val="57"/>
    <w:uiPriority w:val="0"/>
    <w:rPr>
      <w:bdr w:val="single" w:color="EEEEEE" w:sz="6" w:space="0"/>
      <w:shd w:val="clear" w:color="auto" w:fill="FFFFFF"/>
    </w:rPr>
  </w:style>
  <w:style w:type="character" w:customStyle="1" w:styleId="418">
    <w:name w:val="first-child1"/>
    <w:basedOn w:val="57"/>
    <w:uiPriority w:val="0"/>
  </w:style>
  <w:style w:type="character" w:customStyle="1" w:styleId="419">
    <w:name w:val="hover1"/>
    <w:basedOn w:val="57"/>
    <w:uiPriority w:val="0"/>
    <w:rPr>
      <w:color w:val="2590EB"/>
    </w:rPr>
  </w:style>
  <w:style w:type="character" w:customStyle="1" w:styleId="420">
    <w:name w:val="hover2"/>
    <w:basedOn w:val="57"/>
    <w:uiPriority w:val="0"/>
    <w:rPr>
      <w:color w:val="2590EB"/>
    </w:rPr>
  </w:style>
  <w:style w:type="character" w:customStyle="1" w:styleId="421">
    <w:name w:val="hover3"/>
    <w:basedOn w:val="57"/>
    <w:uiPriority w:val="0"/>
  </w:style>
  <w:style w:type="character" w:customStyle="1" w:styleId="422">
    <w:name w:val="mini-outputtext1"/>
    <w:basedOn w:val="57"/>
    <w:uiPriority w:val="0"/>
  </w:style>
  <w:style w:type="character" w:customStyle="1" w:styleId="423">
    <w:name w:val="hover"/>
    <w:basedOn w:val="57"/>
    <w:uiPriority w:val="0"/>
  </w:style>
  <w:style w:type="character" w:customStyle="1" w:styleId="424">
    <w:name w:val="font31"/>
    <w:basedOn w:val="57"/>
    <w:uiPriority w:val="0"/>
    <w:rPr>
      <w:rFonts w:hint="eastAsia" w:ascii="宋体" w:hAnsi="宋体" w:eastAsia="宋体" w:cs="宋体"/>
      <w:color w:val="000000"/>
      <w:sz w:val="22"/>
      <w:szCs w:val="22"/>
      <w:u w:val="none"/>
    </w:rPr>
  </w:style>
  <w:style w:type="character" w:customStyle="1" w:styleId="425">
    <w:name w:val="font11"/>
    <w:basedOn w:val="57"/>
    <w:uiPriority w:val="0"/>
    <w:rPr>
      <w:rFonts w:hint="eastAsia" w:ascii="宋体" w:hAnsi="宋体" w:eastAsia="宋体" w:cs="宋体"/>
      <w:color w:val="000000"/>
      <w:sz w:val="21"/>
      <w:szCs w:val="21"/>
      <w:u w:val="none"/>
    </w:rPr>
  </w:style>
  <w:style w:type="character" w:customStyle="1" w:styleId="426">
    <w:name w:val="font21"/>
    <w:basedOn w:val="57"/>
    <w:uiPriority w:val="0"/>
    <w:rPr>
      <w:rFonts w:hint="eastAsia" w:ascii="宋体" w:hAnsi="宋体" w:eastAsia="宋体" w:cs="宋体"/>
      <w:color w:val="FF0000"/>
      <w:sz w:val="21"/>
      <w:szCs w:val="21"/>
      <w:u w:val="none"/>
    </w:rPr>
  </w:style>
  <w:style w:type="table" w:customStyle="1" w:styleId="427">
    <w:name w:val="网格型1"/>
    <w:basedOn w:val="73"/>
    <w:uiPriority w:val="59"/>
    <w:tblPr>
      <w:tblStyle w:val="7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428">
    <w:name w:val="Table Normal"/>
    <w:unhideWhenUsed/>
    <w:qFormat/>
    <w:uiPriority w:val="0"/>
    <w:tblPr>
      <w:tblStyle w:val="73"/>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11019</Words>
  <Characters>11762</Characters>
  <Lines>830</Lines>
  <Paragraphs>233</Paragraphs>
  <TotalTime>0</TotalTime>
  <ScaleCrop>false</ScaleCrop>
  <LinksUpToDate>false</LinksUpToDate>
  <CharactersWithSpaces>12069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2023-04-06T07:35:00Z</dcterms:created>
  <dc:creator>dengxiaochun</dc:creator>
  <cp:lastModifiedBy>admin</cp:lastModifiedBy>
  <cp:lastPrinted>2024-02-02T03:01:18Z</cp:lastPrinted>
  <dcterms:modified xsi:type="dcterms:W3CDTF">2024-11-21T09:13:23Z</dcterms:modified>
  <dc:title>标准交易文件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DCD7BB5386B046C4BCD4A908382ADA73_13</vt:lpwstr>
  </property>
</Properties>
</file>