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bidi="ar"/>
        </w:rPr>
        <w:t>滁州市第一人民医院超微量分光光度计采购项目</w:t>
      </w:r>
    </w:p>
    <w:p w14:paraId="78C20378">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CZYY-2024-18</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bidi="ar"/>
        </w:rPr>
        <w:t>1</w:t>
      </w:r>
      <w:r>
        <w:rPr>
          <w:rFonts w:hint="eastAsia" w:ascii="宋体" w:hAnsi="宋体" w:eastAsia="宋体" w:cs="宋体"/>
          <w:b/>
          <w:sz w:val="36"/>
          <w:szCs w:val="36"/>
          <w:u w:val="single"/>
          <w:lang w:val="en-US" w:eastAsia="zh-CN" w:bidi="ar"/>
        </w:rPr>
        <w:t>2</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55</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1CA031A7">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bidi="ar"/>
        </w:rPr>
        <w:t>滁州市第一人民医院超微量分光光度计采购项目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024</w:t>
      </w:r>
      <w:r>
        <w:rPr>
          <w:rFonts w:hint="eastAsia" w:ascii="宋体" w:hAnsi="宋体" w:eastAsia="宋体" w:cs="宋体"/>
          <w:bCs/>
          <w:color w:val="000000" w:themeColor="text1"/>
          <w:sz w:val="24"/>
          <w:szCs w:val="24"/>
          <w:u w:val="single"/>
          <w:lang w:bidi="ar"/>
          <w14:textFill>
            <w14:solidFill>
              <w14:schemeClr w14:val="tx1"/>
            </w14:solidFill>
          </w14:textFill>
        </w:rPr>
        <w:t>年1</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79"/>
      <w:bookmarkEnd w:id="4"/>
      <w:bookmarkStart w:id="5" w:name="_Toc35393790"/>
      <w:bookmarkEnd w:id="5"/>
      <w:bookmarkStart w:id="6" w:name="_Toc28359002"/>
      <w:bookmarkEnd w:id="6"/>
      <w:bookmarkStart w:id="7" w:name="_Toc58430305"/>
      <w:bookmarkEnd w:id="7"/>
      <w:bookmarkStart w:id="8" w:name="_Toc35393621"/>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项目编号：CZYY-2024-18</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项目名称：滁州市第一人民医院超微量分光光度计采购项目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预算金额：150000元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最高限价：150000元，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科教科实验室为满足工作需要，采购超微量分光光度计用以进行准确可重复的核酸、蛋白定量。</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28359003"/>
      <w:bookmarkEnd w:id="10"/>
      <w:bookmarkStart w:id="11" w:name="_Toc35393791"/>
      <w:bookmarkEnd w:id="11"/>
      <w:bookmarkStart w:id="12" w:name="_Toc58430306"/>
      <w:bookmarkEnd w:id="12"/>
      <w:bookmarkStart w:id="13" w:name="_Toc35393622"/>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2024年1</w:t>
      </w:r>
      <w:r>
        <w:rPr>
          <w:rFonts w:hint="eastAsia" w:ascii="宋体" w:hAnsi="宋体" w:eastAsia="宋体" w:cs="宋体"/>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18</w:t>
      </w:r>
      <w:r>
        <w:rPr>
          <w:rFonts w:hint="eastAsia" w:ascii="宋体" w:hAnsi="宋体" w:eastAsia="宋体" w:cs="宋体"/>
          <w:color w:val="000000" w:themeColor="text1"/>
          <w:sz w:val="24"/>
          <w:szCs w:val="24"/>
          <w:u w:val="single"/>
          <w:lang w:bidi="ar"/>
          <w14:textFill>
            <w14:solidFill>
              <w14:schemeClr w14:val="tx1"/>
            </w14:solidFill>
          </w14:textFill>
        </w:rPr>
        <w:t>日至2024年1</w:t>
      </w:r>
      <w:r>
        <w:rPr>
          <w:rFonts w:hint="eastAsia" w:ascii="宋体" w:hAnsi="宋体" w:eastAsia="宋体" w:cs="宋体"/>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24</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82"/>
      <w:bookmarkEnd w:id="20"/>
      <w:bookmarkStart w:id="21" w:name="_Toc28359005"/>
      <w:bookmarkEnd w:id="21"/>
      <w:bookmarkStart w:id="22" w:name="_Toc35393624"/>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2024年1</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794"/>
      <w:bookmarkEnd w:id="25"/>
      <w:bookmarkStart w:id="26" w:name="_Toc58430309"/>
      <w:bookmarkEnd w:id="26"/>
      <w:bookmarkStart w:id="27" w:name="_Toc35393625"/>
      <w:bookmarkEnd w:id="27"/>
      <w:bookmarkStart w:id="28" w:name="_Toc28359007"/>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2024</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14:textFill>
                  <w14:solidFill>
                    <w14:schemeClr w14:val="tx1"/>
                  </w14:solidFill>
                </w14:textFill>
              </w:rPr>
              <w:t>1</w:t>
            </w:r>
            <w:r>
              <w:rPr>
                <w:rFonts w:hint="eastAsia" w:ascii="宋体" w:hAnsi="宋体" w:eastAsia="宋体"/>
                <w:b w:val="0"/>
                <w:color w:val="000000" w:themeColor="text1"/>
                <w:sz w:val="24"/>
                <w:u w:val="single"/>
                <w:lang w:val="en-US" w:eastAsia="zh-CN"/>
                <w14:textFill>
                  <w14:solidFill>
                    <w14:schemeClr w14:val="tx1"/>
                  </w14:solidFill>
                </w14:textFill>
              </w:rPr>
              <w:t>2</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lang w:val="en-US" w:eastAsia="zh-CN"/>
                <w14:textFill>
                  <w14:solidFill>
                    <w14:schemeClr w14:val="tx1"/>
                  </w14:solidFill>
                </w14:textFill>
              </w:rPr>
              <w:t>22</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24</w:t>
            </w:r>
            <w:bookmarkStart w:id="84" w:name="_GoBack"/>
            <w:bookmarkEnd w:id="84"/>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1125元</w:t>
            </w:r>
            <w:r>
              <w:rPr>
                <w:rFonts w:hint="eastAsia" w:ascii="宋体" w:hAnsi="宋体" w:eastAsia="宋体" w:cs="宋体"/>
                <w:color w:val="000000"/>
                <w:sz w:val="24"/>
                <w:szCs w:val="24"/>
                <w:u w:val="single"/>
              </w:rPr>
              <w:t>（评审费另计，以实际发生为准）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518923101"/>
      <w:bookmarkStart w:id="43" w:name="_Toc2583662"/>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32151"/>
      <w:bookmarkStart w:id="46" w:name="_Toc2554"/>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55CEF40F">
            <w:pPr>
              <w:pStyle w:val="3"/>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kern w:val="0"/>
                <w:sz w:val="24"/>
                <w:szCs w:val="28"/>
              </w:rPr>
              <w:t>合同签订、货物到场后付至合同价款的40%，安装调试并正常使用后付至合同价款的90%，货物经采购人验收合格后付至合同价款的100%。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不高于30个日历天</w:t>
            </w:r>
            <w:r>
              <w:rPr>
                <w:rFonts w:hint="eastAsia" w:ascii="宋体" w:hAnsi="宋体" w:eastAsia="宋体"/>
                <w:bCs/>
                <w:kern w:val="0"/>
                <w:sz w:val="24"/>
                <w:szCs w:val="28"/>
              </w:rPr>
              <w:t>。</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7421"/>
            <w:bookmarkStart w:id="48" w:name="_Toc4843"/>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20"/>
        <w:gridCol w:w="3432"/>
        <w:gridCol w:w="1394"/>
        <w:gridCol w:w="917"/>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7"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超微量分光光度计</w:t>
            </w:r>
          </w:p>
        </w:tc>
        <w:tc>
          <w:tcPr>
            <w:tcW w:w="2107"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eastAsia" w:ascii="宋体" w:hAnsi="宋体" w:eastAsia="宋体" w:cs="宋体"/>
                <w:bCs/>
                <w:sz w:val="24"/>
                <w:szCs w:val="24"/>
              </w:rPr>
            </w:pPr>
            <w:r>
              <w:rPr>
                <w:rFonts w:hint="eastAsia" w:ascii="宋体" w:hAnsi="宋体" w:eastAsia="宋体" w:cs="宋体"/>
                <w:sz w:val="24"/>
                <w:szCs w:val="24"/>
              </w:rPr>
              <w:t>1套</w:t>
            </w:r>
          </w:p>
        </w:tc>
        <w:tc>
          <w:tcPr>
            <w:tcW w:w="563" w:type="pct"/>
            <w:vAlign w:val="center"/>
          </w:tcPr>
          <w:p w14:paraId="110B29A1">
            <w:pPr>
              <w:spacing w:line="360" w:lineRule="auto"/>
              <w:jc w:val="center"/>
              <w:rPr>
                <w:rFonts w:hint="eastAsia" w:ascii="宋体" w:hAnsi="宋体" w:eastAsia="宋体" w:cs="宋体"/>
                <w:bCs/>
                <w:sz w:val="24"/>
                <w:szCs w:val="24"/>
              </w:rPr>
            </w:pP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w:t>
      </w:r>
      <w:r>
        <w:rPr>
          <w:rFonts w:hint="eastAsia" w:ascii="宋体" w:hAnsi="宋体" w:eastAsia="宋体" w:cs="宋体"/>
          <w:b/>
          <w:bCs/>
          <w:sz w:val="24"/>
          <w:szCs w:val="24"/>
        </w:rPr>
        <w:t>、</w:t>
      </w:r>
      <w:r>
        <w:rPr>
          <w:rFonts w:hint="eastAsia" w:ascii="宋体" w:hAnsi="宋体" w:eastAsia="宋体"/>
          <w:b/>
          <w:bCs/>
          <w:sz w:val="24"/>
          <w:szCs w:val="18"/>
        </w:rPr>
        <w:t>技术参数要求</w:t>
      </w:r>
    </w:p>
    <w:p w14:paraId="7069965E">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▲1、检测浓度范围：检测下限（基座）≤2ng/ul（dsDNA），检测上限（基座）≥27,500ng/ul（dsDNA）；</w:t>
      </w:r>
    </w:p>
    <w:p w14:paraId="43883485">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2、波长范围：≥190－850nm，可进行连续波长全光谱分析；</w:t>
      </w:r>
    </w:p>
    <w:p w14:paraId="2DC59B86">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3、光吸收范围：基座≥0－550A（10mm光路径）；</w:t>
      </w:r>
    </w:p>
    <w:p w14:paraId="1C7E36C7">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▲4、光程：至少包含0.03,0.05,0.1,0.2,1mm 5个光程，根据样品浓度进行自动匹配最佳光程，无需手工设置；</w:t>
      </w:r>
    </w:p>
    <w:p w14:paraId="2541E37D">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5、检测重复性：≤0.002A(1.0mm光程) 或1%CV；</w:t>
      </w:r>
    </w:p>
    <w:p w14:paraId="5D6388AC">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6、最小样品体积（基座）≤1ul；</w:t>
      </w:r>
    </w:p>
    <w:p w14:paraId="27A8DA71">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7、OD600检测时，输入系数，可直接将OD600值转换成cells/ml；</w:t>
      </w:r>
    </w:p>
    <w:p w14:paraId="5F8C394E">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★8、具备智能样本检测技术，检测dsDNA时可进行≥4种（需包含蛋白、苯酚、胍盐、盐酸胍）污染物鉴定和结果校正；（提供仪器软件截图证明，如非中文界面，提供中文翻译）</w:t>
      </w:r>
    </w:p>
    <w:p w14:paraId="5BEC7EB3">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9、仪器操作：不小于7英寸彩色触摸屏，触摸屏可调整角度；</w:t>
      </w:r>
    </w:p>
    <w:p w14:paraId="38F6B7A6">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10、软件功能：可分析和管理从仪器中导出的结果（需包括：核酸模块、蛋白模块、OD600模块、自定义模块等）；</w:t>
      </w:r>
    </w:p>
    <w:p w14:paraId="55BBFEFE">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11、仪器内置传感器，具有摄像头，检测前对样品上样液柱进行数码成像，保证检测的准确性；</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供应商报价文件中的单价和总价全部采用人民币表示。供应商的报价应含有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19FBE05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4.供应商报价的价格是完成项目全部内容（包括后期的相关服务）交付的价格，其总价即为履行合同的固定总价。</w:t>
      </w:r>
    </w:p>
    <w:p w14:paraId="2046D4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585808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4401D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66EDC9FB">
      <w:pPr>
        <w:spacing w:line="540" w:lineRule="exact"/>
        <w:ind w:firstLine="480" w:firstLineChars="200"/>
        <w:rPr>
          <w:rFonts w:hint="eastAsia" w:ascii="宋体" w:hAnsi="宋体" w:eastAsia="宋体" w:cs="宋体"/>
          <w:sz w:val="24"/>
          <w:szCs w:val="24"/>
        </w:rPr>
      </w:pPr>
    </w:p>
    <w:p w14:paraId="4B6A986C">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6560"/>
      <w:bookmarkStart w:id="53" w:name="_Toc22115"/>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7343"/>
      <w:bookmarkStart w:id="55" w:name="_Toc2853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3"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3"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3"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3" w:type="pct"/>
            <w:vAlign w:val="center"/>
          </w:tcPr>
          <w:p w14:paraId="14C1D489">
            <w:pPr>
              <w:wordWrap w:val="0"/>
              <w:spacing w:line="360" w:lineRule="auto"/>
              <w:jc w:val="left"/>
              <w:rPr>
                <w:rFonts w:hint="eastAsia"/>
              </w:rPr>
            </w:pPr>
            <w:r>
              <w:rPr>
                <w:rFonts w:hint="eastAsia" w:ascii="宋体" w:hAnsi="宋体" w:eastAsia="宋体" w:cs="宋体"/>
                <w:sz w:val="24"/>
                <w:szCs w:val="24"/>
              </w:rPr>
              <w:t>投标人提供诚信投标承诺书，由采购人或采购代理机构查询。</w:t>
            </w:r>
          </w:p>
        </w:tc>
      </w:tr>
      <w:tr w14:paraId="1AD6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6B53006">
            <w:pPr>
              <w:adjustRightInd w:val="0"/>
              <w:snapToGrid w:val="0"/>
              <w:spacing w:line="360" w:lineRule="auto"/>
              <w:ind w:right="-10"/>
              <w:jc w:val="center"/>
              <w:rPr>
                <w:rFonts w:hint="eastAsia" w:ascii="宋体" w:hAnsi="宋体" w:eastAsia="宋体"/>
                <w:sz w:val="24"/>
              </w:rPr>
            </w:pPr>
            <w:bookmarkStart w:id="56" w:name="_Hlk16461707"/>
            <w:r>
              <w:rPr>
                <w:rFonts w:hint="eastAsia" w:ascii="宋体" w:hAnsi="宋体" w:eastAsia="宋体"/>
                <w:sz w:val="24"/>
              </w:rPr>
              <w:t>4</w:t>
            </w:r>
          </w:p>
        </w:tc>
        <w:tc>
          <w:tcPr>
            <w:tcW w:w="942" w:type="pct"/>
            <w:tcBorders>
              <w:bottom w:val="single" w:color="auto" w:sz="4" w:space="0"/>
            </w:tcBorders>
            <w:vAlign w:val="center"/>
          </w:tcPr>
          <w:p w14:paraId="200043A7">
            <w:pPr>
              <w:spacing w:after="50" w:line="360" w:lineRule="auto"/>
              <w:ind w:right="-10"/>
              <w:jc w:val="center"/>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600" w:type="pct"/>
            <w:tcBorders>
              <w:bottom w:val="single" w:color="auto" w:sz="4" w:space="0"/>
            </w:tcBorders>
          </w:tcPr>
          <w:p w14:paraId="45301FA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23C3106">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提供证书材料复印件加盖公章</w:t>
            </w:r>
          </w:p>
          <w:p w14:paraId="3A3192B7">
            <w:pPr>
              <w:spacing w:after="50" w:line="360" w:lineRule="auto"/>
              <w:ind w:right="-10"/>
              <w:jc w:val="center"/>
              <w:rPr>
                <w:rFonts w:hint="eastAsia" w:ascii="宋体" w:hAnsi="宋体" w:eastAsia="宋体"/>
                <w:sz w:val="24"/>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所投机型超微量分光光度计供货业绩</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，，得4分，本条最高得8分。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0-8分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本项目产品技术参数共11项，</w:t>
            </w:r>
          </w:p>
          <w:p w14:paraId="47EEE023">
            <w:pPr>
              <w:rPr>
                <w:rFonts w:hint="eastAsia" w:ascii="宋体" w:hAnsi="宋体" w:eastAsia="宋体" w:cs="宋体"/>
                <w:sz w:val="24"/>
                <w:szCs w:val="24"/>
                <w:lang w:bidi="zh-CN"/>
              </w:rPr>
            </w:pPr>
            <w:r>
              <w:rPr>
                <w:rFonts w:hint="eastAsia" w:ascii="宋体" w:hAnsi="宋体" w:eastAsia="宋体" w:cs="宋体"/>
                <w:sz w:val="24"/>
                <w:szCs w:val="24"/>
                <w:lang w:bidi="zh-CN"/>
              </w:rPr>
              <w:t>①标注“★”符号的参数条款为本项目的关键性技术指标，共计1个，必须满足，不满足的按无效标处理；</w:t>
            </w:r>
          </w:p>
          <w:p w14:paraId="32197B54">
            <w:pPr>
              <w:rPr>
                <w:rFonts w:hint="eastAsia" w:ascii="宋体" w:hAnsi="宋体" w:eastAsia="宋体" w:cs="宋体"/>
                <w:sz w:val="24"/>
                <w:szCs w:val="24"/>
                <w:lang w:bidi="zh-CN"/>
              </w:rPr>
            </w:pPr>
            <w:r>
              <w:rPr>
                <w:rFonts w:hint="eastAsia" w:ascii="宋体" w:hAnsi="宋体" w:eastAsia="宋体" w:cs="宋体"/>
                <w:sz w:val="24"/>
                <w:szCs w:val="24"/>
                <w:lang w:bidi="zh-CN"/>
              </w:rPr>
              <w:t>②标注“▲”符号</w:t>
            </w:r>
            <w:r>
              <w:rPr>
                <w:rFonts w:hint="eastAsia" w:ascii="宋体" w:hAnsi="宋体" w:eastAsia="宋体" w:cs="宋体"/>
                <w:sz w:val="24"/>
                <w:szCs w:val="24"/>
                <w:lang w:val="en-US" w:bidi="zh-CN"/>
              </w:rPr>
              <w:t>的技术</w:t>
            </w:r>
            <w:r>
              <w:rPr>
                <w:rFonts w:hint="eastAsia" w:ascii="宋体" w:hAnsi="宋体" w:eastAsia="宋体" w:cs="宋体"/>
                <w:sz w:val="24"/>
                <w:szCs w:val="24"/>
                <w:lang w:bidi="zh-CN"/>
              </w:rPr>
              <w:t>参数</w:t>
            </w:r>
            <w:r>
              <w:rPr>
                <w:rFonts w:hint="eastAsia" w:ascii="宋体" w:hAnsi="宋体" w:eastAsia="宋体" w:cs="宋体"/>
                <w:sz w:val="24"/>
                <w:szCs w:val="24"/>
                <w:lang w:val="en-US" w:bidi="zh-CN"/>
              </w:rPr>
              <w:t>条款</w:t>
            </w:r>
            <w:r>
              <w:rPr>
                <w:rFonts w:hint="eastAsia" w:ascii="宋体" w:hAnsi="宋体" w:eastAsia="宋体" w:cs="宋体"/>
                <w:sz w:val="24"/>
                <w:szCs w:val="24"/>
                <w:lang w:bidi="zh-CN"/>
              </w:rPr>
              <w:t>，共2项，每有一项满足或优于招标要求的得6分，满分12分；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③未标注“★”和“▲”符号的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参数条款，共8项，每有一项满足或优于招标要求的得4分，满分32分；</w:t>
            </w:r>
          </w:p>
          <w:p w14:paraId="62FCDE21">
            <w:pPr>
              <w:rPr>
                <w:rFonts w:hint="eastAsia" w:ascii="宋体" w:hAnsi="宋体" w:eastAsia="宋体" w:cs="宋体"/>
                <w:color w:val="auto"/>
                <w:sz w:val="24"/>
                <w:szCs w:val="24"/>
                <w:highlight w:val="none"/>
                <w:lang w:val="en-US"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color w:val="auto"/>
                <w:sz w:val="24"/>
                <w:szCs w:val="24"/>
                <w:highlight w:val="none"/>
                <w:lang w:val="en-US" w:bidi="ar-SA"/>
              </w:rPr>
              <w:t>标注“★”、“▲”项的技术参数指标</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bidi="ar-SA"/>
              </w:rPr>
              <w:t>投标人必须提供与产品技术参数条款相对应的有效“证明材料”（下同）予以支持，有效“证明材料”包括但不限于与之相关的证明文件或产品技术说明文件或印刷资料或技术白皮书或产品检验（测）报告或注册证明文件等，且证明材料必须为中文文本，若存在非中文时，须同时提供中文翻译文本；</w:t>
            </w:r>
          </w:p>
          <w:p w14:paraId="46AA1A21">
            <w:pPr>
              <w:rPr>
                <w:rFonts w:hint="eastAsia"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color w:val="auto"/>
                <w:sz w:val="24"/>
                <w:szCs w:val="24"/>
                <w:highlight w:val="none"/>
                <w:lang w:val="en-US" w:eastAsia="zh-CN" w:bidi="ar-SA"/>
              </w:rPr>
              <w:t>非“★”、“▲”项的技术参数指标，无需提供证明材料，但“</w:t>
            </w:r>
            <w:r>
              <w:rPr>
                <w:rFonts w:hint="eastAsia" w:ascii="宋体" w:hAnsi="宋体" w:eastAsia="宋体" w:cs="宋体"/>
                <w:b/>
                <w:sz w:val="24"/>
                <w:szCs w:val="24"/>
                <w:lang w:bidi="ar"/>
              </w:rPr>
              <w:t>技术响应表</w:t>
            </w:r>
            <w:r>
              <w:rPr>
                <w:rFonts w:hint="eastAsia" w:ascii="宋体" w:hAnsi="宋体" w:eastAsia="宋体" w:cs="宋体"/>
                <w:b/>
                <w:sz w:val="24"/>
                <w:szCs w:val="24"/>
                <w:lang w:eastAsia="zh-CN" w:bidi="ar"/>
              </w:rPr>
              <w:t>”</w:t>
            </w:r>
            <w:r>
              <w:rPr>
                <w:rFonts w:hint="eastAsia" w:ascii="宋体" w:hAnsi="宋体" w:eastAsia="宋体" w:cs="宋体"/>
                <w:color w:val="auto"/>
                <w:sz w:val="24"/>
                <w:szCs w:val="24"/>
                <w:highlight w:val="none"/>
                <w:lang w:val="en-US" w:eastAsia="zh-CN" w:bidi="ar-SA"/>
              </w:rPr>
              <w:t>需明确是否响应，未明确是否响应视为不响应，投标人需审慎填写，验收时将复核参数。</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0-44分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投标人须提供免费质保承诺，免费质保期至少为叁年，满足要求的不得分。在叁年的基础上，承诺每延长1年加5分（不足1年不加分），本项最高得10分。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0-10分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3D76E448">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5206B56">
            <w:pPr>
              <w:rPr>
                <w:rFonts w:hint="eastAsia" w:ascii="宋体" w:hAnsi="宋体" w:eastAsia="宋体" w:cs="宋体"/>
                <w:sz w:val="24"/>
                <w:szCs w:val="24"/>
                <w:lang w:bidi="zh-CN"/>
              </w:rPr>
            </w:pPr>
            <w:r>
              <w:rPr>
                <w:rFonts w:hint="eastAsia" w:ascii="宋体" w:hAnsi="宋体" w:eastAsia="宋体" w:cs="宋体"/>
                <w:sz w:val="24"/>
                <w:szCs w:val="24"/>
                <w:lang w:bidi="zh-CN"/>
              </w:rPr>
              <w:t>1、方案内容包括保修内容与范围、维修响应时间、售后服务等，方案完善可行性强，科学合理，完全满足项目采购需求的得8分；</w:t>
            </w:r>
          </w:p>
          <w:p w14:paraId="17C2792B">
            <w:pPr>
              <w:rPr>
                <w:rFonts w:hint="eastAsia" w:ascii="宋体" w:hAnsi="宋体" w:eastAsia="宋体" w:cs="宋体"/>
                <w:sz w:val="24"/>
                <w:szCs w:val="24"/>
                <w:lang w:bidi="zh-CN"/>
              </w:rPr>
            </w:pPr>
            <w:r>
              <w:rPr>
                <w:rFonts w:hint="eastAsia" w:ascii="宋体" w:hAnsi="宋体" w:eastAsia="宋体" w:cs="宋体"/>
                <w:sz w:val="24"/>
                <w:szCs w:val="24"/>
                <w:lang w:bidi="zh-CN"/>
              </w:rPr>
              <w:t>2、方案内容包括保修内容与范围、维修响应时间、售后服务等，方案完善可行性较强，无明显逻辑错误，无关键点缺失的得7分；</w:t>
            </w:r>
          </w:p>
          <w:p w14:paraId="1AAF1F92">
            <w:pPr>
              <w:rPr>
                <w:rFonts w:hint="eastAsia" w:ascii="宋体" w:hAnsi="宋体" w:eastAsia="宋体" w:cs="宋体"/>
                <w:sz w:val="24"/>
                <w:szCs w:val="24"/>
                <w:lang w:bidi="zh-CN"/>
              </w:rPr>
            </w:pPr>
            <w:r>
              <w:rPr>
                <w:rFonts w:hint="eastAsia" w:ascii="宋体" w:hAnsi="宋体" w:eastAsia="宋体" w:cs="宋体"/>
                <w:sz w:val="24"/>
                <w:szCs w:val="24"/>
                <w:lang w:bidi="zh-CN"/>
              </w:rPr>
              <w:t>3、方案内容包括保修内容与范围、维修响应时间、售后服务等，方案内容缺失，且出现非专门针对本项目特性内容的得6分；</w:t>
            </w:r>
          </w:p>
          <w:p w14:paraId="4B5AD950">
            <w:pPr>
              <w:rPr>
                <w:rFonts w:hint="eastAsia" w:ascii="宋体" w:hAnsi="宋体" w:eastAsia="宋体" w:cs="宋体"/>
                <w:sz w:val="24"/>
                <w:szCs w:val="24"/>
                <w:lang w:bidi="zh-CN"/>
              </w:rPr>
            </w:pPr>
            <w:r>
              <w:rPr>
                <w:rFonts w:hint="eastAsia" w:ascii="宋体" w:hAnsi="宋体" w:eastAsia="宋体" w:cs="宋体"/>
                <w:sz w:val="24"/>
                <w:szCs w:val="24"/>
                <w:lang w:bidi="zh-CN"/>
              </w:rPr>
              <w:t>4、方案不能满足项目实施要求或未提供相关内容的不得分。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4C80CAE7">
      <w:pPr>
        <w:widowControl/>
        <w:jc w:val="center"/>
        <w:rPr>
          <w:rFonts w:hint="eastAsia" w:asciiTheme="minorEastAsia" w:hAnsiTheme="minorEastAsia" w:eastAsiaTheme="minorEastAsia"/>
          <w:b/>
          <w:sz w:val="28"/>
        </w:rPr>
      </w:pPr>
    </w:p>
    <w:p w14:paraId="4ADDD26F">
      <w:pPr>
        <w:widowControl/>
        <w:jc w:val="center"/>
        <w:rPr>
          <w:rFonts w:hint="eastAsia" w:asciiTheme="minorEastAsia" w:hAnsiTheme="minorEastAsia" w:eastAsiaTheme="minorEastAsia"/>
          <w:b/>
          <w:sz w:val="28"/>
        </w:rPr>
      </w:pPr>
    </w:p>
    <w:p w14:paraId="70A9B730">
      <w:pPr>
        <w:widowControl/>
        <w:jc w:val="center"/>
        <w:rPr>
          <w:rFonts w:hint="eastAsia" w:asciiTheme="minorEastAsia" w:hAnsiTheme="minorEastAsia" w:eastAsiaTheme="minorEastAsia"/>
          <w:b/>
          <w:sz w:val="28"/>
        </w:rPr>
      </w:pPr>
    </w:p>
    <w:p w14:paraId="5DFFEFA5">
      <w:pPr>
        <w:widowControl/>
        <w:jc w:val="both"/>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1E4BCF50">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滁州市第一人民医院超微量分光光度计采购项目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 xml:space="preserve">CZYY-2024-18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04695B8B">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28960"/>
      <w:bookmarkStart w:id="63" w:name="_Toc5555"/>
    </w:p>
    <w:p w14:paraId="62B78268">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21"/>
        <w:gridCol w:w="2624"/>
        <w:gridCol w:w="693"/>
        <w:gridCol w:w="664"/>
        <w:gridCol w:w="939"/>
        <w:gridCol w:w="939"/>
        <w:gridCol w:w="677"/>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rPr>
                <w:rFonts w:hint="eastAsia" w:ascii="宋体" w:hAnsi="宋体" w:eastAsia="宋体"/>
                <w:sz w:val="24"/>
                <w:szCs w:val="24"/>
              </w:rPr>
            </w:pPr>
            <w:r>
              <w:rPr>
                <w:rFonts w:hint="eastAsia" w:ascii="宋体" w:hAnsi="宋体" w:eastAsia="宋体" w:cs="宋体"/>
                <w:sz w:val="24"/>
                <w:szCs w:val="24"/>
                <w:lang w:bidi="ar"/>
              </w:rPr>
              <w:t>超微量分光光度计</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rPr>
                <w:rFonts w:hint="eastAsia" w:ascii="宋体" w:hAnsi="宋体" w:eastAsia="宋体"/>
                <w:sz w:val="24"/>
                <w:szCs w:val="24"/>
              </w:rPr>
            </w:pPr>
            <w:r>
              <w:rPr>
                <w:rFonts w:hint="eastAsia" w:ascii="宋体" w:hAnsi="宋体" w:eastAsia="宋体"/>
                <w:sz w:val="24"/>
                <w:szCs w:val="24"/>
              </w:rPr>
              <w:t>1</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rPr>
                <w:rFonts w:hint="eastAsia" w:ascii="宋体" w:hAnsi="宋体" w:eastAsia="宋体"/>
                <w:sz w:val="24"/>
                <w:szCs w:val="24"/>
              </w:rPr>
            </w:pPr>
            <w:r>
              <w:rPr>
                <w:rFonts w:hint="eastAsia" w:ascii="宋体" w:hAnsi="宋体" w:eastAsia="宋体"/>
                <w:sz w:val="24"/>
                <w:szCs w:val="24"/>
              </w:rPr>
              <w:t>套</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52953FBE">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注：1.数量为按年预估量，报价计算按照此数量计算，后期按采购人实际需求分批配送、据实结算，不再追加除此之外的其他费用。</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40D37002">
      <w:pPr>
        <w:spacing w:line="360" w:lineRule="auto"/>
        <w:jc w:val="center"/>
        <w:outlineLvl w:val="1"/>
        <w:rPr>
          <w:rFonts w:hint="eastAsia" w:asciiTheme="minorEastAsia" w:hAnsiTheme="minorEastAsia" w:eastAsiaTheme="minorEastAsia"/>
          <w:b/>
          <w:sz w:val="24"/>
        </w:rPr>
      </w:pPr>
      <w:r>
        <w:rPr>
          <w:rFonts w:hint="eastAsia" w:ascii="宋体" w:hAnsi="宋体" w:eastAsia="宋体"/>
          <w:b/>
          <w:sz w:val="24"/>
          <w:szCs w:val="24"/>
          <w:lang w:bidi="ar"/>
        </w:rPr>
        <w:br w:type="page"/>
      </w:r>
      <w:bookmarkStart w:id="68" w:name="_Toc32633"/>
      <w:bookmarkStart w:id="69" w:name="_Toc2683"/>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6435"/>
      <w:bookmarkStart w:id="71" w:name="_Toc18131"/>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20E9CF5">
      <w:pPr>
        <w:widowControl/>
        <w:jc w:val="center"/>
        <w:rPr>
          <w:rFonts w:hint="eastAsia" w:ascii="宋体" w:hAnsi="宋体" w:eastAsia="宋体" w:cs="宋体"/>
          <w:b/>
          <w:sz w:val="24"/>
          <w:szCs w:val="24"/>
          <w:lang w:bidi="ar"/>
        </w:rPr>
      </w:pPr>
    </w:p>
    <w:p w14:paraId="45A83A38">
      <w:pPr>
        <w:widowControl/>
        <w:jc w:val="center"/>
        <w:rPr>
          <w:rFonts w:hint="eastAsia" w:ascii="宋体" w:hAnsi="宋体" w:eastAsia="宋体" w:cs="宋体"/>
          <w:b/>
          <w:sz w:val="24"/>
          <w:szCs w:val="24"/>
          <w:lang w:bidi="ar"/>
        </w:rPr>
      </w:pPr>
    </w:p>
    <w:p w14:paraId="61CE60AA">
      <w:pPr>
        <w:widowControl/>
        <w:jc w:val="center"/>
        <w:rPr>
          <w:rFonts w:hint="eastAsia" w:ascii="宋体" w:hAnsi="宋体" w:eastAsia="宋体" w:cs="宋体"/>
          <w:b/>
          <w:sz w:val="24"/>
          <w:szCs w:val="24"/>
          <w:lang w:bidi="ar"/>
        </w:rPr>
      </w:pPr>
    </w:p>
    <w:p w14:paraId="455F504B">
      <w:pPr>
        <w:widowControl/>
        <w:jc w:val="center"/>
        <w:rPr>
          <w:rFonts w:hint="eastAsia" w:ascii="宋体" w:hAnsi="宋体" w:eastAsia="宋体" w:cs="宋体"/>
          <w:b/>
          <w:sz w:val="24"/>
          <w:szCs w:val="24"/>
          <w:lang w:bidi="ar"/>
        </w:rPr>
      </w:pPr>
    </w:p>
    <w:p w14:paraId="749834B8">
      <w:pPr>
        <w:widowControl/>
        <w:jc w:val="center"/>
        <w:rPr>
          <w:rFonts w:hint="eastAsia" w:ascii="宋体" w:hAnsi="宋体" w:eastAsia="宋体" w:cs="宋体"/>
          <w:b/>
          <w:sz w:val="24"/>
          <w:szCs w:val="24"/>
          <w:lang w:bidi="ar"/>
        </w:rPr>
      </w:pPr>
    </w:p>
    <w:p w14:paraId="0E2B7121">
      <w:pPr>
        <w:widowControl/>
        <w:jc w:val="center"/>
        <w:rPr>
          <w:rFonts w:hint="eastAsia" w:ascii="宋体" w:hAnsi="宋体" w:eastAsia="宋体" w:cs="宋体"/>
          <w:b/>
          <w:sz w:val="24"/>
          <w:szCs w:val="24"/>
          <w:lang w:bidi="ar"/>
        </w:rPr>
      </w:pPr>
    </w:p>
    <w:p w14:paraId="339FC340">
      <w:pPr>
        <w:widowControl/>
        <w:jc w:val="center"/>
        <w:rPr>
          <w:rFonts w:hint="eastAsia" w:ascii="宋体" w:hAnsi="宋体" w:eastAsia="宋体" w:cs="宋体"/>
          <w:b/>
          <w:sz w:val="24"/>
          <w:szCs w:val="24"/>
          <w:lang w:bidi="ar"/>
        </w:rPr>
      </w:pPr>
    </w:p>
    <w:p w14:paraId="131233F0">
      <w:pPr>
        <w:widowControl/>
        <w:jc w:val="center"/>
        <w:rPr>
          <w:rFonts w:hint="eastAsia" w:ascii="宋体" w:hAnsi="宋体" w:eastAsia="宋体" w:cs="宋体"/>
          <w:b/>
          <w:sz w:val="24"/>
          <w:szCs w:val="24"/>
          <w:lang w:bidi="ar"/>
        </w:rPr>
      </w:pPr>
    </w:p>
    <w:p w14:paraId="3C5F2ED1">
      <w:pPr>
        <w:widowControl/>
        <w:jc w:val="center"/>
        <w:rPr>
          <w:rFonts w:hint="eastAsia" w:ascii="宋体" w:hAnsi="宋体" w:eastAsia="宋体" w:cs="宋体"/>
          <w:b/>
          <w:sz w:val="24"/>
          <w:szCs w:val="24"/>
          <w:lang w:bidi="ar"/>
        </w:rPr>
      </w:pPr>
    </w:p>
    <w:p w14:paraId="2A93DD58">
      <w:pPr>
        <w:widowControl/>
        <w:jc w:val="center"/>
        <w:rPr>
          <w:rFonts w:hint="eastAsia" w:ascii="宋体" w:hAnsi="宋体" w:eastAsia="宋体" w:cs="宋体"/>
          <w:b/>
          <w:sz w:val="24"/>
          <w:szCs w:val="24"/>
          <w:lang w:bidi="ar"/>
        </w:rPr>
      </w:pPr>
    </w:p>
    <w:p w14:paraId="059F5582">
      <w:pPr>
        <w:widowControl/>
        <w:jc w:val="center"/>
        <w:rPr>
          <w:rFonts w:hint="eastAsia" w:ascii="宋体" w:hAnsi="宋体" w:eastAsia="宋体" w:cs="宋体"/>
          <w:b/>
          <w:sz w:val="24"/>
          <w:szCs w:val="24"/>
          <w:lang w:bidi="ar"/>
        </w:rPr>
      </w:pPr>
    </w:p>
    <w:p w14:paraId="4CA01C37">
      <w:pPr>
        <w:widowControl/>
        <w:jc w:val="center"/>
        <w:rPr>
          <w:rFonts w:hint="eastAsia" w:ascii="宋体" w:hAnsi="宋体" w:eastAsia="宋体" w:cs="宋体"/>
          <w:b/>
          <w:sz w:val="24"/>
          <w:szCs w:val="24"/>
          <w:lang w:bidi="ar"/>
        </w:rPr>
      </w:pPr>
    </w:p>
    <w:p w14:paraId="35674877">
      <w:pPr>
        <w:widowControl/>
        <w:jc w:val="center"/>
        <w:rPr>
          <w:rFonts w:hint="eastAsia" w:ascii="宋体" w:hAnsi="宋体" w:eastAsia="宋体" w:cs="宋体"/>
          <w:b/>
          <w:sz w:val="24"/>
          <w:szCs w:val="24"/>
          <w:lang w:bidi="ar"/>
        </w:rPr>
      </w:pPr>
    </w:p>
    <w:p w14:paraId="5653D8F1">
      <w:pPr>
        <w:widowControl/>
        <w:jc w:val="center"/>
        <w:rPr>
          <w:rFonts w:hint="eastAsia" w:ascii="宋体" w:hAnsi="宋体" w:eastAsia="宋体" w:cs="宋体"/>
          <w:b/>
          <w:sz w:val="24"/>
          <w:szCs w:val="24"/>
          <w:lang w:bidi="ar"/>
        </w:rPr>
      </w:pPr>
    </w:p>
    <w:p w14:paraId="69B67BFA">
      <w:pPr>
        <w:widowControl/>
        <w:jc w:val="center"/>
        <w:rPr>
          <w:rFonts w:hint="eastAsia" w:ascii="宋体" w:hAnsi="宋体" w:eastAsia="宋体" w:cs="宋体"/>
          <w:b/>
          <w:sz w:val="24"/>
          <w:szCs w:val="24"/>
          <w:lang w:bidi="ar"/>
        </w:rPr>
      </w:pPr>
    </w:p>
    <w:p w14:paraId="18BF0B47">
      <w:pPr>
        <w:widowControl/>
        <w:jc w:val="center"/>
        <w:rPr>
          <w:rFonts w:hint="eastAsia" w:ascii="宋体" w:hAnsi="宋体" w:eastAsia="宋体" w:cs="宋体"/>
          <w:b/>
          <w:sz w:val="24"/>
          <w:szCs w:val="24"/>
          <w:lang w:bidi="ar"/>
        </w:rPr>
      </w:pPr>
    </w:p>
    <w:p w14:paraId="74205405">
      <w:pPr>
        <w:widowControl/>
        <w:jc w:val="center"/>
        <w:rPr>
          <w:rFonts w:hint="eastAsia" w:ascii="宋体" w:hAnsi="宋体" w:eastAsia="宋体" w:cs="宋体"/>
          <w:b/>
          <w:sz w:val="24"/>
          <w:szCs w:val="24"/>
          <w:lang w:bidi="ar"/>
        </w:rPr>
      </w:pPr>
    </w:p>
    <w:p w14:paraId="17442A9F">
      <w:pPr>
        <w:widowControl/>
        <w:jc w:val="center"/>
        <w:rPr>
          <w:rFonts w:hint="eastAsia" w:ascii="宋体" w:hAnsi="宋体" w:eastAsia="宋体" w:cs="宋体"/>
          <w:b/>
          <w:sz w:val="24"/>
          <w:szCs w:val="24"/>
          <w:lang w:bidi="ar"/>
        </w:rPr>
      </w:pPr>
    </w:p>
    <w:p w14:paraId="2D23D155">
      <w:pPr>
        <w:widowControl/>
        <w:jc w:val="center"/>
        <w:rPr>
          <w:rFonts w:hint="eastAsia" w:ascii="宋体" w:hAnsi="宋体" w:eastAsia="宋体" w:cs="宋体"/>
          <w:b/>
          <w:sz w:val="24"/>
          <w:szCs w:val="24"/>
          <w:lang w:bidi="ar"/>
        </w:rPr>
      </w:pPr>
    </w:p>
    <w:p w14:paraId="52226CDD">
      <w:pPr>
        <w:widowControl/>
        <w:jc w:val="center"/>
        <w:rPr>
          <w:rFonts w:hint="eastAsia" w:ascii="宋体" w:hAnsi="宋体" w:eastAsia="宋体" w:cs="宋体"/>
          <w:b/>
          <w:sz w:val="24"/>
          <w:szCs w:val="24"/>
          <w:lang w:bidi="ar"/>
        </w:rPr>
      </w:pPr>
    </w:p>
    <w:p w14:paraId="0DB742F7">
      <w:pPr>
        <w:widowControl/>
        <w:jc w:val="center"/>
        <w:rPr>
          <w:rFonts w:hint="eastAsia" w:ascii="宋体" w:hAnsi="宋体" w:eastAsia="宋体" w:cs="宋体"/>
          <w:b/>
          <w:sz w:val="24"/>
          <w:szCs w:val="24"/>
          <w:lang w:bidi="ar"/>
        </w:rPr>
      </w:pPr>
    </w:p>
    <w:p w14:paraId="4A90A7B1">
      <w:pPr>
        <w:widowControl/>
        <w:jc w:val="center"/>
        <w:rPr>
          <w:rFonts w:hint="eastAsia" w:ascii="宋体" w:hAnsi="宋体" w:eastAsia="宋体" w:cs="宋体"/>
          <w:b/>
          <w:sz w:val="24"/>
          <w:szCs w:val="24"/>
          <w:lang w:bidi="ar"/>
        </w:rPr>
      </w:pPr>
    </w:p>
    <w:p w14:paraId="2A7E005A">
      <w:pPr>
        <w:widowControl/>
        <w:jc w:val="center"/>
        <w:rPr>
          <w:rFonts w:hint="eastAsia" w:ascii="宋体" w:hAnsi="宋体" w:eastAsia="宋体" w:cs="宋体"/>
          <w:b/>
          <w:sz w:val="24"/>
          <w:szCs w:val="24"/>
          <w:lang w:bidi="ar"/>
        </w:rPr>
      </w:pPr>
    </w:p>
    <w:p w14:paraId="3EE04860">
      <w:pPr>
        <w:widowControl/>
        <w:jc w:val="center"/>
        <w:rPr>
          <w:rFonts w:hint="eastAsia" w:ascii="宋体" w:hAnsi="宋体" w:eastAsia="宋体" w:cs="宋体"/>
          <w:b/>
          <w:sz w:val="24"/>
          <w:szCs w:val="24"/>
          <w:lang w:bidi="ar"/>
        </w:rPr>
      </w:pPr>
    </w:p>
    <w:p w14:paraId="3D454FE2">
      <w:pPr>
        <w:widowControl/>
        <w:jc w:val="center"/>
        <w:rPr>
          <w:rFonts w:hint="eastAsia" w:ascii="宋体" w:hAnsi="宋体" w:eastAsia="宋体" w:cs="宋体"/>
          <w:b/>
          <w:sz w:val="24"/>
          <w:szCs w:val="24"/>
          <w:lang w:bidi="ar"/>
        </w:rPr>
      </w:pPr>
    </w:p>
    <w:p w14:paraId="2716761B">
      <w:pPr>
        <w:widowControl/>
        <w:jc w:val="center"/>
        <w:rPr>
          <w:rFonts w:hint="eastAsia" w:ascii="宋体" w:hAnsi="宋体" w:eastAsia="宋体" w:cs="宋体"/>
          <w:b/>
          <w:sz w:val="24"/>
          <w:szCs w:val="24"/>
          <w:lang w:bidi="ar"/>
        </w:rPr>
      </w:pPr>
    </w:p>
    <w:p w14:paraId="23BDBDF5">
      <w:pPr>
        <w:spacing w:line="360" w:lineRule="auto"/>
        <w:jc w:val="center"/>
        <w:outlineLvl w:val="1"/>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489"/>
      <w:bookmarkStart w:id="73" w:name="_Toc2715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3245"/>
      <w:bookmarkStart w:id="77" w:name="_Toc157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26836"/>
      <w:bookmarkStart w:id="83" w:name="_Toc9754"/>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10D66"/>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95A07CF"/>
    <w:rsid w:val="1A064976"/>
    <w:rsid w:val="1A3B68AA"/>
    <w:rsid w:val="1A3E1C1E"/>
    <w:rsid w:val="1B6F4F40"/>
    <w:rsid w:val="1C141836"/>
    <w:rsid w:val="1C33473D"/>
    <w:rsid w:val="1C5A786C"/>
    <w:rsid w:val="1C76537D"/>
    <w:rsid w:val="1CB87339"/>
    <w:rsid w:val="1D9C6312"/>
    <w:rsid w:val="1E2E78B2"/>
    <w:rsid w:val="1E4449D5"/>
    <w:rsid w:val="1E6B6A14"/>
    <w:rsid w:val="1F370744"/>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451A6C"/>
    <w:rsid w:val="2AAA4765"/>
    <w:rsid w:val="2AC21606"/>
    <w:rsid w:val="2B365FF8"/>
    <w:rsid w:val="2B446269"/>
    <w:rsid w:val="2B7E7608"/>
    <w:rsid w:val="2B7F04E9"/>
    <w:rsid w:val="2B8B554A"/>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6E27AE8"/>
    <w:rsid w:val="3700166C"/>
    <w:rsid w:val="379A1012"/>
    <w:rsid w:val="38694EE9"/>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D338D1"/>
    <w:rsid w:val="3DE86C4C"/>
    <w:rsid w:val="3DF36A6E"/>
    <w:rsid w:val="3EBA1EE9"/>
    <w:rsid w:val="3F792F1E"/>
    <w:rsid w:val="40824826"/>
    <w:rsid w:val="40E63923"/>
    <w:rsid w:val="41546D80"/>
    <w:rsid w:val="415643E4"/>
    <w:rsid w:val="419158DF"/>
    <w:rsid w:val="42971481"/>
    <w:rsid w:val="43194544"/>
    <w:rsid w:val="43A91E5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201527"/>
    <w:rsid w:val="67A140FF"/>
    <w:rsid w:val="67C065A4"/>
    <w:rsid w:val="67D359C9"/>
    <w:rsid w:val="68042537"/>
    <w:rsid w:val="68103BDF"/>
    <w:rsid w:val="68E2428E"/>
    <w:rsid w:val="68FE36DD"/>
    <w:rsid w:val="694E60FC"/>
    <w:rsid w:val="6A256904"/>
    <w:rsid w:val="6A2C1D99"/>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1874904"/>
    <w:rsid w:val="71C617F4"/>
    <w:rsid w:val="71F8286E"/>
    <w:rsid w:val="725A270A"/>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BC207F"/>
    <w:rsid w:val="76EB4904"/>
    <w:rsid w:val="77645DCD"/>
    <w:rsid w:val="777378F5"/>
    <w:rsid w:val="777A2D3C"/>
    <w:rsid w:val="7838290E"/>
    <w:rsid w:val="78A715E8"/>
    <w:rsid w:val="79074B81"/>
    <w:rsid w:val="794F0939"/>
    <w:rsid w:val="79AF0FCA"/>
    <w:rsid w:val="7AF9279C"/>
    <w:rsid w:val="7BCA404B"/>
    <w:rsid w:val="7CC51958"/>
    <w:rsid w:val="7CD53DF9"/>
    <w:rsid w:val="7D097C86"/>
    <w:rsid w:val="7E2936C3"/>
    <w:rsid w:val="7E6411B9"/>
    <w:rsid w:val="7EA92E9E"/>
    <w:rsid w:val="7EC169E3"/>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1639</Words>
  <Characters>1787</Characters>
  <Lines>293</Lines>
  <Paragraphs>82</Paragraphs>
  <TotalTime>1</TotalTime>
  <ScaleCrop>false</ScaleCrop>
  <LinksUpToDate>false</LinksUpToDate>
  <CharactersWithSpaces>1878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2024-12-18T00:04:31Z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1ECEA165F94845FFAF35C1C96E4FB9B0_12</vt:lpwstr>
  </property>
</Properties>
</file>