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5A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030598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2D9A1B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5AE507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1D9CFE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2D398CC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9CAE2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55FC00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772F8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B9792B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01EDF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滁州市第一人民医院南北区污水站在线设备COD、氨氮水质分析仪及视频监控升级采购项目</w:t>
      </w:r>
    </w:p>
    <w:p w14:paraId="5589659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w:t>
      </w:r>
      <w:r>
        <w:rPr>
          <w:rFonts w:hint="eastAsia" w:ascii="宋体" w:hAnsi="宋体" w:eastAsia="宋体"/>
          <w:b/>
          <w:color w:val="auto"/>
          <w:spacing w:val="20"/>
          <w:kern w:val="0"/>
          <w:sz w:val="32"/>
          <w:szCs w:val="32"/>
          <w:highlight w:val="none"/>
          <w:u w:val="single"/>
          <w:lang w:val="en-US" w:eastAsia="zh-CN"/>
        </w:rPr>
        <w:t>11</w:t>
      </w:r>
    </w:p>
    <w:p w14:paraId="4C68B7E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0E8C398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5A4DFD8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608B263C">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2025年03月</w:t>
      </w:r>
    </w:p>
    <w:p w14:paraId="1B4F5485">
      <w:pPr>
        <w:rPr>
          <w:rFonts w:hint="eastAsia" w:ascii="宋体" w:hAnsi="宋体" w:eastAsia="宋体"/>
          <w:b/>
          <w:color w:val="auto"/>
          <w:sz w:val="28"/>
          <w:highlight w:val="none"/>
        </w:rPr>
      </w:pPr>
    </w:p>
    <w:p w14:paraId="46FF2416">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5B40E83">
      <w:pPr>
        <w:pStyle w:val="19"/>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37887505">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0BD542EE">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4EA710A4">
      <w:pPr>
        <w:pStyle w:val="19"/>
        <w:tabs>
          <w:tab w:val="right" w:leader="dot" w:pos="8306"/>
        </w:tabs>
        <w:rPr>
          <w:rFonts w:hint="eastAsia" w:eastAsia="宋体"/>
          <w:highlight w:val="none"/>
          <w:lang w:val="en-US" w:eastAsia="zh-CN"/>
        </w:rPr>
      </w:pPr>
      <w:r>
        <w:rPr>
          <w:rFonts w:hint="default" w:eastAsia="宋体" w:asciiTheme="majorAscii" w:hAnsiTheme="majorAscii"/>
          <w:color w:val="auto"/>
          <w:szCs w:val="24"/>
          <w:highlight w:val="none"/>
        </w:rPr>
        <w:fldChar w:fldCharType="begin"/>
      </w:r>
      <w:r>
        <w:rPr>
          <w:rFonts w:hint="default" w:eastAsia="宋体" w:asciiTheme="majorAscii" w:hAnsiTheme="majorAscii"/>
          <w:szCs w:val="24"/>
          <w:highlight w:val="none"/>
        </w:rPr>
        <w:instrText xml:space="preserve"> HYPERLINK \l _Toc16417 </w:instrText>
      </w:r>
      <w:r>
        <w:rPr>
          <w:rFonts w:hint="default" w:eastAsia="宋体" w:asciiTheme="majorAscii" w:hAnsiTheme="majorAscii"/>
          <w:szCs w:val="24"/>
          <w:highlight w:val="none"/>
        </w:rPr>
        <w:fldChar w:fldCharType="separate"/>
      </w:r>
      <w:r>
        <w:rPr>
          <w:rFonts w:hint="default" w:eastAsia="宋体" w:asciiTheme="majorAscii" w:hAnsiTheme="majorAscii"/>
          <w:highlight w:val="none"/>
        </w:rPr>
        <w:t>第四章  评标方法和标准（综合评分法）</w:t>
      </w:r>
      <w:r>
        <w:rPr>
          <w:rFonts w:hint="default" w:asciiTheme="majorAscii" w:hAnsiTheme="majorAscii"/>
          <w:highlight w:val="none"/>
        </w:rPr>
        <w:tab/>
      </w:r>
      <w:r>
        <w:rPr>
          <w:rFonts w:hint="default" w:asciiTheme="majorAscii" w:hAnsiTheme="majorAscii"/>
          <w:highlight w:val="none"/>
          <w:lang w:val="en-US" w:eastAsia="zh-CN"/>
        </w:rPr>
        <w:t>2</w:t>
      </w:r>
      <w:r>
        <w:rPr>
          <w:rFonts w:hint="default" w:eastAsia="宋体" w:asciiTheme="majorAscii" w:hAnsiTheme="majorAscii"/>
          <w:color w:val="auto"/>
          <w:szCs w:val="24"/>
          <w:highlight w:val="none"/>
        </w:rPr>
        <w:fldChar w:fldCharType="end"/>
      </w:r>
      <w:r>
        <w:rPr>
          <w:rFonts w:hint="default" w:asciiTheme="majorAscii" w:hAnsiTheme="majorAscii"/>
          <w:color w:val="auto"/>
          <w:szCs w:val="24"/>
          <w:highlight w:val="none"/>
          <w:lang w:val="en-US" w:eastAsia="zh-CN"/>
        </w:rPr>
        <w:t>3</w:t>
      </w:r>
    </w:p>
    <w:p w14:paraId="194FB6CB">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27</w:t>
      </w:r>
      <w:r>
        <w:rPr>
          <w:highlight w:val="none"/>
        </w:rPr>
        <w:fldChar w:fldCharType="end"/>
      </w:r>
      <w:r>
        <w:rPr>
          <w:rFonts w:ascii="宋体" w:hAnsi="宋体" w:eastAsia="宋体"/>
          <w:color w:val="auto"/>
          <w:szCs w:val="24"/>
          <w:highlight w:val="none"/>
        </w:rPr>
        <w:fldChar w:fldCharType="end"/>
      </w:r>
    </w:p>
    <w:p w14:paraId="35876A4D">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44</w:t>
      </w:r>
      <w:r>
        <w:rPr>
          <w:highlight w:val="none"/>
        </w:rPr>
        <w:fldChar w:fldCharType="end"/>
      </w:r>
      <w:r>
        <w:rPr>
          <w:rFonts w:ascii="宋体" w:hAnsi="宋体" w:eastAsia="宋体"/>
          <w:color w:val="auto"/>
          <w:szCs w:val="24"/>
          <w:highlight w:val="none"/>
        </w:rPr>
        <w:fldChar w:fldCharType="end"/>
      </w:r>
    </w:p>
    <w:p w14:paraId="4E95476C">
      <w:pPr>
        <w:pStyle w:val="19"/>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0596E4A6">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4A9BE27D">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64AF5EA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540380B">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滁州市第一人民医院南北区污水站在线设备COD、氨氮水质分析仪及视频监控升级采购项目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03</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07</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21E4360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3118CD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CZYY-2025-11</w:t>
      </w:r>
    </w:p>
    <w:p w14:paraId="1FD922E3">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滁州市第一人民医院南北区污水站在线设备COD、氨氮水质分析仪及视频监控升级采购项目</w:t>
      </w:r>
    </w:p>
    <w:p w14:paraId="48FC7913">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rPr>
        <w:t>27.5万元</w:t>
      </w:r>
    </w:p>
    <w:p w14:paraId="62E2E9AE">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27.5万元，高于高于最高限价及单价最高限价其投标文件按无效投标处理。</w:t>
      </w:r>
    </w:p>
    <w:p w14:paraId="2FB5012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采购</w:t>
      </w:r>
      <w:r>
        <w:rPr>
          <w:rFonts w:hint="eastAsia" w:ascii="宋体" w:hAnsi="宋体" w:eastAsia="宋体"/>
          <w:color w:val="auto"/>
          <w:sz w:val="24"/>
          <w:highlight w:val="none"/>
          <w:u w:val="single"/>
          <w:lang w:val="en-US" w:eastAsia="zh-CN"/>
        </w:rPr>
        <w:t>2台</w:t>
      </w:r>
      <w:r>
        <w:rPr>
          <w:rFonts w:hint="eastAsia" w:ascii="宋体" w:hAnsi="宋体" w:eastAsia="宋体" w:cs="宋体"/>
          <w:bCs/>
          <w:color w:val="auto"/>
          <w:sz w:val="24"/>
          <w:szCs w:val="24"/>
          <w:u w:val="single"/>
        </w:rPr>
        <w:t>COD水质在线分析仪</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lang w:val="en-US" w:eastAsia="zh-CN"/>
        </w:rPr>
        <w:t>2台</w:t>
      </w:r>
      <w:r>
        <w:rPr>
          <w:rFonts w:hint="eastAsia" w:ascii="宋体" w:hAnsi="宋体" w:eastAsia="宋体" w:cs="宋体"/>
          <w:bCs/>
          <w:color w:val="auto"/>
          <w:sz w:val="24"/>
          <w:szCs w:val="24"/>
          <w:u w:val="single"/>
          <w:lang w:eastAsia="zh-CN"/>
        </w:rPr>
        <w:t>氨氮水质在线分析仪、</w:t>
      </w:r>
      <w:r>
        <w:rPr>
          <w:rFonts w:hint="eastAsia" w:ascii="宋体" w:hAnsi="宋体" w:eastAsia="宋体" w:cs="宋体"/>
          <w:bCs/>
          <w:color w:val="auto"/>
          <w:sz w:val="24"/>
          <w:szCs w:val="24"/>
          <w:u w:val="single"/>
          <w:lang w:val="en-US" w:eastAsia="zh-CN"/>
        </w:rPr>
        <w:t>2台视频监控系统升级。</w:t>
      </w:r>
    </w:p>
    <w:p w14:paraId="29466E4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20BA7AAB">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4B543F10">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5EF229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62F994DB">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none"/>
          <w:lang w:val="en-US" w:eastAsia="zh-CN"/>
        </w:rPr>
        <w:t>；</w:t>
      </w:r>
    </w:p>
    <w:p w14:paraId="24501810">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无；</w:t>
      </w:r>
    </w:p>
    <w:p w14:paraId="2446632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28BC35D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0B9822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49B2D60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353B96E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4058B79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953AA2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0217C3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3E972E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30B444D7">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DBE1F1E">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07</w:t>
      </w:r>
      <w:r>
        <w:rPr>
          <w:rFonts w:hint="eastAsia" w:ascii="宋体" w:hAnsi="宋体" w:eastAsia="宋体" w:cs="宋体"/>
          <w:sz w:val="24"/>
          <w:szCs w:val="24"/>
          <w:highlight w:val="none"/>
          <w:u w:val="none"/>
        </w:rPr>
        <w:t>日</w:t>
      </w:r>
    </w:p>
    <w:p w14:paraId="1910AF6B">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1CAE1376">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4B5B957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EBB7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07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AB8E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0B25B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07BE9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27DE3A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2F936D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6F396BC1">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307696CE">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1BF39235">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167428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344F785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1F44B231">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1A40B66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305FE730">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29BC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356B29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65051D2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17C552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068ED586">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B448C86">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288A3ECB">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48E12D8A">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38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6CF368">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3F76DC6">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D25D5A5">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743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D48C6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0DCD90C9">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61128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2A1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25274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0E395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317B7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0863809">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D2B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CCB32F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954780">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5EEA16A">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03</w:t>
            </w:r>
            <w:r>
              <w:rPr>
                <w:rFonts w:hint="default" w:ascii="宋体" w:hAnsi="宋体" w:eastAsia="宋体"/>
                <w:b w:val="0"/>
                <w:color w:val="auto"/>
                <w:sz w:val="24"/>
                <w:highlight w:val="none"/>
              </w:rPr>
              <w:t>月</w:t>
            </w:r>
            <w:bookmarkStart w:id="86" w:name="_GoBack"/>
            <w:r>
              <w:rPr>
                <w:rFonts w:hint="eastAsia" w:ascii="宋体" w:hAnsi="宋体" w:eastAsia="宋体"/>
                <w:b w:val="0"/>
                <w:color w:val="auto"/>
                <w:sz w:val="24"/>
                <w:highlight w:val="none"/>
                <w:u w:val="single"/>
                <w:lang w:val="en-US" w:eastAsia="zh-CN"/>
              </w:rPr>
              <w:t>05</w:t>
            </w:r>
            <w:bookmarkEnd w:id="86"/>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D93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896D6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14316D89">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0F00E0D">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6983D91D">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C35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4A0BA75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321EECD1">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7002D21">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ECD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0A64E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1B8E151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123B1E9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2D5B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F4909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785A8F5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75F36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FDD4DD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C18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5AB0E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5403DB6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1204D6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77AFBED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8B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198C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6751DE8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报价扣除</w:t>
            </w:r>
          </w:p>
          <w:p w14:paraId="7310A1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E22563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7C7D7C6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A955399">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282C3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4052C54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8B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8C0F6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235FE37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21F74472">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4488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E0538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38758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59F420BB">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1FC2BD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780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99E4F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60B97E2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230921A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65E97D1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1EB4659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43CC615D">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4E7466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7FE0D46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0633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6F79D6">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7A9B6A3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46A928E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F4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161FD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6C0303B8">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7EC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5A43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ECFC7D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5BC57E1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CD4793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3BD076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1F9C4AF0">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6E6C740">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C4994A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48312F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656D237">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F2D7B4F">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23D0E6A6">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6532378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1308B6B">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F4F706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6A64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3D33B2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636556D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4B92C5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BF1B81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42F6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68FF8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2D12D5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40F53A52">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B695144">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6E84836A">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2100元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4821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44B2C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2963F89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8534070">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1FB5F718">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0119F26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1D2B15D9">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863251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B82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1C5FE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257769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2A4D0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F576B8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0E66B082">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39671379">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AB3BBAC">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E586AB1">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hint="default"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hint="default" w:ascii="宋体" w:hAnsi="宋体" w:eastAsia="宋体" w:cs="@仿宋_GB2312"/>
                <w:b w:val="0"/>
                <w:bCs/>
                <w:color w:val="auto"/>
                <w:kern w:val="2"/>
                <w:sz w:val="24"/>
                <w:szCs w:val="24"/>
                <w:highlight w:val="none"/>
                <w:lang w:val="en-US" w:eastAsia="zh-CN" w:bidi="ar-SA"/>
              </w:rPr>
              <w:t>人负责解释。</w:t>
            </w:r>
          </w:p>
          <w:p w14:paraId="3AEA41CE">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4D7C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E0D23E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5E61D60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1D66322A">
            <w:pPr>
              <w:keepNext w:val="0"/>
              <w:keepLines w:val="0"/>
              <w:suppressLineNumbers w:val="0"/>
              <w:spacing w:before="0" w:beforeAutospacing="0" w:after="0" w:afterAutospacing="0" w:line="360" w:lineRule="auto"/>
              <w:ind w:left="0" w:right="0"/>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7DD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FE71D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43C3A94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006E5D9B">
            <w:pPr>
              <w:keepNext w:val="0"/>
              <w:keepLines w:val="0"/>
              <w:suppressLineNumbers w:val="0"/>
              <w:spacing w:before="0" w:beforeAutospacing="0" w:after="0" w:afterAutospacing="0" w:line="360" w:lineRule="auto"/>
              <w:ind w:left="0" w:right="0"/>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0FBA4D3D">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7F00168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F8CD4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2C2BC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605CA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AAB90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43B4B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24E23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1198B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74F45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A54FBB4">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254C7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1E15FB18">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6E9C3F4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64F0B7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87B79F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52865E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5843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1F58CD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5F389AB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A46328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2CDFA31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24FE3B8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8E8BDD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63D1EB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51BC2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09D05DE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8E191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DFFE8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71379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C3898E5">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01C549B9">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021571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5AFC28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2E9622">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69BA59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DFFA9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734F3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18CE29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E2798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7368F3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0435D6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5F6727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79816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791FB4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BADF8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4BC125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1686E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5F11E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04B66C3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AEA24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B238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916347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19EC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60F2F8A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132F59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26F98CF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553D8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2D9FEC7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4AD288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BC76409">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088AB9E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67989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1A374F7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73627A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61F98E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A8B77AC">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21C5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2D728D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381158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019AB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12C5A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CFD45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C447DC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444D0D0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A1513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C7E69A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110428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DE31C11">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6CB7999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5BD1D1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FBB9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7573CF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3AC44A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0540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4EA1E5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3D885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3D799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007B89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13F232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745C6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E33A2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077694A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4B8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A678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8799A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1BB55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D9CB4B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1FC93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CA2E1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5666D6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34FF0E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0EF44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1D1A0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244418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444084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1435B9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8D29C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C74E6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9839F6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28F9C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7F0E8AD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6F8D407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6EFC30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05CE02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094B87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47AB79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368F66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EA7314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DCFC5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78EB7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53F073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A66874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594475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41B7BBC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272A64E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08A9895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795D85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7676951">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53A6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1C76A69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5904BF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1013E4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440D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D591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10079D2">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69BE238">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A7DE8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2DDEAB5A">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2349B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7C16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D4BC872">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11254348">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542B37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673380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0DEFA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E9C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65F9433">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08C1F48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6FCFBF84">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3D28AD67">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4180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AFFAA2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1FAFD39E">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1356BB2">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D2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F3D86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17BF015A">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02E766B0">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yellow"/>
                <w:u w:val="single"/>
              </w:rPr>
            </w:pPr>
            <w:r>
              <w:rPr>
                <w:rFonts w:hint="eastAsia" w:ascii="宋体" w:hAnsi="宋体" w:eastAsia="宋体" w:cs="@仿宋_GB2312"/>
                <w:b w:val="0"/>
                <w:bCs/>
                <w:color w:val="auto"/>
                <w:kern w:val="0"/>
                <w:sz w:val="24"/>
                <w:szCs w:val="28"/>
                <w:highlight w:val="yellow"/>
                <w:u w:val="single"/>
                <w:lang w:val="en-US" w:eastAsia="zh-CN" w:bidi="ar-SA"/>
              </w:rPr>
              <w:t>合同签订、货物到场后付至合同价款的30%，安装调试并正常使用后付至合同价款的90%，环保验收合格后付至合同价款的100%。</w:t>
            </w:r>
          </w:p>
        </w:tc>
      </w:tr>
      <w:tr w14:paraId="78F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3ACE7F67">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28B9001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480A963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791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839FE3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65E5C10A">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2A03DE7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16E6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3CD3282">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5D60522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036685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不少于二年</w:t>
            </w:r>
          </w:p>
        </w:tc>
      </w:tr>
    </w:tbl>
    <w:p w14:paraId="5C8AF61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rPr>
      </w:pPr>
      <w:bookmarkStart w:id="32" w:name="_Toc16417"/>
      <w:r>
        <w:rPr>
          <w:rFonts w:hint="eastAsia" w:ascii="宋体" w:hAnsi="宋体" w:eastAsia="宋体" w:cs="宋体"/>
          <w:b/>
          <w:bCs w:val="0"/>
          <w:snapToGrid/>
          <w:kern w:val="0"/>
          <w:sz w:val="24"/>
          <w:szCs w:val="24"/>
          <w:lang w:val="en-US" w:eastAsia="zh-CN" w:bidi="ar"/>
        </w:rPr>
        <w:t>（一）采购需求清单</w:t>
      </w:r>
    </w:p>
    <w:tbl>
      <w:tblPr>
        <w:tblStyle w:val="27"/>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17"/>
        <w:gridCol w:w="1800"/>
        <w:gridCol w:w="800"/>
        <w:gridCol w:w="812"/>
        <w:gridCol w:w="2486"/>
      </w:tblGrid>
      <w:tr w14:paraId="219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0DE2A6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货物名称</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56A7DAF1">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规格参数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51540CC">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单位</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F16ACA6">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数量</w:t>
            </w:r>
          </w:p>
        </w:tc>
        <w:tc>
          <w:tcPr>
            <w:tcW w:w="1476" w:type="pct"/>
            <w:tcBorders>
              <w:top w:val="single" w:color="auto" w:sz="4" w:space="0"/>
              <w:left w:val="single" w:color="auto" w:sz="4" w:space="0"/>
              <w:bottom w:val="single" w:color="auto" w:sz="4" w:space="0"/>
              <w:right w:val="single" w:color="auto" w:sz="4" w:space="0"/>
            </w:tcBorders>
            <w:shd w:val="clear" w:color="auto" w:fill="auto"/>
            <w:vAlign w:val="center"/>
          </w:tcPr>
          <w:p w14:paraId="450A8CCB">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备注</w:t>
            </w:r>
          </w:p>
        </w:tc>
      </w:tr>
      <w:tr w14:paraId="19C0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99B0FA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COD水质在线分析仪</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5C1B025D">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both"/>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71CC4CE">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FC997C1">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2</w:t>
            </w:r>
          </w:p>
        </w:tc>
        <w:tc>
          <w:tcPr>
            <w:tcW w:w="1476" w:type="pct"/>
            <w:vMerge w:val="restart"/>
            <w:tcBorders>
              <w:top w:val="nil"/>
              <w:left w:val="single" w:color="auto" w:sz="4" w:space="0"/>
              <w:bottom w:val="single" w:color="auto" w:sz="4" w:space="0"/>
              <w:right w:val="single" w:color="auto" w:sz="4" w:space="0"/>
            </w:tcBorders>
            <w:shd w:val="clear" w:color="auto" w:fill="auto"/>
            <w:vAlign w:val="center"/>
          </w:tcPr>
          <w:p w14:paraId="10544895">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南院区和北院区各一台，包含在线设备的环保验收工作。</w:t>
            </w:r>
          </w:p>
        </w:tc>
      </w:tr>
      <w:tr w14:paraId="5B8F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0808CBB0">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bookmarkStart w:id="33" w:name="_Hlk150329395"/>
            <w:r>
              <w:rPr>
                <w:rFonts w:hint="eastAsia" w:ascii="宋体" w:hAnsi="宋体" w:eastAsia="宋体" w:cs="宋体"/>
                <w:bCs/>
                <w:snapToGrid/>
                <w:kern w:val="0"/>
                <w:sz w:val="24"/>
                <w:szCs w:val="24"/>
                <w:lang w:val="en-US" w:eastAsia="zh-CN" w:bidi="ar"/>
              </w:rPr>
              <w:t>氨氮水质在线分析仪</w:t>
            </w:r>
            <w:bookmarkEnd w:id="33"/>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2DE66F66">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5BAEA5B">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4CD2246">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2</w:t>
            </w:r>
          </w:p>
        </w:tc>
        <w:tc>
          <w:tcPr>
            <w:tcW w:w="1476" w:type="pct"/>
            <w:vMerge w:val="continue"/>
            <w:tcBorders>
              <w:top w:val="nil"/>
              <w:left w:val="single" w:color="auto" w:sz="4" w:space="0"/>
              <w:bottom w:val="single" w:color="auto" w:sz="4" w:space="0"/>
              <w:right w:val="single" w:color="auto" w:sz="4" w:space="0"/>
            </w:tcBorders>
            <w:shd w:val="clear" w:color="auto" w:fill="auto"/>
            <w:vAlign w:val="center"/>
          </w:tcPr>
          <w:p w14:paraId="1148DD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E9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95" w:type="pct"/>
            <w:tcBorders>
              <w:top w:val="single" w:color="auto" w:sz="4" w:space="0"/>
              <w:left w:val="single" w:color="auto" w:sz="4" w:space="0"/>
              <w:bottom w:val="single" w:color="auto" w:sz="4" w:space="0"/>
              <w:right w:val="single" w:color="auto" w:sz="4" w:space="0"/>
            </w:tcBorders>
            <w:shd w:val="clear" w:color="auto" w:fill="auto"/>
            <w:vAlign w:val="center"/>
          </w:tcPr>
          <w:p w14:paraId="13F78B2A">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0"/>
                <w:sz w:val="24"/>
                <w:szCs w:val="24"/>
              </w:rPr>
            </w:pPr>
            <w:r>
              <w:rPr>
                <w:rFonts w:hint="eastAsia" w:ascii="宋体" w:hAnsi="宋体" w:eastAsia="宋体" w:cs="宋体"/>
                <w:bCs/>
                <w:snapToGrid/>
                <w:kern w:val="0"/>
                <w:sz w:val="24"/>
                <w:szCs w:val="24"/>
                <w:lang w:val="en-US" w:eastAsia="zh-CN" w:bidi="ar"/>
              </w:rPr>
              <w:t>视频监控系统升级</w:t>
            </w:r>
          </w:p>
        </w:tc>
        <w:tc>
          <w:tcPr>
            <w:tcW w:w="1069" w:type="pct"/>
            <w:tcBorders>
              <w:top w:val="single" w:color="auto" w:sz="4" w:space="0"/>
              <w:left w:val="single" w:color="auto" w:sz="4" w:space="0"/>
              <w:bottom w:val="single" w:color="auto" w:sz="4" w:space="0"/>
              <w:right w:val="single" w:color="auto" w:sz="4" w:space="0"/>
            </w:tcBorders>
            <w:shd w:val="clear" w:color="auto" w:fill="auto"/>
            <w:vAlign w:val="center"/>
          </w:tcPr>
          <w:p w14:paraId="16820374">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详见技术规格</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DA5B708">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7A2C05CA">
            <w:pPr>
              <w:keepNext w:val="0"/>
              <w:keepLines w:val="0"/>
              <w:widowControl w:val="0"/>
              <w:suppressLineNumbers w:val="0"/>
              <w:autoSpaceDE w:val="0"/>
              <w:autoSpaceDN/>
              <w:adjustRightInd w:val="0"/>
              <w:snapToGrid w:val="0"/>
              <w:spacing w:before="0" w:beforeAutospacing="0" w:after="0" w:afterAutospacing="0" w:line="360" w:lineRule="auto"/>
              <w:ind w:left="0" w:right="0" w:firstLine="0" w:firstLineChars="0"/>
              <w:jc w:val="center"/>
              <w:rPr>
                <w:rFonts w:hint="eastAsia" w:ascii="宋体" w:hAnsi="宋体" w:eastAsia="宋体" w:cs="宋体"/>
                <w:bCs/>
                <w:kern w:val="2"/>
                <w:sz w:val="24"/>
                <w:szCs w:val="24"/>
              </w:rPr>
            </w:pPr>
            <w:r>
              <w:rPr>
                <w:rFonts w:hint="eastAsia" w:ascii="宋体" w:hAnsi="宋体" w:eastAsia="宋体" w:cs="宋体"/>
                <w:bCs/>
                <w:snapToGrid/>
                <w:kern w:val="2"/>
                <w:sz w:val="24"/>
                <w:szCs w:val="24"/>
                <w:lang w:val="en-US" w:eastAsia="zh-CN" w:bidi="ar"/>
              </w:rPr>
              <w:t>2</w:t>
            </w:r>
          </w:p>
        </w:tc>
        <w:tc>
          <w:tcPr>
            <w:tcW w:w="1476" w:type="pct"/>
            <w:vMerge w:val="continue"/>
            <w:tcBorders>
              <w:top w:val="nil"/>
              <w:left w:val="single" w:color="auto" w:sz="4" w:space="0"/>
              <w:bottom w:val="single" w:color="auto" w:sz="4" w:space="0"/>
              <w:right w:val="single" w:color="auto" w:sz="4" w:space="0"/>
            </w:tcBorders>
            <w:shd w:val="clear" w:color="auto" w:fill="auto"/>
            <w:vAlign w:val="center"/>
          </w:tcPr>
          <w:p w14:paraId="6160F1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692604F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（二）相关标准规范</w:t>
      </w:r>
    </w:p>
    <w:p w14:paraId="461A29F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《中华人民共和国环境保护法》</w:t>
      </w:r>
    </w:p>
    <w:p w14:paraId="3F0013D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《中华人民共和国水污染防治法》</w:t>
      </w:r>
    </w:p>
    <w:p w14:paraId="0B580384">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《水和废水监测分析方法》（2002年第四版）</w:t>
      </w:r>
    </w:p>
    <w:p w14:paraId="10ACCB4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《污水综合排放标准》（GB 8978-1996）</w:t>
      </w:r>
    </w:p>
    <w:p w14:paraId="18BB10D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《环境污染源自动监控信息传输、交换技术规范（试行）》（HJ/T 352-2007）</w:t>
      </w:r>
    </w:p>
    <w:p w14:paraId="21B66B6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《污染源在线自动监控(监测)系统数据传输标准》（HJ/T 212-2017）</w:t>
      </w:r>
    </w:p>
    <w:p w14:paraId="156DD20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《水污染源在线监测系统（CODCr、NH3-N等）安装技术规范》（HJ/T 353-2019）</w:t>
      </w:r>
    </w:p>
    <w:p w14:paraId="38DE9D94">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《水污染源在线监测系统（CODCr、NH3-N等）验收技术规范》（HJ/T 354-2019）</w:t>
      </w:r>
    </w:p>
    <w:p w14:paraId="3011B72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《水污染源在线监测系统（CODCr、NH3-N等）运行技术规范》（HJ/T 355-2019）</w:t>
      </w:r>
    </w:p>
    <w:p w14:paraId="2061A5D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《水污染源在线监测系统（CODCr、NH3-N等）数据有效性判别技术规范》（HJ 356-2019）</w:t>
      </w:r>
    </w:p>
    <w:p w14:paraId="1318FEB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《化学需氧量（CODCr）水质在线自动监测仪技术要求及检测方法》（HJ 377-2019）</w:t>
      </w:r>
    </w:p>
    <w:p w14:paraId="5395A2A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《氨氮水质在线自动监测仪技术要求及检测方法》（HJ 101-2019）</w:t>
      </w:r>
    </w:p>
    <w:p w14:paraId="0AD25AD1">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《总磷水质在线自动监测仪技术要求》（HJ/T 103-2003）</w:t>
      </w:r>
    </w:p>
    <w:p w14:paraId="5A3C863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《总氮水质在线自动监测仪技术要求》（HJ/T 102-2003）</w:t>
      </w:r>
    </w:p>
    <w:p w14:paraId="1717A48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《水质自动采样器技术要求及检测方法》（HJ/T 372-2007）</w:t>
      </w:r>
    </w:p>
    <w:p w14:paraId="3BB0D5E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kern w:val="0"/>
          <w:sz w:val="24"/>
          <w:szCs w:val="24"/>
        </w:rPr>
      </w:pPr>
      <w:r>
        <w:rPr>
          <w:rFonts w:hint="eastAsia" w:ascii="宋体" w:hAnsi="宋体" w:eastAsia="宋体" w:cs="宋体"/>
          <w:b/>
          <w:bCs/>
          <w:snapToGrid/>
          <w:kern w:val="0"/>
          <w:sz w:val="24"/>
          <w:szCs w:val="24"/>
          <w:lang w:val="en-US" w:eastAsia="zh-CN" w:bidi="ar"/>
        </w:rPr>
        <w:t>（三）</w:t>
      </w:r>
      <w:r>
        <w:rPr>
          <w:rFonts w:hint="eastAsia" w:ascii="宋体" w:hAnsi="宋体" w:eastAsia="宋体" w:cs="宋体"/>
          <w:b/>
          <w:bCs w:val="0"/>
          <w:snapToGrid/>
          <w:kern w:val="0"/>
          <w:sz w:val="24"/>
          <w:szCs w:val="24"/>
          <w:lang w:val="en-US" w:eastAsia="zh-CN" w:bidi="ar"/>
        </w:rPr>
        <w:t>设备</w:t>
      </w:r>
      <w:r>
        <w:rPr>
          <w:rFonts w:hint="eastAsia" w:ascii="宋体" w:hAnsi="宋体" w:eastAsia="宋体" w:cs="宋体"/>
          <w:b/>
          <w:bCs/>
          <w:snapToGrid/>
          <w:kern w:val="0"/>
          <w:sz w:val="24"/>
          <w:szCs w:val="24"/>
          <w:lang w:val="en-US" w:eastAsia="zh-CN" w:bidi="ar"/>
        </w:rPr>
        <w:t>技术规格</w:t>
      </w:r>
    </w:p>
    <w:p w14:paraId="34C124CA">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1、在线设备总体功能要求：</w:t>
      </w:r>
    </w:p>
    <w:p w14:paraId="1108B7CB">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（1）设备应具有仪器基本参数贮存、断电保护与来电自动恢复功能；</w:t>
      </w:r>
    </w:p>
    <w:p w14:paraId="380C0DD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（2）应具有时间设置功能，可根据需要任意设定监测频次；</w:t>
      </w:r>
    </w:p>
    <w:p w14:paraId="1656C35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（3）应具有仪器故障自动报警、异常值自动报警、试剂余量不足提示等功能；</w:t>
      </w:r>
    </w:p>
    <w:p w14:paraId="23F4931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（4）应具有自动清洗或反吹功能；</w:t>
      </w:r>
    </w:p>
    <w:p w14:paraId="5D912EA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（5）应具有定期自动校准功能；</w:t>
      </w:r>
    </w:p>
    <w:p w14:paraId="30D751D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（6）应具有密封防护箱体及防潮功能；</w:t>
      </w:r>
    </w:p>
    <w:p w14:paraId="24D7020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（7）应具有双向数据及信号传输功能；</w:t>
      </w:r>
    </w:p>
    <w:p w14:paraId="7171FEBC">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（8）输出信号采用4-20mA或RS485/RS232C标准接口，并提供接口协议。</w:t>
      </w:r>
    </w:p>
    <w:p w14:paraId="6574C136">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2、COD水质在线分析仪</w:t>
      </w:r>
    </w:p>
    <w:p w14:paraId="5FE50D7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1）设备用途：</w:t>
      </w:r>
    </w:p>
    <w:p w14:paraId="39AAEAA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用于测量化学需氧量（COD）的在线分析仪，产品工作原理符合《HJ/T 399-2007 水质化学需氧量的测定-快速消解分光光度法》的技术要求。</w:t>
      </w:r>
    </w:p>
    <w:p w14:paraId="70DDE17B">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2）产品性能：</w:t>
      </w:r>
    </w:p>
    <w:p w14:paraId="0FB58DE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仪器定量方式应具备精度高、可靠性强等特点。</w:t>
      </w:r>
    </w:p>
    <w:p w14:paraId="124E1EFA">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仪器应具备多档量程，可根据水样COD含量自动调整量程。</w:t>
      </w:r>
    </w:p>
    <w:p w14:paraId="46DF0FE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应具备自动实现校准、清洗等功能。</w:t>
      </w:r>
    </w:p>
    <w:p w14:paraId="02D2655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出现故障时，应具备自我检查和维护功能，确保人身安全和设备安全。</w:t>
      </w:r>
    </w:p>
    <w:p w14:paraId="58D1B298">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应具备漏液检测报警功能。</w:t>
      </w:r>
    </w:p>
    <w:p w14:paraId="3D044E2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所有故障信息应能在显示终端处予以记录。</w:t>
      </w:r>
    </w:p>
    <w:p w14:paraId="62DFDE12">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显示终端采用触摸屏，分辨率不低于800*480，尺寸不小于7英寸。</w:t>
      </w:r>
    </w:p>
    <w:p w14:paraId="2AF6BFF3">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仪表应具备现场使用的各种接口（（4~20）mA输入、输出/RS232或RS485通讯/开关量输入、输出等）。</w:t>
      </w:r>
    </w:p>
    <w:p w14:paraId="0C1F28F5">
      <w:pPr>
        <w:pStyle w:val="25"/>
        <w:widowControl/>
        <w:spacing w:before="0" w:beforeAutospacing="1" w:line="400" w:lineRule="exact"/>
        <w:ind w:leftChars="200" w:right="0" w:firstLine="560"/>
        <w:rPr>
          <w:rFonts w:hint="eastAsia" w:ascii="宋体" w:hAnsi="宋体" w:eastAsia="宋体" w:cs="宋体"/>
          <w:kern w:val="0"/>
          <w:sz w:val="24"/>
          <w:szCs w:val="24"/>
        </w:rPr>
      </w:pPr>
      <w:r>
        <w:rPr>
          <w:rFonts w:hint="eastAsia" w:ascii="宋体" w:hAnsi="宋体" w:eastAsia="宋体" w:cs="宋体"/>
          <w:kern w:val="0"/>
          <w:sz w:val="24"/>
          <w:szCs w:val="24"/>
        </w:rPr>
        <w:t>3）技术规格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4"/>
        <w:gridCol w:w="6288"/>
      </w:tblGrid>
      <w:tr w14:paraId="2DCF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27C112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名称</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02356C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技术参数</w:t>
            </w:r>
          </w:p>
        </w:tc>
      </w:tr>
      <w:tr w14:paraId="4E0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0A82BBE9">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COD水质在线分析仪</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4871E03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1.测量方法：重铬酸钾氧化分光光度法；</w:t>
            </w:r>
          </w:p>
          <w:p w14:paraId="2A9416F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2.测量范围：15-200mg/L，可扩展；</w:t>
            </w:r>
          </w:p>
          <w:p w14:paraId="29A91AB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3.重复性：≤5.0%；</w:t>
            </w:r>
          </w:p>
          <w:p w14:paraId="1141297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4.24h低浓度漂移：±2.0mg/L；</w:t>
            </w:r>
          </w:p>
          <w:p w14:paraId="2F8FE7F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5.▲24h高浓度漂移：≤0.5%；</w:t>
            </w:r>
          </w:p>
          <w:p w14:paraId="1290A2F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6.▲示值误差：</w:t>
            </w:r>
          </w:p>
          <w:p w14:paraId="0A1E80B1">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20%量程点，±1.5%；</w:t>
            </w:r>
          </w:p>
          <w:p w14:paraId="6C336D85">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50%量程点，±1.0%；</w:t>
            </w:r>
          </w:p>
          <w:p w14:paraId="47687580">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80%量程点，±1.0%。</w:t>
            </w:r>
          </w:p>
          <w:p w14:paraId="2E3B58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7.定量下限：≤15mg/L；</w:t>
            </w:r>
          </w:p>
          <w:p w14:paraId="5F2334C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8.记忆效应：</w:t>
            </w:r>
          </w:p>
          <w:p w14:paraId="7C944810">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80%*→20%*时，±5mg/L；</w:t>
            </w:r>
          </w:p>
          <w:p w14:paraId="0E5AAB6B">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20%*→80%*时，±5mg/L；</w:t>
            </w:r>
          </w:p>
          <w:p w14:paraId="0B839E3D">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*：测试溶液浓度相对于检测范围的百分比。</w:t>
            </w:r>
          </w:p>
          <w:p w14:paraId="5673EF0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9.电压影响：±5.0%；</w:t>
            </w:r>
          </w:p>
          <w:p w14:paraId="193F9F2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10.环境温度影响：±5%</w:t>
            </w:r>
          </w:p>
          <w:p w14:paraId="5C4EB68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11.▲氯离子影响：±1.5%；</w:t>
            </w:r>
          </w:p>
          <w:p w14:paraId="032E5C0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12.实际水样比对试验：</w:t>
            </w:r>
          </w:p>
          <w:p w14:paraId="051F4579">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COD＜50mg/L，绝对误差≤5mg/L；</w:t>
            </w:r>
          </w:p>
          <w:p w14:paraId="63F37CB4">
            <w:pPr>
              <w:keepNext w:val="0"/>
              <w:keepLines w:val="0"/>
              <w:widowControl w:val="0"/>
              <w:suppressLineNumbers w:val="0"/>
              <w:adjustRightInd w:val="0"/>
              <w:snapToGrid w:val="0"/>
              <w:spacing w:before="0" w:beforeAutospacing="0" w:after="0" w:afterAutospacing="0"/>
              <w:ind w:left="0" w:right="0" w:firstLine="48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COD≥50mg/L，相对误差≤10%。</w:t>
            </w:r>
          </w:p>
          <w:p w14:paraId="03FFDBA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13.最小维护周期：≥168h；</w:t>
            </w:r>
          </w:p>
          <w:p w14:paraId="4F90892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14.数据有效率：≥95%</w:t>
            </w:r>
          </w:p>
          <w:p w14:paraId="5F9DBDA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15.▲一致性：≥99%；</w:t>
            </w:r>
          </w:p>
          <w:p w14:paraId="6E8BFEC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16.电源要求：（220±22）VAC；（50±1)Hz；</w:t>
            </w:r>
          </w:p>
          <w:p w14:paraId="1C01602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17.▲设备具备仪器健康诊断功能与耗材寿命管理及报警功能。</w:t>
            </w:r>
          </w:p>
          <w:p w14:paraId="6E30B47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18.▲设备具备适用不同盐度水样测量功能。</w:t>
            </w:r>
          </w:p>
          <w:p w14:paraId="09D72E8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19.▲设备具备漏电保护和过载保护功能。</w:t>
            </w:r>
          </w:p>
          <w:p w14:paraId="467065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20.▲设备具备自动扣除色度、浊度影响功能。</w:t>
            </w:r>
          </w:p>
          <w:p w14:paraId="361B6C6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21.▲设备具备安全门锁功能与安全监测功能。</w:t>
            </w:r>
          </w:p>
        </w:tc>
      </w:tr>
    </w:tbl>
    <w:p w14:paraId="02544621">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3、氨氮水质在线自动分析仪</w:t>
      </w:r>
    </w:p>
    <w:p w14:paraId="5617B391">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1）设备用途</w:t>
      </w:r>
    </w:p>
    <w:p w14:paraId="34BDF0D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用于实现精度、检出限、稳定性和维护量的氨氮自动在线监测设备，工作原理符合《HJ 536-2009 水质氨氮的测定水杨酸分光光度法》的技术要求。</w:t>
      </w:r>
    </w:p>
    <w:p w14:paraId="5D92215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2）产品性能</w:t>
      </w:r>
    </w:p>
    <w:p w14:paraId="0A925EAF">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显色系统应具备完善的保护功能，防止可能出现的漏液等情况。</w:t>
      </w:r>
    </w:p>
    <w:p w14:paraId="7182D26D">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仪器应具备可以调节显色温度及时间，确保反充分。</w:t>
      </w:r>
    </w:p>
    <w:p w14:paraId="6319EE5E">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仪器应具备内置多档量程，仪器可根据水样氨氮含量自动调整量程。</w:t>
      </w:r>
    </w:p>
    <w:p w14:paraId="7064723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仪器可自动实现校准、清洗等功能。</w:t>
      </w:r>
    </w:p>
    <w:p w14:paraId="1700911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仪器出现故障时，应具备自我检查和维护功能，确保人身安全和设备安全。</w:t>
      </w:r>
    </w:p>
    <w:p w14:paraId="2F512326">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仪器应具备漏液检测报警功能。</w:t>
      </w:r>
    </w:p>
    <w:p w14:paraId="765E7090">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所有故障信息应能在显示终端处予以记录。</w:t>
      </w:r>
    </w:p>
    <w:p w14:paraId="1D8FC9EF">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显示终端采用触摸屏，分辨率不低于800*480，尺寸不小于7英寸。</w:t>
      </w:r>
    </w:p>
    <w:p w14:paraId="7464EAC9">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仪表应具备现场使用的各种接口（（4~20）mA输入、输出/RS232或RS485通讯/开关量输入、输出等）。</w:t>
      </w:r>
    </w:p>
    <w:p w14:paraId="55D3F4F7">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outlineLvl w:val="2"/>
        <w:rPr>
          <w:rFonts w:hint="eastAsia" w:ascii="宋体" w:hAnsi="宋体" w:eastAsia="宋体" w:cs="宋体"/>
          <w:snapToGrid/>
          <w:kern w:val="0"/>
          <w:sz w:val="24"/>
          <w:szCs w:val="24"/>
          <w:lang w:val="en-US" w:eastAsia="zh-CN" w:bidi="ar"/>
        </w:rPr>
      </w:pPr>
      <w:r>
        <w:rPr>
          <w:rFonts w:hint="eastAsia" w:ascii="宋体" w:hAnsi="宋体" w:eastAsia="宋体" w:cs="宋体"/>
          <w:snapToGrid/>
          <w:kern w:val="0"/>
          <w:sz w:val="24"/>
          <w:szCs w:val="24"/>
          <w:lang w:val="en-US" w:eastAsia="zh-CN" w:bidi="ar"/>
        </w:rPr>
        <w:t>3）技术规格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4"/>
        <w:gridCol w:w="6288"/>
      </w:tblGrid>
      <w:tr w14:paraId="49E4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3B0F9A7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名称</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37195B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技术参数</w:t>
            </w:r>
          </w:p>
        </w:tc>
      </w:tr>
      <w:tr w14:paraId="378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6C62A2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氨氮水质在线分析仪</w:t>
            </w:r>
          </w:p>
        </w:tc>
        <w:tc>
          <w:tcPr>
            <w:tcW w:w="3689" w:type="pct"/>
            <w:tcBorders>
              <w:top w:val="single" w:color="auto" w:sz="4" w:space="0"/>
              <w:left w:val="single" w:color="auto" w:sz="4" w:space="0"/>
              <w:bottom w:val="single" w:color="auto" w:sz="4" w:space="0"/>
              <w:right w:val="single" w:color="auto" w:sz="4" w:space="0"/>
            </w:tcBorders>
            <w:shd w:val="clear" w:color="auto" w:fill="auto"/>
            <w:vAlign w:val="center"/>
          </w:tcPr>
          <w:p w14:paraId="60739AC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1.测量方法：水杨酸分光光度法；</w:t>
            </w:r>
          </w:p>
          <w:p w14:paraId="4249B96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2.测量范围：0.1～10mg/L，可扩展；</w:t>
            </w:r>
          </w:p>
          <w:p w14:paraId="015A48E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3.重复性：≤2%；</w:t>
            </w:r>
          </w:p>
          <w:p w14:paraId="324F553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4.▲24h低浓度漂移：≤0.005mg/L；</w:t>
            </w:r>
          </w:p>
          <w:p w14:paraId="0A7C6B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5.▲24h高浓度漂移：≤0.5%；</w:t>
            </w:r>
          </w:p>
          <w:p w14:paraId="0C863FB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6.定量下限：≤0.15mg/L（示值误差±30%）；</w:t>
            </w:r>
          </w:p>
          <w:p w14:paraId="1AAE5C1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7.▲示值误差：</w:t>
            </w:r>
          </w:p>
          <w:p w14:paraId="63A3B4B3">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20%量程点，±1.5%；</w:t>
            </w:r>
          </w:p>
          <w:p w14:paraId="1F42AAF5">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50%量程点，±1.0%；</w:t>
            </w:r>
          </w:p>
          <w:p w14:paraId="51254B3E">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80%量程点，±1.0%；</w:t>
            </w:r>
          </w:p>
          <w:p w14:paraId="31C0520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8.▲环境温度影响：±1.0%；</w:t>
            </w:r>
          </w:p>
          <w:p w14:paraId="6C30BC8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9.检出限：≤0.05mg/L；</w:t>
            </w:r>
          </w:p>
          <w:p w14:paraId="6A094D6A">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10.实际水样比对试验：</w:t>
            </w:r>
          </w:p>
          <w:p w14:paraId="1ABA0D75">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氨氮≥2mg/L，相对误差≤10%；</w:t>
            </w:r>
          </w:p>
          <w:p w14:paraId="725AC1E3">
            <w:pPr>
              <w:keepNext w:val="0"/>
              <w:keepLines w:val="0"/>
              <w:widowControl w:val="0"/>
              <w:suppressLineNumbers w:val="0"/>
              <w:adjustRightInd w:val="0"/>
              <w:snapToGrid w:val="0"/>
              <w:spacing w:before="0" w:beforeAutospacing="0" w:after="0" w:afterAutospacing="0"/>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氨氮＜2mg/L，绝对误差≤0.2mg/L。</w:t>
            </w:r>
          </w:p>
          <w:p w14:paraId="029F8E6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11.最小维护周期：≥168h；</w:t>
            </w:r>
          </w:p>
          <w:p w14:paraId="2CFB5AC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12.数据有效率：≥90%；</w:t>
            </w:r>
          </w:p>
          <w:p w14:paraId="71A1B5B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13.▲一致性：≥99%；</w:t>
            </w:r>
          </w:p>
          <w:p w14:paraId="21C6C60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14.通讯方式：数字输出：RS232/RS485/4-20mA；</w:t>
            </w:r>
          </w:p>
          <w:p w14:paraId="0223077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15.电源要求：（220±22）VAC；（50±1)Hz；</w:t>
            </w:r>
          </w:p>
          <w:p w14:paraId="5B634E2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16.工作环境温度：(5~45)℃；</w:t>
            </w:r>
          </w:p>
          <w:p w14:paraId="63FBD26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17.▲设备具备试剂冷藏功能；</w:t>
            </w:r>
          </w:p>
          <w:p w14:paraId="574911E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18.▲设备具备仪器健康诊断功能与耗材寿命管理及报警功能；</w:t>
            </w:r>
          </w:p>
          <w:p w14:paraId="060DBA7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19.▲设备具备适用不同盐度水样测量功能；</w:t>
            </w:r>
          </w:p>
          <w:p w14:paraId="379174F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20.▲设备具备漏电保护和过载保护功能；</w:t>
            </w:r>
          </w:p>
          <w:p w14:paraId="08609B7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21.▲设备具备自动扣除色度、浊度影响功能；</w:t>
            </w:r>
          </w:p>
          <w:p w14:paraId="621E98D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22.具有仪器运行周期（连续、间歇、周期、手动）设置功能；</w:t>
            </w:r>
          </w:p>
          <w:p w14:paraId="1404436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23.具有废液分离功能，做样时根据废液性质不同分别排放；</w:t>
            </w:r>
          </w:p>
          <w:p w14:paraId="56F1112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24.存储、查询至少1年以上历史数据；</w:t>
            </w:r>
          </w:p>
        </w:tc>
      </w:tr>
    </w:tbl>
    <w:p w14:paraId="35C7574B">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kern w:val="0"/>
          <w:sz w:val="24"/>
          <w:szCs w:val="24"/>
        </w:rPr>
      </w:pPr>
      <w:r>
        <w:rPr>
          <w:rFonts w:hint="eastAsia" w:ascii="宋体" w:hAnsi="宋体" w:eastAsia="宋体" w:cs="宋体"/>
          <w:b/>
          <w:bCs w:val="0"/>
          <w:snapToGrid/>
          <w:kern w:val="0"/>
          <w:sz w:val="24"/>
          <w:szCs w:val="24"/>
          <w:lang w:val="en-US" w:eastAsia="zh-CN" w:bidi="ar"/>
        </w:rPr>
        <w:t>4、视频监控系统升级</w:t>
      </w:r>
    </w:p>
    <w:p w14:paraId="30BD16CE">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两座污水站现有的视频监控系统，视频回放不满足一年，需进行升级。升级后满足《关于加强技术防控提升排污单位自行监测质量的通知》附录二中的要求。具体要求如下（满足不限于）：</w:t>
      </w:r>
    </w:p>
    <w:p w14:paraId="44EB10B2">
      <w:pPr>
        <w:keepNext w:val="0"/>
        <w:keepLines w:val="0"/>
        <w:widowControl w:val="0"/>
        <w:numPr>
          <w:ilvl w:val="0"/>
          <w:numId w:val="1"/>
        </w:numPr>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视频数据存储在现场的硬盘录像机中，存储时限不少于1年。</w:t>
      </w:r>
    </w:p>
    <w:p w14:paraId="0CE60BAF">
      <w:pPr>
        <w:keepNext w:val="0"/>
        <w:keepLines w:val="0"/>
        <w:widowControl w:val="0"/>
        <w:numPr>
          <w:ilvl w:val="0"/>
          <w:numId w:val="1"/>
        </w:numPr>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硬盘录像机应支持H.264、H.265、Smart264、Smart265 等视频解码格式，具有录像、浏览、检索、回放、下载、录像标记、录像锁定等功能。</w:t>
      </w:r>
    </w:p>
    <w:p w14:paraId="05663795">
      <w:pPr>
        <w:keepNext w:val="0"/>
        <w:keepLines w:val="0"/>
        <w:widowControl w:val="0"/>
        <w:suppressLineNumbers w:val="0"/>
        <w:adjustRightInd w:val="0"/>
        <w:snapToGrid w:val="0"/>
        <w:spacing w:before="0" w:beforeAutospacing="0" w:after="12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snapToGrid/>
          <w:kern w:val="0"/>
          <w:sz w:val="24"/>
          <w:szCs w:val="24"/>
          <w:lang w:val="en-US" w:eastAsia="zh-CN" w:bidi="ar"/>
        </w:rPr>
        <w:t>3.不少于2个百兆以太网口，不少于1路 HDMI、1 路 VGA 输出支持 1920x1080 以上分辨率视频输出显示。</w:t>
      </w:r>
    </w:p>
    <w:p w14:paraId="59ADE46D">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三、报价要求</w:t>
      </w:r>
    </w:p>
    <w:p w14:paraId="3DB4617D">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1.总价</w:t>
      </w:r>
      <w:r>
        <w:rPr>
          <w:rFonts w:hint="eastAsia" w:ascii="宋体" w:hAnsi="宋体" w:eastAsia="宋体" w:cs="宋体"/>
          <w:snapToGrid/>
          <w:kern w:val="0"/>
          <w:sz w:val="24"/>
          <w:szCs w:val="24"/>
          <w:u w:val="single"/>
          <w:lang w:val="en-US" w:eastAsia="zh-CN" w:bidi="ar"/>
        </w:rPr>
        <w:t>27.5万元</w:t>
      </w:r>
      <w:r>
        <w:rPr>
          <w:rFonts w:hint="eastAsia" w:ascii="宋体" w:hAnsi="宋体" w:eastAsia="宋体" w:cs="宋体"/>
          <w:snapToGrid/>
          <w:color w:val="000000"/>
          <w:kern w:val="0"/>
          <w:sz w:val="24"/>
          <w:szCs w:val="24"/>
          <w:lang w:val="en-US" w:eastAsia="zh-CN" w:bidi="ar"/>
        </w:rPr>
        <w:t>，投标报价不得高于最高限价及单价最高限价。</w:t>
      </w:r>
    </w:p>
    <w:p w14:paraId="3B5F98B9">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2.中标人中标后需要按投标承诺及投标方案提供培训及售后服务，需按时提供本项目售后服务方案、培训方案，所需费用均包含在投标报价中。 </w:t>
      </w:r>
    </w:p>
    <w:p w14:paraId="029F2BA2">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3.本项目涉及设备调试费用均已包含在各项单价中，投标人报价时可勘察现场后自行考虑此项费用，结算时不予调整； </w:t>
      </w:r>
    </w:p>
    <w:p w14:paraId="0DCDA871">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eastAsia="宋体"/>
          <w:kern w:val="0"/>
          <w:sz w:val="24"/>
          <w:szCs w:val="24"/>
        </w:rPr>
      </w:pPr>
      <w:r>
        <w:rPr>
          <w:rFonts w:hint="eastAsia" w:ascii="宋体" w:hAnsi="宋体" w:eastAsia="宋体" w:cs="宋体"/>
          <w:snapToGrid/>
          <w:color w:val="000000"/>
          <w:kern w:val="0"/>
          <w:sz w:val="24"/>
          <w:szCs w:val="24"/>
          <w:lang w:val="en-US" w:eastAsia="zh-CN" w:bidi="ar"/>
        </w:rPr>
        <w:t xml:space="preserve">4.项目涉及到安装过程的配套实施内容，此项费用综合考虑，包含在投标报价中，投标人可自行前往医院勘查现场后考虑报价，结算不予调整。 </w:t>
      </w:r>
    </w:p>
    <w:p w14:paraId="77EF6B09">
      <w:pPr>
        <w:keepNext w:val="0"/>
        <w:keepLines w:val="0"/>
        <w:widowControl/>
        <w:suppressLineNumbers w:val="0"/>
        <w:autoSpaceDE w:val="0"/>
        <w:autoSpaceDN/>
        <w:adjustRightInd w:val="0"/>
        <w:snapToGrid w:val="0"/>
        <w:spacing w:before="0" w:beforeAutospacing="0" w:after="0" w:afterAutospacing="0" w:line="360" w:lineRule="auto"/>
        <w:ind w:left="0" w:right="0" w:firstLine="360" w:firstLineChars="150"/>
        <w:jc w:val="left"/>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综合单价包括：设备费、运输费、实施过程中所需产生的第三方检测等费用、管理费、利润、风险费用、调试、培训及后期服务及国家对中标单位征收的各种税费等所有一切费用，综合单价今后将不作任何调整。</w:t>
      </w:r>
    </w:p>
    <w:p w14:paraId="5F40E95D">
      <w:pPr>
        <w:keepNext w:val="0"/>
        <w:keepLines w:val="0"/>
        <w:widowControl w:val="0"/>
        <w:suppressLineNumbers w:val="0"/>
        <w:adjustRightInd w:val="0"/>
        <w:snapToGrid w:val="0"/>
        <w:spacing w:before="0" w:beforeAutospacing="0" w:after="120" w:afterAutospacing="0" w:line="400" w:lineRule="exact"/>
        <w:ind w:left="0" w:right="0" w:firstLine="482" w:firstLineChars="200"/>
        <w:jc w:val="left"/>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四、其他要求</w:t>
      </w:r>
    </w:p>
    <w:p w14:paraId="4931AF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水质在线监测仪参考品牌：碧水、皖仪、聚光；供应商可选择其他品牌，但是必须满足相关技术要求。</w:t>
      </w:r>
    </w:p>
    <w:p w14:paraId="09DA02D1">
      <w:pPr>
        <w:spacing w:line="360" w:lineRule="auto"/>
        <w:jc w:val="center"/>
        <w:outlineLvl w:val="0"/>
        <w:rPr>
          <w:rFonts w:hint="eastAsia" w:ascii="宋体" w:hAnsi="宋体" w:eastAsia="宋体"/>
          <w:b/>
          <w:color w:val="auto"/>
          <w:sz w:val="28"/>
          <w:highlight w:val="none"/>
        </w:rPr>
      </w:pPr>
    </w:p>
    <w:p w14:paraId="7913B1CF">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4A3564FA">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42A4A2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39674257">
      <w:pPr>
        <w:spacing w:line="360" w:lineRule="auto"/>
        <w:ind w:firstLine="437"/>
        <w:outlineLvl w:val="1"/>
        <w:rPr>
          <w:rFonts w:ascii="宋体" w:hAnsi="宋体" w:eastAsia="宋体"/>
          <w:b/>
          <w:color w:val="auto"/>
          <w:sz w:val="24"/>
          <w:highlight w:val="none"/>
        </w:rPr>
      </w:pPr>
      <w:bookmarkStart w:id="36" w:name="_Toc13117"/>
      <w:bookmarkStart w:id="37" w:name="_Toc31871"/>
      <w:r>
        <w:rPr>
          <w:rFonts w:hint="eastAsia" w:ascii="宋体" w:hAnsi="宋体" w:eastAsia="宋体"/>
          <w:b/>
          <w:color w:val="auto"/>
          <w:sz w:val="24"/>
          <w:highlight w:val="none"/>
        </w:rPr>
        <w:t>二、评标方法</w:t>
      </w:r>
      <w:bookmarkEnd w:id="36"/>
      <w:bookmarkEnd w:id="37"/>
    </w:p>
    <w:p w14:paraId="7E502A62">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7"/>
        <w:gridCol w:w="4552"/>
        <w:gridCol w:w="1905"/>
      </w:tblGrid>
      <w:tr w14:paraId="5E64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9C01C1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9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4A0712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6E27842">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8" w:type="pct"/>
            <w:tcBorders>
              <w:bottom w:val="single" w:color="auto" w:sz="4" w:space="0"/>
            </w:tcBorders>
            <w:vAlign w:val="center"/>
          </w:tcPr>
          <w:p w14:paraId="338D1EB4">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4" w:type="pct"/>
            <w:tcBorders>
              <w:bottom w:val="single" w:color="auto" w:sz="4" w:space="0"/>
            </w:tcBorders>
            <w:vAlign w:val="center"/>
          </w:tcPr>
          <w:p w14:paraId="1C48FC62">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21A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5BFBEC0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7DC2324E">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8" w:type="pct"/>
            <w:tcBorders>
              <w:bottom w:val="single" w:color="auto" w:sz="4" w:space="0"/>
            </w:tcBorders>
            <w:vAlign w:val="center"/>
          </w:tcPr>
          <w:p w14:paraId="4C187524">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541117E0">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272EC270">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4" w:type="pct"/>
            <w:vAlign w:val="center"/>
          </w:tcPr>
          <w:p w14:paraId="537EE024">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6E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74EF353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0" w:type="pct"/>
            <w:tcBorders>
              <w:bottom w:val="single" w:color="auto" w:sz="4" w:space="0"/>
            </w:tcBorders>
            <w:vAlign w:val="center"/>
          </w:tcPr>
          <w:p w14:paraId="3B376E81">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8" w:type="pct"/>
            <w:tcBorders>
              <w:bottom w:val="single" w:color="auto" w:sz="4" w:space="0"/>
            </w:tcBorders>
            <w:vAlign w:val="center"/>
          </w:tcPr>
          <w:p w14:paraId="4947959C">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4" w:type="pct"/>
            <w:vAlign w:val="center"/>
          </w:tcPr>
          <w:p w14:paraId="12B4E41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569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243475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927" w:type="dxa"/>
            <w:tcBorders>
              <w:bottom w:val="single" w:color="auto" w:sz="4" w:space="0"/>
            </w:tcBorders>
            <w:vAlign w:val="center"/>
          </w:tcPr>
          <w:p w14:paraId="2239E320">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5323" w:type="dxa"/>
            <w:tcBorders>
              <w:bottom w:val="single" w:color="auto" w:sz="4" w:space="0"/>
            </w:tcBorders>
            <w:vAlign w:val="center"/>
          </w:tcPr>
          <w:p w14:paraId="12957F5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2221" w:type="dxa"/>
            <w:vAlign w:val="center"/>
          </w:tcPr>
          <w:p w14:paraId="597DB181">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3458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213850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40" w:type="pct"/>
            <w:tcBorders>
              <w:bottom w:val="single" w:color="auto" w:sz="4" w:space="0"/>
            </w:tcBorders>
            <w:vAlign w:val="center"/>
          </w:tcPr>
          <w:p w14:paraId="711F310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5323" w:type="dxa"/>
            <w:tcBorders>
              <w:bottom w:val="single" w:color="auto" w:sz="4" w:space="0"/>
            </w:tcBorders>
            <w:vAlign w:val="center"/>
          </w:tcPr>
          <w:p w14:paraId="7F26B234">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2221" w:type="dxa"/>
            <w:tcBorders>
              <w:bottom w:val="single" w:color="auto" w:sz="4" w:space="0"/>
            </w:tcBorders>
            <w:vAlign w:val="center"/>
          </w:tcPr>
          <w:p w14:paraId="270A3947">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1A5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5F2A195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0" w:type="pct"/>
            <w:tcBorders>
              <w:bottom w:val="single" w:color="auto" w:sz="4" w:space="0"/>
            </w:tcBorders>
            <w:vAlign w:val="center"/>
          </w:tcPr>
          <w:p w14:paraId="5C9EA9E3">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default" w:ascii="宋体" w:hAnsi="宋体" w:eastAsia="宋体" w:cs="宋体"/>
                <w:spacing w:val="10"/>
                <w:sz w:val="24"/>
                <w:szCs w:val="24"/>
                <w:highlight w:val="none"/>
              </w:rPr>
              <w:t>其他特定资格要求</w:t>
            </w:r>
          </w:p>
        </w:tc>
        <w:tc>
          <w:tcPr>
            <w:tcW w:w="2598" w:type="pct"/>
            <w:tcBorders>
              <w:bottom w:val="single" w:color="auto" w:sz="4" w:space="0"/>
            </w:tcBorders>
            <w:vAlign w:val="center"/>
          </w:tcPr>
          <w:p w14:paraId="69864A03">
            <w:pPr>
              <w:keepNext w:val="0"/>
              <w:keepLines w:val="0"/>
              <w:suppressLineNumbers w:val="0"/>
              <w:spacing w:before="0" w:beforeAutospacing="0" w:after="50" w:afterAutospacing="0" w:line="360" w:lineRule="auto"/>
              <w:ind w:left="0" w:right="-10"/>
              <w:jc w:val="both"/>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lang w:val="en-US" w:eastAsia="zh-CN"/>
              </w:rPr>
              <w:t>无</w:t>
            </w:r>
          </w:p>
        </w:tc>
        <w:tc>
          <w:tcPr>
            <w:tcW w:w="1084" w:type="pct"/>
            <w:tcBorders>
              <w:bottom w:val="single" w:color="auto" w:sz="4" w:space="0"/>
            </w:tcBorders>
            <w:vAlign w:val="center"/>
          </w:tcPr>
          <w:p w14:paraId="54FDC3AF">
            <w:pPr>
              <w:keepNext w:val="0"/>
              <w:keepLines w:val="0"/>
              <w:suppressLineNumbers w:val="0"/>
              <w:spacing w:before="0" w:beforeAutospacing="0" w:after="50" w:afterAutospacing="0" w:line="360" w:lineRule="auto"/>
              <w:ind w:left="0" w:right="-10"/>
              <w:jc w:val="both"/>
              <w:rPr>
                <w:rFonts w:hint="eastAsia" w:ascii="宋体" w:hAnsi="宋体" w:eastAsia="宋体"/>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无</w:t>
            </w:r>
          </w:p>
        </w:tc>
      </w:tr>
    </w:tbl>
    <w:p w14:paraId="327179D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6FDE86F">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FD3829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1FF2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9658E0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2954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9801A1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4E4A01C7">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2420803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3E47FC2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DB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B8A8AC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2F0829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72B86C4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346054F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210D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2BD84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4BB658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FCC00DD">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D67769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C84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5A396D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7C4DEB5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5F9B763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543A3A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5B0B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1D9867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27E84BC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029596E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6A5F821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9C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FF52F0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62A1DC54">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19384E81">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2A406D1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02D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E4404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52A88FA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5AE367E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316230D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57F8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37BB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4589B3C8">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2FE248CB">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0E4A7D8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06726087">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0B035796">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77E9FC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0F14E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6C31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43EBE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0675A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043ABB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6111F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1A8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1B99A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6DCEEE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184B9D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企业资信</w:t>
            </w:r>
          </w:p>
        </w:tc>
        <w:tc>
          <w:tcPr>
            <w:tcW w:w="3036" w:type="pct"/>
            <w:tcBorders>
              <w:top w:val="single" w:color="auto" w:sz="4" w:space="0"/>
              <w:left w:val="single" w:color="auto" w:sz="4" w:space="0"/>
              <w:bottom w:val="single" w:color="auto" w:sz="4" w:space="0"/>
              <w:right w:val="single" w:color="auto" w:sz="4" w:space="0"/>
            </w:tcBorders>
            <w:vAlign w:val="center"/>
          </w:tcPr>
          <w:p w14:paraId="2CBE48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供应商具有有效的</w:t>
            </w:r>
            <w:r>
              <w:rPr>
                <w:rFonts w:hint="eastAsia" w:ascii="宋体" w:hAnsi="宋体" w:cs="宋体"/>
                <w:color w:val="auto"/>
                <w:sz w:val="21"/>
                <w:szCs w:val="21"/>
                <w:highlight w:val="none"/>
                <w:lang w:val="en-US" w:eastAsia="zh-CN"/>
              </w:rPr>
              <w:t>ISO</w:t>
            </w:r>
            <w:r>
              <w:rPr>
                <w:rFonts w:hint="eastAsia" w:ascii="宋体" w:hAnsi="宋体" w:eastAsia="宋体" w:cs="宋体"/>
                <w:color w:val="auto"/>
                <w:sz w:val="21"/>
                <w:szCs w:val="21"/>
                <w:highlight w:val="none"/>
              </w:rPr>
              <w:t>质量管理体系认证、环境管理体系认证、职业健康安全管理体系认证。每个得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分。证书必须在证书有效期内，否则不得分。</w:t>
            </w:r>
          </w:p>
        </w:tc>
        <w:tc>
          <w:tcPr>
            <w:tcW w:w="537" w:type="pct"/>
            <w:tcBorders>
              <w:top w:val="single" w:color="auto" w:sz="4" w:space="0"/>
              <w:left w:val="single" w:color="auto" w:sz="4" w:space="0"/>
              <w:bottom w:val="single" w:color="auto" w:sz="4" w:space="0"/>
              <w:right w:val="single" w:color="auto" w:sz="4" w:space="0"/>
            </w:tcBorders>
            <w:vAlign w:val="center"/>
          </w:tcPr>
          <w:p w14:paraId="00EA3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6A5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39" w:type="pct"/>
            <w:vMerge w:val="continue"/>
            <w:tcBorders>
              <w:left w:val="single" w:color="auto" w:sz="4" w:space="0"/>
              <w:right w:val="single" w:color="auto" w:sz="4" w:space="0"/>
            </w:tcBorders>
            <w:vAlign w:val="center"/>
          </w:tcPr>
          <w:p w14:paraId="1F2ADB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D7ECB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right w:val="single" w:color="auto" w:sz="4" w:space="0"/>
            </w:tcBorders>
            <w:vAlign w:val="center"/>
          </w:tcPr>
          <w:p w14:paraId="0F8FA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年1月1日以来(以合同签订时间为准)，投标人提供在线监测设备供货</w:t>
            </w:r>
            <w:r>
              <w:rPr>
                <w:rFonts w:hint="eastAsia" w:ascii="宋体" w:hAnsi="宋体" w:eastAsia="宋体" w:cs="宋体"/>
                <w:color w:val="auto"/>
                <w:sz w:val="21"/>
                <w:szCs w:val="21"/>
                <w:highlight w:val="none"/>
                <w:lang w:val="en-US" w:eastAsia="zh-CN"/>
              </w:rPr>
              <w:t>安装</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或污水处理站工程业绩</w:t>
            </w:r>
            <w:r>
              <w:rPr>
                <w:rFonts w:hint="eastAsia" w:ascii="宋体" w:hAnsi="宋体" w:eastAsia="宋体" w:cs="宋体"/>
                <w:color w:val="auto"/>
                <w:sz w:val="21"/>
                <w:szCs w:val="21"/>
                <w:highlight w:val="none"/>
              </w:rPr>
              <w:t>，每提供一个业绩得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94F22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注：投标文件中提供合同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或影印件，如合同中无法体现签订时间、设备等相关信息的，须同时另附业主证明等相关证明材料，否则不得分。</w:t>
            </w:r>
          </w:p>
        </w:tc>
        <w:tc>
          <w:tcPr>
            <w:tcW w:w="537" w:type="pct"/>
            <w:tcBorders>
              <w:top w:val="single" w:color="auto" w:sz="4" w:space="0"/>
              <w:left w:val="single" w:color="auto" w:sz="4" w:space="0"/>
              <w:right w:val="single" w:color="auto" w:sz="4" w:space="0"/>
            </w:tcBorders>
            <w:vAlign w:val="center"/>
          </w:tcPr>
          <w:p w14:paraId="6D6643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0-6分</w:t>
            </w:r>
          </w:p>
        </w:tc>
      </w:tr>
      <w:tr w14:paraId="3A67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BE499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22BFC6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w:t>
            </w:r>
          </w:p>
        </w:tc>
        <w:tc>
          <w:tcPr>
            <w:tcW w:w="3036" w:type="pct"/>
            <w:tcBorders>
              <w:top w:val="single" w:color="auto" w:sz="4" w:space="0"/>
              <w:left w:val="single" w:color="auto" w:sz="4" w:space="0"/>
              <w:bottom w:val="single" w:color="auto" w:sz="4" w:space="0"/>
              <w:right w:val="single" w:color="auto" w:sz="4" w:space="0"/>
            </w:tcBorders>
            <w:vAlign w:val="center"/>
          </w:tcPr>
          <w:p w14:paraId="07954D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bidi="zh-CN"/>
              </w:rPr>
              <w:t>根</w:t>
            </w:r>
            <w:r>
              <w:rPr>
                <w:rFonts w:hint="eastAsia" w:ascii="宋体" w:hAnsi="宋体" w:eastAsia="宋体" w:cs="宋体"/>
                <w:color w:val="auto"/>
                <w:sz w:val="21"/>
                <w:szCs w:val="21"/>
                <w:highlight w:val="none"/>
              </w:rPr>
              <w:t>据投标文件中技术规格及参数要求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标注“▲”号</w:t>
            </w:r>
            <w:r>
              <w:rPr>
                <w:rFonts w:hint="eastAsia" w:ascii="宋体" w:hAnsi="宋体" w:eastAsia="宋体" w:cs="宋体"/>
                <w:color w:val="auto"/>
                <w:sz w:val="21"/>
                <w:szCs w:val="21"/>
                <w:highlight w:val="none"/>
                <w:lang w:val="en-US"/>
              </w:rPr>
              <w:t>的技术</w:t>
            </w:r>
            <w:r>
              <w:rPr>
                <w:rFonts w:hint="eastAsia" w:ascii="宋体" w:hAnsi="宋体" w:eastAsia="宋体" w:cs="宋体"/>
                <w:color w:val="auto"/>
                <w:sz w:val="21"/>
                <w:szCs w:val="21"/>
                <w:highlight w:val="none"/>
              </w:rPr>
              <w:t>参数</w:t>
            </w:r>
            <w:r>
              <w:rPr>
                <w:rFonts w:hint="eastAsia" w:ascii="宋体" w:hAnsi="宋体" w:eastAsia="宋体" w:cs="宋体"/>
                <w:color w:val="auto"/>
                <w:sz w:val="21"/>
                <w:szCs w:val="21"/>
                <w:highlight w:val="none"/>
                <w:lang w:val="en-US"/>
              </w:rPr>
              <w:t>条款</w:t>
            </w:r>
            <w:r>
              <w:rPr>
                <w:rFonts w:hint="eastAsia" w:ascii="宋体" w:hAnsi="宋体" w:eastAsia="宋体" w:cs="宋体"/>
                <w:color w:val="auto"/>
                <w:sz w:val="21"/>
                <w:szCs w:val="21"/>
                <w:highlight w:val="none"/>
              </w:rPr>
              <w:t>，共</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项，每有一项满足或优于招标要求的</w:t>
            </w:r>
            <w:r>
              <w:rPr>
                <w:rFonts w:hint="eastAsia" w:ascii="宋体" w:hAnsi="宋体" w:eastAsia="宋体" w:cs="宋体"/>
                <w:color w:val="auto"/>
                <w:sz w:val="21"/>
                <w:szCs w:val="21"/>
                <w:highlight w:val="none"/>
                <w:lang w:eastAsia="zh-CN"/>
              </w:rPr>
              <w:t>并提供证明材料的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未提供不得分</w:t>
            </w:r>
          </w:p>
          <w:p w14:paraId="0801D0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“▲”可提供有效期内检测报告或测试证书；</w:t>
            </w:r>
          </w:p>
        </w:tc>
        <w:tc>
          <w:tcPr>
            <w:tcW w:w="537" w:type="pct"/>
            <w:tcBorders>
              <w:top w:val="single" w:color="auto" w:sz="4" w:space="0"/>
              <w:left w:val="single" w:color="auto" w:sz="4" w:space="0"/>
              <w:bottom w:val="single" w:color="auto" w:sz="4" w:space="0"/>
              <w:right w:val="single" w:color="auto" w:sz="4" w:space="0"/>
            </w:tcBorders>
            <w:vAlign w:val="center"/>
          </w:tcPr>
          <w:p w14:paraId="5A46AE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0-38分</w:t>
            </w:r>
          </w:p>
        </w:tc>
      </w:tr>
      <w:tr w14:paraId="37A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151F0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21A3CC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145226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投标人须提供免费质保承诺，免费质保期至少为2年，满足要求的不得分。在2年的基础上，承诺每延长1年加4分（不足1年不加分），本项最高得8分。</w:t>
            </w:r>
          </w:p>
          <w:p w14:paraId="7DA646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7999B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0-8分</w:t>
            </w:r>
          </w:p>
        </w:tc>
      </w:tr>
      <w:tr w14:paraId="07C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8500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C294B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31240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售后服务方案包含但不限于以下内容：</w:t>
            </w:r>
          </w:p>
          <w:p w14:paraId="5233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1.售后响应时间：2小时以内。</w:t>
            </w:r>
          </w:p>
          <w:p w14:paraId="34FA0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2.报修后故障修复时间：3个工作日，超过此时间需提供备用机。</w:t>
            </w:r>
          </w:p>
          <w:p w14:paraId="2C4658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3.维保期内每年至少巡检2次。</w:t>
            </w:r>
          </w:p>
          <w:p w14:paraId="7F3461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评审根据投标文件中提供的售后服务方案与措施进行评比：</w:t>
            </w:r>
          </w:p>
          <w:p w14:paraId="66FAB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（1）包括保修内容与范围、维修响应时间、售后服务等，方案完善可行性强，科学合理，完全满足项目采购需求的得12分；</w:t>
            </w:r>
          </w:p>
          <w:p w14:paraId="33CD8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376D5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AB689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24D54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0-12分</w:t>
            </w:r>
          </w:p>
        </w:tc>
      </w:tr>
      <w:tr w14:paraId="0CC0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9" w:type="pct"/>
            <w:tcBorders>
              <w:left w:val="single" w:color="auto" w:sz="4" w:space="0"/>
              <w:right w:val="single" w:color="auto" w:sz="4" w:space="0"/>
            </w:tcBorders>
            <w:vAlign w:val="center"/>
          </w:tcPr>
          <w:p w14:paraId="34022B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4076C3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4CDF3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1DA0B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7A3DD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101759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7F726F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36CA5FC2">
      <w:pPr>
        <w:spacing w:line="360" w:lineRule="auto"/>
        <w:jc w:val="center"/>
        <w:outlineLvl w:val="0"/>
        <w:rPr>
          <w:rFonts w:hint="eastAsia" w:ascii="宋体" w:hAnsi="宋体" w:eastAsia="宋体"/>
          <w:b/>
          <w:color w:val="auto"/>
          <w:sz w:val="28"/>
          <w:highlight w:val="none"/>
        </w:rPr>
      </w:pPr>
      <w:bookmarkStart w:id="38" w:name="_Toc4682"/>
    </w:p>
    <w:p w14:paraId="78F5055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1997DCC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75F8A58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310A7D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7043A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139E2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332661">
      <w:pPr>
        <w:pStyle w:val="9"/>
        <w:rPr>
          <w:rFonts w:hint="eastAsia" w:ascii="宋体" w:hAnsi="宋体" w:eastAsia="宋体" w:cs="宋体"/>
          <w:b/>
          <w:bCs/>
          <w:spacing w:val="-20"/>
          <w:kern w:val="44"/>
          <w:sz w:val="24"/>
          <w:szCs w:val="24"/>
          <w:highlight w:val="none"/>
        </w:rPr>
      </w:pPr>
    </w:p>
    <w:p w14:paraId="7310B243">
      <w:pPr>
        <w:pStyle w:val="9"/>
        <w:rPr>
          <w:rFonts w:hint="eastAsia" w:ascii="宋体" w:hAnsi="宋体" w:eastAsia="宋体" w:cs="宋体"/>
          <w:b/>
          <w:bCs/>
          <w:spacing w:val="-20"/>
          <w:kern w:val="44"/>
          <w:sz w:val="24"/>
          <w:szCs w:val="24"/>
          <w:highlight w:val="none"/>
        </w:rPr>
      </w:pPr>
    </w:p>
    <w:p w14:paraId="5BDF8A9E">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D7C7CBE">
      <w:pPr>
        <w:pStyle w:val="9"/>
        <w:pageBreakBefore w:val="0"/>
        <w:kinsoku/>
        <w:wordWrap/>
        <w:overflowPunct/>
        <w:topLinePunct w:val="0"/>
        <w:bidi w:val="0"/>
        <w:spacing w:line="360" w:lineRule="auto"/>
        <w:textAlignment w:val="auto"/>
        <w:rPr>
          <w:rFonts w:hint="eastAsia"/>
          <w:highlight w:val="none"/>
        </w:rPr>
      </w:pPr>
    </w:p>
    <w:p w14:paraId="623218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70F939">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4E43A273">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1CF9BAF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2EE7E7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201855AC">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187440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FCEAB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77B58F3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A78567F">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16EA805">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39" w:name="_Toc22209"/>
      <w:r>
        <w:rPr>
          <w:rFonts w:hint="eastAsia" w:ascii="宋体" w:hAnsi="宋体" w:eastAsia="宋体" w:cs="@仿宋_GB2312"/>
          <w:b/>
          <w:color w:val="000000"/>
          <w:sz w:val="24"/>
          <w:szCs w:val="20"/>
          <w:highlight w:val="none"/>
        </w:rPr>
        <w:t>第一节 政府采购合同协议书</w:t>
      </w:r>
      <w:bookmarkEnd w:id="39"/>
    </w:p>
    <w:p w14:paraId="43E07236">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796EA2F">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5B9143C6">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A193AF4">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6478593">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205D2CEB">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滁州市第一人民医院南北区污水站在线设备COD、氨氮水质分析仪及视频监控升级采购项目</w:t>
      </w:r>
      <w:r>
        <w:rPr>
          <w:rFonts w:hint="eastAsia" w:ascii="宋体" w:hAnsi="宋体" w:eastAsia="宋体" w:cs="宋体"/>
          <w:sz w:val="24"/>
          <w:szCs w:val="24"/>
          <w:highlight w:val="none"/>
          <w:u w:val="single"/>
        </w:rPr>
        <w:t xml:space="preserve"> </w:t>
      </w:r>
    </w:p>
    <w:p w14:paraId="56A32AEF">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CZYY-2025-</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p>
    <w:p w14:paraId="6778F92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5F4AAA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4C37DD3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18351A6">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14839A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8A4C27D">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03FD3D04">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0CDB46">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588DD96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3CCC3A6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否</w:t>
      </w:r>
    </w:p>
    <w:p w14:paraId="2D57A6A2">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3723C46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7DAAA5C5">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0CBC8955">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662271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1283A2B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040BEA8">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A2CE7B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5BA8653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753BD9FF">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2FE888F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AD0B849">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eastAsia="zh-CN"/>
        </w:rPr>
        <w:t xml:space="preserve"> 合同签订、货物到场后付至合同价款的30%，安装调试并正常使用后付至合同价款的90%，环保验收合格后付至合同价款的100%。 </w:t>
      </w:r>
    </w:p>
    <w:p w14:paraId="7A5978AB">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F1420BD">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4D11953">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D47F2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F88DB9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32594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3C8B644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1B4ACCD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F40853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C4F28D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109B3B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192CB9E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0E40333">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1E28791">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0942E834">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5FE4F10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F0F512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E9EAB3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C682AE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AC764C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23A61AD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05F9B6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6A93113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65074AC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6F0ACB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634E9E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50C03C7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7F12A87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F352133">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EC508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F4C9B6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D24512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3EBD38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4026B2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84EF2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3C820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D2D896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30D5D5A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35AD2B2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D2D277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E73975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F9779E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672014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4C96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DA973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496E17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1BE5A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9044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BDEA0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00BBA5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6707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03A7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1755F8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99D4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98C9E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FEB43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78DFCE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141F2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C6DC6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169229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709E03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42EE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7F06ED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5ABC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F0B0B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06C7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34FB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B4D8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E97E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72C13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D17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5DF52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38F3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E7A4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27C5A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ECABC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11FB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21ED1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861D1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C7A06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1E83E8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91DEB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FC8EB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2A2C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06C33E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7E299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AD333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CE9157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90CC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9E2D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C22AB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33A13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38953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9953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633843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1D4DC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EE784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3DB8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D120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58BD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63D02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FC10F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131F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3B88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464173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F4A16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E7EC47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46DC8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17C2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240111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43062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BBFEF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E88A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4642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7D902E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4B2C22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2B618A5">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0"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0"/>
    </w:p>
    <w:p w14:paraId="4C24DA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7D63F7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3086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3FA81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0B368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15FCB4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9EA85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25A76B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39CE02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5B02FB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6EB8D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B03A5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88CF01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7370296">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EF37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7E2FA62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327824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6AEE451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01F81C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3224ED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77D53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475AAD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23AC4E5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AC6E62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3CB4047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21ADE5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5C0478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61E4F427">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3EC0014D">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3964EE5F">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D84F3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6E6CE2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5A4B58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6F243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14316CC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8DC58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0C5224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DEB1B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01097F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08CAB3B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28962F9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0AEC0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AED11BC">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1BEEA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354E32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A9D6E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E2603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253D2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5C957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36EBC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5FC6FC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6D5407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D5230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146E0A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808B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7E58EAC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15CC11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1"/>
      <w:r>
        <w:rPr>
          <w:rFonts w:hint="eastAsia" w:ascii="宋体" w:hAnsi="宋体" w:eastAsia="宋体" w:cs="宋体"/>
          <w:color w:val="auto"/>
          <w:sz w:val="24"/>
          <w:szCs w:val="24"/>
          <w:highlight w:val="none"/>
        </w:rPr>
        <w:t>。</w:t>
      </w:r>
    </w:p>
    <w:p w14:paraId="00404F4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CB08A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0F490A3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50305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2029F3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31A5510">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C9C7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081E6B7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0986BC6">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4515B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2D9740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5F33B1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96163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3C7D44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4E327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DD922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CD43A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94E97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1FD1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E5D80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9B630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E9F192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1CD08A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CA739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9147F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61A06F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0D0431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E82B24">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1CE56D">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29111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36D2BD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FC8FE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9981B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92E14C">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629850D1">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EC435F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29261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EACD83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6981B08">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37C846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40038B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A4957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7A293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5710C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26B00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BDD06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7147D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718CDF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37B9AC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C5BCEB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2BAC34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9F8810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6CAF4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D2D94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1234861">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14589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29B70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8199B0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7BC7D6D0">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542311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2DE0595">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732693C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23B186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09CFC1D">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1A86A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06D3D27">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2" w:name="_Toc20313"/>
    </w:p>
    <w:p w14:paraId="3F314CEC">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BFB9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30995B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B006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B9A82E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08A172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B273D1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FDF23B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707EC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378B8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29A29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7451F5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099F2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B3CF30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576A2A4">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CA5FA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293B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8314B9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第1.2（6）项</w:t>
            </w:r>
          </w:p>
        </w:tc>
        <w:tc>
          <w:tcPr>
            <w:tcW w:w="1742" w:type="dxa"/>
            <w:vAlign w:val="center"/>
          </w:tcPr>
          <w:p w14:paraId="6FC350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联合体具体要求</w:t>
            </w:r>
          </w:p>
        </w:tc>
        <w:tc>
          <w:tcPr>
            <w:tcW w:w="5170" w:type="dxa"/>
            <w:vAlign w:val="center"/>
          </w:tcPr>
          <w:p w14:paraId="0A2B64C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否</w:t>
            </w:r>
          </w:p>
        </w:tc>
      </w:tr>
      <w:tr w14:paraId="595AE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D17210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C6F55D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第1.2（7）项</w:t>
            </w:r>
          </w:p>
        </w:tc>
        <w:tc>
          <w:tcPr>
            <w:tcW w:w="1742" w:type="dxa"/>
            <w:vAlign w:val="center"/>
          </w:tcPr>
          <w:p w14:paraId="51E2EE3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其他术语解释</w:t>
            </w:r>
          </w:p>
        </w:tc>
        <w:tc>
          <w:tcPr>
            <w:tcW w:w="5170" w:type="dxa"/>
            <w:vAlign w:val="center"/>
          </w:tcPr>
          <w:p w14:paraId="0D1ADF7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99CB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5DBAE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2A551F2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第4.4款</w:t>
            </w:r>
          </w:p>
        </w:tc>
        <w:tc>
          <w:tcPr>
            <w:tcW w:w="1742" w:type="dxa"/>
            <w:vAlign w:val="center"/>
          </w:tcPr>
          <w:p w14:paraId="416F249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vAlign w:val="center"/>
          </w:tcPr>
          <w:p w14:paraId="0D2C856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5个工作日</w:t>
            </w:r>
          </w:p>
        </w:tc>
      </w:tr>
      <w:tr w14:paraId="26BEAC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A9972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15572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第4.6款</w:t>
            </w:r>
          </w:p>
        </w:tc>
        <w:tc>
          <w:tcPr>
            <w:tcW w:w="1742" w:type="dxa"/>
            <w:vAlign w:val="center"/>
          </w:tcPr>
          <w:p w14:paraId="07656CF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约定甲方承担的其他义务和责任</w:t>
            </w:r>
          </w:p>
        </w:tc>
        <w:tc>
          <w:tcPr>
            <w:tcW w:w="5170" w:type="dxa"/>
            <w:vAlign w:val="center"/>
          </w:tcPr>
          <w:p w14:paraId="45F6D585">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(1)在合同生效后，非因产品质量问题，买方要求退货的，应向卖方偿付合同总价款的5%，作为违约金，违约金不足以补偿损失的，卖方有权要求甲方补足。</w:t>
            </w:r>
          </w:p>
          <w:p w14:paraId="40755500">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334" w:rightChars="-159"/>
              <w:jc w:val="both"/>
              <w:textAlignment w:val="baseline"/>
              <w:rPr>
                <w:rFonts w:hint="default" w:ascii="宋体" w:hAnsi="宋体" w:eastAsia="宋体" w:cs="宋体"/>
                <w:sz w:val="21"/>
                <w:szCs w:val="21"/>
              </w:rPr>
            </w:pPr>
            <w:r>
              <w:rPr>
                <w:rFonts w:hint="eastAsia" w:ascii="宋体" w:hAnsi="宋体" w:eastAsia="宋体" w:cs="宋体"/>
                <w:sz w:val="21"/>
                <w:szCs w:val="21"/>
              </w:rPr>
              <w:t>(2)买方逾期付款的应按照逾期付款金额的每天万分之四四支付逾期付款违约金。</w:t>
            </w:r>
          </w:p>
          <w:p w14:paraId="6ADFAF26">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kern w:val="2"/>
                <w:sz w:val="21"/>
                <w:szCs w:val="21"/>
              </w:rPr>
            </w:pPr>
            <w:r>
              <w:rPr>
                <w:rFonts w:hint="eastAsia" w:ascii="宋体" w:hAnsi="宋体" w:eastAsia="宋体" w:cs="宋体"/>
                <w:sz w:val="21"/>
                <w:szCs w:val="21"/>
              </w:rPr>
              <w:t>(3)买方违反合同规定，无正当理由拒绝接收卖方交付的符合招标文件要求的合格标的物，应当承担卖方由此造成的损失。</w:t>
            </w:r>
          </w:p>
        </w:tc>
      </w:tr>
      <w:tr w14:paraId="575789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D75CE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BDD2582">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0"/>
              </w:rPr>
            </w:pPr>
            <w:r>
              <w:rPr>
                <w:rFonts w:hint="eastAsia" w:ascii="宋体" w:hAnsi="宋体" w:eastAsia="宋体" w:cs="宋体"/>
                <w:szCs w:val="21"/>
              </w:rPr>
              <w:t>第5.4款</w:t>
            </w:r>
          </w:p>
        </w:tc>
        <w:tc>
          <w:tcPr>
            <w:tcW w:w="1742" w:type="dxa"/>
            <w:vAlign w:val="center"/>
          </w:tcPr>
          <w:p w14:paraId="2B26B98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约定乙方承担的其他义务和责任</w:t>
            </w:r>
          </w:p>
        </w:tc>
        <w:tc>
          <w:tcPr>
            <w:tcW w:w="5170" w:type="dxa"/>
            <w:vAlign w:val="center"/>
          </w:tcPr>
          <w:p w14:paraId="691375DE">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(1)卖方不能交货（逾期超过五天视为不能交货），或交货不合格从而影响买方按期正常使用的，应向买方偿付合同总价款5%的违约金，违约金不足以补偿损失的，买方有权要求卖方补足。</w:t>
            </w:r>
          </w:p>
          <w:p w14:paraId="799A6716">
            <w:pPr>
              <w:pStyle w:val="21"/>
              <w:keepNext w:val="0"/>
              <w:keepLines w:val="0"/>
              <w:pageBreakBefore w:val="0"/>
              <w:suppressLineNumbers w:val="0"/>
              <w:kinsoku/>
              <w:wordWrap/>
              <w:overflowPunct w:val="0"/>
              <w:topLinePunct w:val="0"/>
              <w:bidi w:val="0"/>
              <w:adjustRightInd w:val="0"/>
              <w:spacing w:before="0" w:beforeAutospacing="0" w:after="0" w:afterAutospacing="0" w:line="360" w:lineRule="exact"/>
              <w:ind w:left="0" w:right="0"/>
              <w:jc w:val="both"/>
              <w:textAlignment w:val="baseline"/>
              <w:rPr>
                <w:rFonts w:hint="default" w:ascii="宋体" w:hAnsi="宋体" w:eastAsia="宋体" w:cs="宋体"/>
                <w:sz w:val="21"/>
                <w:szCs w:val="21"/>
              </w:rPr>
            </w:pPr>
            <w:r>
              <w:rPr>
                <w:rFonts w:hint="eastAsia" w:ascii="宋体" w:hAnsi="宋体" w:eastAsia="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4B716153">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4BFC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607" w:type="dxa"/>
            <w:vAlign w:val="center"/>
          </w:tcPr>
          <w:p w14:paraId="3622CC5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60F7597">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第6.1款</w:t>
            </w:r>
          </w:p>
        </w:tc>
        <w:tc>
          <w:tcPr>
            <w:tcW w:w="1742" w:type="dxa"/>
            <w:vAlign w:val="center"/>
          </w:tcPr>
          <w:p w14:paraId="709A3D9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履行合同义务的顺序</w:t>
            </w:r>
          </w:p>
        </w:tc>
        <w:tc>
          <w:tcPr>
            <w:tcW w:w="5170" w:type="dxa"/>
            <w:vAlign w:val="center"/>
          </w:tcPr>
          <w:p w14:paraId="6829AC4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同时履行</w:t>
            </w:r>
          </w:p>
        </w:tc>
      </w:tr>
      <w:tr w14:paraId="39321B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8001B3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6D9E6A0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第7.1款</w:t>
            </w:r>
          </w:p>
        </w:tc>
        <w:tc>
          <w:tcPr>
            <w:tcW w:w="1742" w:type="dxa"/>
            <w:vAlign w:val="center"/>
          </w:tcPr>
          <w:p w14:paraId="62C0F5D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包装特殊要求</w:t>
            </w:r>
          </w:p>
        </w:tc>
        <w:tc>
          <w:tcPr>
            <w:tcW w:w="5170" w:type="dxa"/>
            <w:vAlign w:val="center"/>
          </w:tcPr>
          <w:p w14:paraId="2BBD60CF">
            <w:pPr>
              <w:pStyle w:val="7"/>
              <w:keepNext w:val="0"/>
              <w:keepLines w:val="0"/>
              <w:pageBreakBefore w:val="0"/>
              <w:suppressLineNumbers w:val="0"/>
              <w:tabs>
                <w:tab w:val="left" w:pos="900"/>
              </w:tabs>
              <w:kinsoku/>
              <w:wordWrap/>
              <w:topLinePunct w:val="0"/>
              <w:bidi w:val="0"/>
              <w:spacing w:before="0" w:beforeAutospacing="0" w:after="0" w:afterAutospacing="0" w:line="360" w:lineRule="exact"/>
              <w:ind w:left="0" w:right="0" w:firstLine="0"/>
              <w:rPr>
                <w:rFonts w:hint="default" w:hAnsi="宋体" w:cs="宋体"/>
                <w:kern w:val="2"/>
                <w:sz w:val="21"/>
                <w:szCs w:val="21"/>
              </w:rPr>
            </w:pPr>
            <w:r>
              <w:rPr>
                <w:rFonts w:hint="eastAsia" w:hAnsi="宋体" w:cs="宋体"/>
                <w:kern w:val="2"/>
                <w:sz w:val="21"/>
                <w:szCs w:val="21"/>
              </w:rPr>
              <w:t>按照通用的方式包装，没有通用方式的，应当采取足以保护标的物的包装方式。</w:t>
            </w:r>
          </w:p>
        </w:tc>
      </w:tr>
      <w:tr w14:paraId="53FA92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07" w:type="dxa"/>
            <w:vMerge w:val="continue"/>
            <w:vAlign w:val="center"/>
          </w:tcPr>
          <w:p w14:paraId="185FBB0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p>
        </w:tc>
        <w:tc>
          <w:tcPr>
            <w:tcW w:w="1742" w:type="dxa"/>
            <w:vAlign w:val="center"/>
          </w:tcPr>
          <w:p w14:paraId="5EA1011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指定现场</w:t>
            </w:r>
          </w:p>
        </w:tc>
        <w:tc>
          <w:tcPr>
            <w:tcW w:w="5170" w:type="dxa"/>
            <w:vAlign w:val="center"/>
          </w:tcPr>
          <w:p w14:paraId="36BA2B1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滁州市范围内</w:t>
            </w:r>
          </w:p>
        </w:tc>
      </w:tr>
      <w:tr w14:paraId="3F3DC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607" w:type="dxa"/>
            <w:vAlign w:val="center"/>
          </w:tcPr>
          <w:p w14:paraId="6E15387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C5383A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第7.2款</w:t>
            </w:r>
          </w:p>
        </w:tc>
        <w:tc>
          <w:tcPr>
            <w:tcW w:w="1742" w:type="dxa"/>
            <w:vAlign w:val="center"/>
          </w:tcPr>
          <w:p w14:paraId="1DA0EB5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运输特殊要求</w:t>
            </w:r>
          </w:p>
        </w:tc>
        <w:tc>
          <w:tcPr>
            <w:tcW w:w="5170" w:type="dxa"/>
            <w:vAlign w:val="center"/>
          </w:tcPr>
          <w:p w14:paraId="1A03CF67">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无</w:t>
            </w:r>
          </w:p>
        </w:tc>
      </w:tr>
      <w:tr w14:paraId="3D5B7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E3A9EC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B152C4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第7.3款</w:t>
            </w:r>
          </w:p>
        </w:tc>
        <w:tc>
          <w:tcPr>
            <w:tcW w:w="1742" w:type="dxa"/>
            <w:vAlign w:val="center"/>
          </w:tcPr>
          <w:p w14:paraId="210FB7D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保险要求</w:t>
            </w:r>
          </w:p>
        </w:tc>
        <w:tc>
          <w:tcPr>
            <w:tcW w:w="5170" w:type="dxa"/>
            <w:vAlign w:val="center"/>
          </w:tcPr>
          <w:p w14:paraId="4FF180B6">
            <w:pPr>
              <w:keepNext w:val="0"/>
              <w:keepLines w:val="0"/>
              <w:pageBreakBefore w:val="0"/>
              <w:suppressLineNumbers w:val="0"/>
              <w:kinsoku/>
              <w:wordWrap/>
              <w:topLinePunct w:val="0"/>
              <w:bidi w:val="0"/>
              <w:spacing w:before="0" w:beforeAutospacing="0" w:after="0" w:afterAutospacing="0" w:line="360" w:lineRule="exact"/>
              <w:ind w:left="0" w:right="0"/>
              <w:rPr>
                <w:rFonts w:hint="default" w:ascii="宋体" w:hAnsi="宋体" w:eastAsia="宋体" w:cs="宋体"/>
                <w:szCs w:val="20"/>
              </w:rPr>
            </w:pPr>
            <w:r>
              <w:rPr>
                <w:rFonts w:hint="eastAsia" w:ascii="宋体" w:hAnsi="宋体" w:eastAsia="宋体" w:cs="宋体"/>
                <w:szCs w:val="20"/>
              </w:rPr>
              <w:t>按规定购买保险</w:t>
            </w:r>
          </w:p>
        </w:tc>
      </w:tr>
      <w:tr w14:paraId="6C552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A3737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C16AF6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第8.2（1）项</w:t>
            </w:r>
          </w:p>
        </w:tc>
        <w:tc>
          <w:tcPr>
            <w:tcW w:w="1742" w:type="dxa"/>
            <w:vAlign w:val="center"/>
          </w:tcPr>
          <w:p w14:paraId="457B565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质量保证期</w:t>
            </w:r>
          </w:p>
        </w:tc>
        <w:tc>
          <w:tcPr>
            <w:tcW w:w="5170" w:type="dxa"/>
            <w:vAlign w:val="center"/>
          </w:tcPr>
          <w:p w14:paraId="5484933C">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rPr>
              <w:t>中标人提供</w:t>
            </w:r>
            <w:r>
              <w:rPr>
                <w:rFonts w:hint="eastAsia" w:ascii="宋体" w:hAnsi="宋体" w:eastAsia="宋体" w:cs="宋体"/>
                <w:szCs w:val="20"/>
                <w:lang w:val="en-US" w:eastAsia="zh-CN"/>
              </w:rPr>
              <w:t>一</w:t>
            </w:r>
            <w:r>
              <w:rPr>
                <w:rFonts w:hint="eastAsia" w:ascii="宋体" w:hAnsi="宋体" w:eastAsia="宋体" w:cs="宋体"/>
                <w:szCs w:val="20"/>
              </w:rPr>
              <w:t>年免费质保服务，所有质保费用均已包含在投标报价中</w:t>
            </w:r>
            <w:r>
              <w:rPr>
                <w:rFonts w:hint="eastAsia" w:ascii="宋体" w:hAnsi="宋体" w:eastAsia="宋体" w:cs="宋体"/>
                <w:szCs w:val="20"/>
                <w:lang w:eastAsia="zh-CN"/>
              </w:rPr>
              <w:t>。</w:t>
            </w:r>
          </w:p>
        </w:tc>
      </w:tr>
      <w:tr w14:paraId="77F76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2558B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588C546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第8.2（3）项</w:t>
            </w:r>
          </w:p>
        </w:tc>
        <w:tc>
          <w:tcPr>
            <w:tcW w:w="1742" w:type="dxa"/>
            <w:vAlign w:val="center"/>
          </w:tcPr>
          <w:p w14:paraId="5A89FFC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货物质量缺陷</w:t>
            </w:r>
          </w:p>
          <w:p w14:paraId="0DE6B76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响应时间</w:t>
            </w:r>
          </w:p>
        </w:tc>
        <w:tc>
          <w:tcPr>
            <w:tcW w:w="5170" w:type="dxa"/>
            <w:vAlign w:val="center"/>
          </w:tcPr>
          <w:p w14:paraId="7590251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12小时</w:t>
            </w:r>
          </w:p>
        </w:tc>
      </w:tr>
      <w:tr w14:paraId="50831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D9DF31">
            <w:pPr>
              <w:keepNext w:val="0"/>
              <w:keepLines w:val="0"/>
              <w:pageBreakBefore w:val="0"/>
              <w:suppressLineNumbers w:val="0"/>
              <w:kinsoku/>
              <w:wordWrap/>
              <w:topLinePunct w:val="0"/>
              <w:bidi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7A69ED3C">
            <w:pPr>
              <w:pStyle w:val="62"/>
              <w:keepNext w:val="0"/>
              <w:keepLines w:val="0"/>
              <w:pageBreakBefore w:val="0"/>
              <w:widowControl/>
              <w:suppressLineNumbers w:val="0"/>
              <w:kinsoku/>
              <w:wordWrap/>
              <w:topLinePunct w:val="0"/>
              <w:bidi w:val="0"/>
              <w:spacing w:before="0" w:beforeAutospacing="0" w:after="0" w:afterAutospacing="0" w:line="360" w:lineRule="exact"/>
              <w:ind w:left="0" w:right="0" w:firstLine="0" w:firstLineChars="0"/>
              <w:jc w:val="center"/>
              <w:rPr>
                <w:rFonts w:hint="default" w:ascii="宋体" w:hAnsi="宋体" w:eastAsia="宋体" w:cs="宋体"/>
              </w:rPr>
            </w:pPr>
            <w:r>
              <w:rPr>
                <w:rFonts w:hint="eastAsia" w:ascii="宋体" w:hAnsi="宋体" w:eastAsia="宋体" w:cs="宋体"/>
              </w:rPr>
              <w:t>第11.1款</w:t>
            </w:r>
          </w:p>
        </w:tc>
        <w:tc>
          <w:tcPr>
            <w:tcW w:w="1742" w:type="dxa"/>
            <w:vAlign w:val="center"/>
          </w:tcPr>
          <w:p w14:paraId="0F05934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rPr>
                <w:rFonts w:hint="default" w:ascii="宋体" w:hAnsi="宋体" w:eastAsia="宋体" w:cs="宋体"/>
                <w:szCs w:val="21"/>
              </w:rPr>
            </w:pPr>
            <w:r>
              <w:rPr>
                <w:rFonts w:hint="eastAsia" w:ascii="宋体" w:hAnsi="宋体" w:eastAsia="宋体" w:cs="宋体"/>
                <w:szCs w:val="21"/>
              </w:rPr>
              <w:t>其他应当保密的信息</w:t>
            </w:r>
          </w:p>
        </w:tc>
        <w:tc>
          <w:tcPr>
            <w:tcW w:w="5170" w:type="dxa"/>
            <w:vAlign w:val="center"/>
          </w:tcPr>
          <w:p w14:paraId="07D4B63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63727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2B2A2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5B5FF2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第12.2款</w:t>
            </w:r>
          </w:p>
        </w:tc>
        <w:tc>
          <w:tcPr>
            <w:tcW w:w="1742" w:type="dxa"/>
            <w:vAlign w:val="center"/>
          </w:tcPr>
          <w:p w14:paraId="376FCACD">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合同价款支付时间</w:t>
            </w:r>
          </w:p>
        </w:tc>
        <w:tc>
          <w:tcPr>
            <w:tcW w:w="5170" w:type="dxa"/>
            <w:vAlign w:val="center"/>
          </w:tcPr>
          <w:p w14:paraId="4ABBD098">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default" w:ascii="宋体" w:hAnsi="宋体" w:eastAsia="宋体" w:cs="宋体"/>
                <w:color w:val="0000FF"/>
                <w:szCs w:val="21"/>
              </w:rPr>
            </w:pPr>
          </w:p>
        </w:tc>
      </w:tr>
      <w:tr w14:paraId="23503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5552E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F1A5C8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第13.2款</w:t>
            </w:r>
          </w:p>
        </w:tc>
        <w:tc>
          <w:tcPr>
            <w:tcW w:w="1742" w:type="dxa"/>
            <w:vAlign w:val="center"/>
          </w:tcPr>
          <w:p w14:paraId="64F6D5A9">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履约保证金不予退还的情形</w:t>
            </w:r>
          </w:p>
        </w:tc>
        <w:tc>
          <w:tcPr>
            <w:tcW w:w="5170" w:type="dxa"/>
            <w:vAlign w:val="center"/>
          </w:tcPr>
          <w:p w14:paraId="564CD56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4AFFB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2B8F4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ECD49C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第13.3款</w:t>
            </w:r>
          </w:p>
        </w:tc>
        <w:tc>
          <w:tcPr>
            <w:tcW w:w="1742" w:type="dxa"/>
            <w:vAlign w:val="center"/>
          </w:tcPr>
          <w:p w14:paraId="4DFA44E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履约保证金退还时间及逾期退还的违约金</w:t>
            </w:r>
          </w:p>
        </w:tc>
        <w:tc>
          <w:tcPr>
            <w:tcW w:w="5170" w:type="dxa"/>
            <w:vAlign w:val="center"/>
          </w:tcPr>
          <w:p w14:paraId="69ADA1A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09CDCD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607" w:type="dxa"/>
            <w:vAlign w:val="center"/>
          </w:tcPr>
          <w:p w14:paraId="278F012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1EB5B9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第14.1（3）项</w:t>
            </w:r>
          </w:p>
        </w:tc>
        <w:tc>
          <w:tcPr>
            <w:tcW w:w="1742" w:type="dxa"/>
            <w:vAlign w:val="center"/>
          </w:tcPr>
          <w:p w14:paraId="5E62462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运行监督、维修期限</w:t>
            </w:r>
          </w:p>
        </w:tc>
        <w:tc>
          <w:tcPr>
            <w:tcW w:w="5170" w:type="dxa"/>
            <w:vAlign w:val="center"/>
          </w:tcPr>
          <w:p w14:paraId="19AFB565">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0"/>
                <w:lang w:val="en-US" w:eastAsia="zh-CN"/>
              </w:rPr>
              <w:t>无</w:t>
            </w:r>
          </w:p>
        </w:tc>
      </w:tr>
      <w:tr w14:paraId="1970A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9AB68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509EEC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第14.1（5）项</w:t>
            </w:r>
          </w:p>
        </w:tc>
        <w:tc>
          <w:tcPr>
            <w:tcW w:w="1742" w:type="dxa"/>
            <w:vAlign w:val="center"/>
          </w:tcPr>
          <w:p w14:paraId="702A54B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货物回收的约定</w:t>
            </w:r>
          </w:p>
        </w:tc>
        <w:tc>
          <w:tcPr>
            <w:tcW w:w="5170" w:type="dxa"/>
            <w:vAlign w:val="center"/>
          </w:tcPr>
          <w:p w14:paraId="4595341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6A26E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179FC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110CB56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第14.1（6）项</w:t>
            </w:r>
          </w:p>
        </w:tc>
        <w:tc>
          <w:tcPr>
            <w:tcW w:w="1742" w:type="dxa"/>
            <w:vAlign w:val="center"/>
          </w:tcPr>
          <w:p w14:paraId="33BCE29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5C610764">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按招标文件执行</w:t>
            </w:r>
          </w:p>
        </w:tc>
      </w:tr>
      <w:tr w14:paraId="1E428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D9598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7364FAC">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第15.1款</w:t>
            </w:r>
          </w:p>
        </w:tc>
        <w:tc>
          <w:tcPr>
            <w:tcW w:w="1742" w:type="dxa"/>
            <w:vAlign w:val="center"/>
          </w:tcPr>
          <w:p w14:paraId="03A3C5C1">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修理、重作、更换相关具体规定</w:t>
            </w:r>
          </w:p>
        </w:tc>
        <w:tc>
          <w:tcPr>
            <w:tcW w:w="5170" w:type="dxa"/>
            <w:vAlign w:val="center"/>
          </w:tcPr>
          <w:p w14:paraId="2C6A993E">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eastAsia" w:ascii="宋体" w:hAnsi="宋体" w:eastAsia="宋体" w:cs="宋体"/>
                <w:szCs w:val="21"/>
                <w:lang w:eastAsia="zh-CN"/>
              </w:rPr>
            </w:pPr>
            <w:r>
              <w:rPr>
                <w:rFonts w:hint="eastAsia" w:ascii="宋体" w:hAnsi="宋体" w:eastAsia="宋体" w:cs="宋体"/>
                <w:szCs w:val="21"/>
                <w:lang w:val="en-US" w:eastAsia="zh-CN"/>
              </w:rPr>
              <w:t>无</w:t>
            </w:r>
          </w:p>
        </w:tc>
      </w:tr>
      <w:tr w14:paraId="3F0D2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EF267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F70FA8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第15.2（2）项</w:t>
            </w:r>
          </w:p>
        </w:tc>
        <w:tc>
          <w:tcPr>
            <w:tcW w:w="1742" w:type="dxa"/>
            <w:vAlign w:val="center"/>
          </w:tcPr>
          <w:p w14:paraId="415EDC0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40DAC0D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(1)卖方不能交货（逾期超过五天视为不能交货），或交货不合格从而影响买方按期正常使用的，应向买方偿付合同总价款5%的违约金，违约金不足以补偿损失的，买方有权要求卖方补足。</w:t>
            </w:r>
          </w:p>
          <w:p w14:paraId="4B0097CB">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758E6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5FD2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A6DB75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第15.3款</w:t>
            </w:r>
          </w:p>
        </w:tc>
        <w:tc>
          <w:tcPr>
            <w:tcW w:w="1742" w:type="dxa"/>
            <w:vAlign w:val="center"/>
          </w:tcPr>
          <w:p w14:paraId="082B2852">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逾期付款利息</w:t>
            </w:r>
          </w:p>
        </w:tc>
        <w:tc>
          <w:tcPr>
            <w:tcW w:w="5170" w:type="dxa"/>
            <w:vAlign w:val="center"/>
          </w:tcPr>
          <w:p w14:paraId="4797010A">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无</w:t>
            </w:r>
          </w:p>
        </w:tc>
      </w:tr>
      <w:tr w14:paraId="2FF25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F1718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38FD478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vAlign w:val="center"/>
          </w:tcPr>
          <w:p w14:paraId="51F01DB3">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234D548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合同一方不履行合同义务或者履行合同义务不符合约定的，应当承担继续履行、采取补救措施或者赔偿损失等违约责任。</w:t>
            </w:r>
          </w:p>
        </w:tc>
      </w:tr>
      <w:tr w14:paraId="4CD56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4303F2F">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07A846D0">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vAlign w:val="center"/>
          </w:tcPr>
          <w:p w14:paraId="0E88569D">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vAlign w:val="center"/>
          </w:tcPr>
          <w:p w14:paraId="546EBEA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因本合同及合同有关事项发生的争议，按下列第（</w:t>
            </w:r>
            <w:r>
              <w:rPr>
                <w:rFonts w:hint="eastAsia" w:ascii="宋体" w:hAnsi="宋体" w:eastAsia="宋体" w:cs="宋体"/>
                <w:szCs w:val="21"/>
                <w:lang w:val="en-US" w:eastAsia="zh-CN"/>
              </w:rPr>
              <w:t>2</w:t>
            </w:r>
            <w:r>
              <w:rPr>
                <w:rFonts w:hint="eastAsia" w:ascii="宋体" w:hAnsi="宋体" w:eastAsia="宋体" w:cs="宋体"/>
                <w:szCs w:val="21"/>
              </w:rPr>
              <w:t>）种方式解决：</w:t>
            </w:r>
          </w:p>
          <w:p w14:paraId="28B1D8B7">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（1）向滁州市仲裁委员会申请仲裁，仲裁地点为滁州市；</w:t>
            </w:r>
          </w:p>
          <w:p w14:paraId="3293ED2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szCs w:val="21"/>
              </w:rPr>
              <w:t>（2）向甲方注册地有管辖权的人民法院起诉。</w:t>
            </w:r>
          </w:p>
        </w:tc>
      </w:tr>
      <w:tr w14:paraId="6D5E0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3A84098">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第二节</w:t>
            </w:r>
          </w:p>
          <w:p w14:paraId="48D9C20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center"/>
              <w:rPr>
                <w:rFonts w:hint="default" w:ascii="宋体" w:hAnsi="宋体" w:eastAsia="宋体" w:cs="宋体"/>
                <w:szCs w:val="21"/>
              </w:rPr>
            </w:pPr>
            <w:r>
              <w:rPr>
                <w:rFonts w:hint="eastAsia" w:ascii="宋体" w:hAnsi="宋体" w:eastAsia="宋体" w:cs="宋体"/>
                <w:szCs w:val="21"/>
              </w:rPr>
              <w:t>第23.1款</w:t>
            </w:r>
          </w:p>
        </w:tc>
        <w:tc>
          <w:tcPr>
            <w:tcW w:w="1742" w:type="dxa"/>
            <w:vAlign w:val="center"/>
          </w:tcPr>
          <w:p w14:paraId="65FED515">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其他专用条款</w:t>
            </w:r>
          </w:p>
        </w:tc>
        <w:tc>
          <w:tcPr>
            <w:tcW w:w="5170" w:type="dxa"/>
            <w:vAlign w:val="center"/>
          </w:tcPr>
          <w:p w14:paraId="6C4E3056">
            <w:pPr>
              <w:keepNext w:val="0"/>
              <w:keepLines w:val="0"/>
              <w:pageBreakBefore w:val="0"/>
              <w:suppressLineNumbers w:val="0"/>
              <w:kinsoku/>
              <w:wordWrap/>
              <w:topLinePunct w:val="0"/>
              <w:bidi w:val="0"/>
              <w:adjustRightInd w:val="0"/>
              <w:snapToGrid w:val="0"/>
              <w:spacing w:before="0" w:beforeAutospacing="0" w:after="0" w:afterAutospacing="0" w:line="360" w:lineRule="exact"/>
              <w:ind w:left="0" w:right="0"/>
              <w:jc w:val="left"/>
              <w:rPr>
                <w:rFonts w:hint="default" w:ascii="宋体" w:hAnsi="宋体" w:eastAsia="宋体" w:cs="宋体"/>
                <w:szCs w:val="21"/>
              </w:rPr>
            </w:pPr>
            <w:r>
              <w:rPr>
                <w:rFonts w:hint="eastAsia" w:ascii="宋体" w:hAnsi="宋体" w:eastAsia="宋体" w:cs="宋体"/>
                <w:bCs/>
                <w:szCs w:val="21"/>
              </w:rPr>
              <w:t>合同未尽事项签订合同时补充</w:t>
            </w:r>
          </w:p>
        </w:tc>
      </w:tr>
    </w:tbl>
    <w:p w14:paraId="658AE5B3">
      <w:pPr>
        <w:rPr>
          <w:rFonts w:hint="eastAsia" w:ascii="宋体" w:hAnsi="宋体" w:eastAsia="宋体" w:cs="宋体"/>
          <w:sz w:val="24"/>
          <w:szCs w:val="24"/>
          <w:highlight w:val="none"/>
        </w:rPr>
      </w:pPr>
    </w:p>
    <w:p w14:paraId="4416219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2"/>
    <w:p w14:paraId="184AF9DE">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3" w:name="_Toc22492"/>
    </w:p>
    <w:p w14:paraId="6908423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E2059D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3"/>
    </w:p>
    <w:p w14:paraId="30DE90A2">
      <w:pPr>
        <w:spacing w:line="900" w:lineRule="exact"/>
        <w:jc w:val="center"/>
        <w:rPr>
          <w:rFonts w:ascii="宋体" w:hAnsi="宋体" w:eastAsia="宋体"/>
          <w:b/>
          <w:color w:val="auto"/>
          <w:sz w:val="72"/>
          <w:highlight w:val="none"/>
        </w:rPr>
      </w:pPr>
    </w:p>
    <w:p w14:paraId="77634752">
      <w:pPr>
        <w:spacing w:line="900" w:lineRule="exact"/>
        <w:jc w:val="center"/>
        <w:outlineLvl w:val="1"/>
        <w:rPr>
          <w:rFonts w:ascii="宋体" w:hAnsi="宋体" w:eastAsia="宋体"/>
          <w:b/>
          <w:color w:val="auto"/>
          <w:sz w:val="72"/>
          <w:highlight w:val="none"/>
        </w:rPr>
      </w:pPr>
      <w:bookmarkStart w:id="44" w:name="_Toc651"/>
      <w:r>
        <w:rPr>
          <w:rFonts w:hint="eastAsia" w:ascii="宋体" w:hAnsi="宋体" w:eastAsia="宋体"/>
          <w:b/>
          <w:color w:val="auto"/>
          <w:sz w:val="72"/>
          <w:highlight w:val="none"/>
        </w:rPr>
        <w:t>投</w:t>
      </w:r>
      <w:bookmarkEnd w:id="44"/>
    </w:p>
    <w:p w14:paraId="129E244B">
      <w:pPr>
        <w:spacing w:line="900" w:lineRule="exact"/>
        <w:jc w:val="center"/>
        <w:rPr>
          <w:rFonts w:ascii="宋体" w:hAnsi="宋体" w:eastAsia="宋体"/>
          <w:b/>
          <w:color w:val="auto"/>
          <w:sz w:val="72"/>
          <w:highlight w:val="none"/>
        </w:rPr>
      </w:pPr>
    </w:p>
    <w:p w14:paraId="0B8C6C5D">
      <w:pPr>
        <w:spacing w:line="900" w:lineRule="exact"/>
        <w:jc w:val="center"/>
        <w:outlineLvl w:val="1"/>
        <w:rPr>
          <w:rFonts w:ascii="宋体" w:hAnsi="宋体" w:eastAsia="宋体"/>
          <w:b/>
          <w:color w:val="auto"/>
          <w:sz w:val="72"/>
          <w:highlight w:val="none"/>
        </w:rPr>
      </w:pPr>
      <w:bookmarkStart w:id="45" w:name="_Toc6148"/>
      <w:r>
        <w:rPr>
          <w:rFonts w:hint="eastAsia" w:ascii="宋体" w:hAnsi="宋体" w:eastAsia="宋体"/>
          <w:b/>
          <w:color w:val="auto"/>
          <w:sz w:val="72"/>
          <w:highlight w:val="none"/>
        </w:rPr>
        <w:t>标</w:t>
      </w:r>
      <w:bookmarkEnd w:id="45"/>
    </w:p>
    <w:p w14:paraId="51C65161">
      <w:pPr>
        <w:spacing w:line="900" w:lineRule="exact"/>
        <w:jc w:val="center"/>
        <w:rPr>
          <w:rFonts w:ascii="宋体" w:hAnsi="宋体" w:eastAsia="宋体"/>
          <w:b/>
          <w:color w:val="auto"/>
          <w:sz w:val="72"/>
          <w:highlight w:val="none"/>
        </w:rPr>
      </w:pPr>
    </w:p>
    <w:p w14:paraId="6FA14B49">
      <w:pPr>
        <w:spacing w:line="900" w:lineRule="exact"/>
        <w:jc w:val="center"/>
        <w:outlineLvl w:val="1"/>
        <w:rPr>
          <w:rFonts w:ascii="宋体" w:hAnsi="宋体" w:eastAsia="宋体"/>
          <w:b/>
          <w:color w:val="auto"/>
          <w:sz w:val="72"/>
          <w:highlight w:val="none"/>
        </w:rPr>
      </w:pPr>
      <w:bookmarkStart w:id="46" w:name="_Toc1338"/>
      <w:r>
        <w:rPr>
          <w:rFonts w:hint="eastAsia" w:ascii="宋体" w:hAnsi="宋体" w:eastAsia="宋体"/>
          <w:b/>
          <w:color w:val="auto"/>
          <w:sz w:val="72"/>
          <w:highlight w:val="none"/>
        </w:rPr>
        <w:t>文</w:t>
      </w:r>
      <w:bookmarkEnd w:id="46"/>
    </w:p>
    <w:p w14:paraId="594B490B">
      <w:pPr>
        <w:spacing w:line="900" w:lineRule="exact"/>
        <w:jc w:val="center"/>
        <w:rPr>
          <w:rFonts w:ascii="宋体" w:hAnsi="宋体" w:eastAsia="宋体"/>
          <w:b/>
          <w:color w:val="auto"/>
          <w:sz w:val="72"/>
          <w:highlight w:val="none"/>
        </w:rPr>
      </w:pPr>
    </w:p>
    <w:p w14:paraId="424B64D2">
      <w:pPr>
        <w:jc w:val="center"/>
        <w:outlineLvl w:val="1"/>
        <w:rPr>
          <w:rFonts w:ascii="宋体" w:hAnsi="宋体" w:eastAsia="宋体"/>
          <w:b/>
          <w:color w:val="auto"/>
          <w:sz w:val="72"/>
          <w:highlight w:val="none"/>
        </w:rPr>
      </w:pPr>
      <w:bookmarkStart w:id="47" w:name="_Toc10796"/>
      <w:r>
        <w:rPr>
          <w:rFonts w:hint="eastAsia" w:ascii="宋体" w:hAnsi="宋体" w:eastAsia="宋体"/>
          <w:b/>
          <w:color w:val="auto"/>
          <w:sz w:val="72"/>
          <w:highlight w:val="none"/>
        </w:rPr>
        <w:t>件</w:t>
      </w:r>
      <w:bookmarkEnd w:id="47"/>
    </w:p>
    <w:p w14:paraId="7A533E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1144E1B">
      <w:pPr>
        <w:spacing w:after="156" w:afterLines="50" w:line="500" w:lineRule="exact"/>
        <w:jc w:val="center"/>
        <w:rPr>
          <w:rFonts w:ascii="宋体" w:hAnsi="宋体" w:eastAsia="宋体"/>
          <w:b/>
          <w:color w:val="auto"/>
          <w:sz w:val="28"/>
          <w:szCs w:val="28"/>
          <w:highlight w:val="none"/>
        </w:rPr>
      </w:pPr>
    </w:p>
    <w:p w14:paraId="3C52FBC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E7D5B6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4B2B1B0">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543DC9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8" w:name="_Toc9994"/>
      <w:bookmarkStart w:id="49"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8"/>
      <w:bookmarkEnd w:id="49"/>
    </w:p>
    <w:p w14:paraId="7948D3E2">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5672C5A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4498809B">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5C5B0E5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5C9ACD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65BCF17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F836F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76AFC8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（6）业绩证明材料（如有）；</w:t>
      </w:r>
    </w:p>
    <w:p w14:paraId="7587478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（7）企业资信（如有）；</w:t>
      </w:r>
    </w:p>
    <w:p w14:paraId="4E2CAA4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（8）技术参数（如有）；</w:t>
      </w:r>
    </w:p>
    <w:p w14:paraId="29A494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（9）免费质保承诺（如有）</w:t>
      </w:r>
    </w:p>
    <w:p w14:paraId="07732A6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（10）投标人认为需要提供的其他评审及证明材料</w:t>
      </w:r>
    </w:p>
    <w:p w14:paraId="1AB85F32">
      <w:pPr>
        <w:spacing w:line="360" w:lineRule="auto"/>
        <w:ind w:firstLine="435"/>
        <w:rPr>
          <w:rFonts w:hint="eastAsia" w:ascii="宋体" w:hAnsi="宋体" w:eastAsia="宋体" w:cs="宋体"/>
          <w:color w:val="auto"/>
          <w:sz w:val="24"/>
          <w:highlight w:val="none"/>
          <w:lang w:val="en-US" w:eastAsia="zh-CN"/>
        </w:rPr>
      </w:pPr>
    </w:p>
    <w:p w14:paraId="0B613B5E">
      <w:pPr>
        <w:spacing w:line="360" w:lineRule="auto"/>
        <w:ind w:firstLine="435"/>
        <w:rPr>
          <w:rFonts w:hint="eastAsia" w:ascii="宋体" w:hAnsi="宋体" w:eastAsia="宋体" w:cs="宋体"/>
          <w:color w:val="auto"/>
          <w:sz w:val="24"/>
          <w:highlight w:val="none"/>
          <w:lang w:val="en-US" w:eastAsia="zh-CN"/>
        </w:rPr>
      </w:pPr>
    </w:p>
    <w:p w14:paraId="3825D4A1">
      <w:pPr>
        <w:spacing w:line="360" w:lineRule="auto"/>
        <w:ind w:firstLine="435"/>
        <w:rPr>
          <w:rFonts w:hint="eastAsia" w:ascii="宋体" w:hAnsi="宋体" w:eastAsia="宋体" w:cs="宋体"/>
          <w:color w:val="auto"/>
          <w:sz w:val="24"/>
          <w:highlight w:val="none"/>
          <w:lang w:val="en-US" w:eastAsia="zh-CN"/>
        </w:rPr>
      </w:pPr>
    </w:p>
    <w:p w14:paraId="3103048C">
      <w:pPr>
        <w:spacing w:line="360" w:lineRule="auto"/>
        <w:jc w:val="center"/>
        <w:outlineLvl w:val="1"/>
        <w:rPr>
          <w:rFonts w:hint="eastAsia" w:ascii="宋体" w:hAnsi="宋体" w:eastAsia="宋体"/>
          <w:b/>
          <w:color w:val="auto"/>
          <w:sz w:val="24"/>
          <w:highlight w:val="none"/>
          <w:lang w:val="en-US" w:eastAsia="zh-CN"/>
        </w:rPr>
      </w:pPr>
    </w:p>
    <w:p w14:paraId="5905E3F2">
      <w:pPr>
        <w:spacing w:line="360" w:lineRule="auto"/>
        <w:jc w:val="center"/>
        <w:outlineLvl w:val="1"/>
        <w:rPr>
          <w:rFonts w:hint="eastAsia" w:ascii="宋体" w:hAnsi="宋体" w:eastAsia="宋体"/>
          <w:b/>
          <w:color w:val="auto"/>
          <w:sz w:val="24"/>
          <w:highlight w:val="none"/>
          <w:lang w:val="en-US" w:eastAsia="zh-CN"/>
        </w:rPr>
      </w:pPr>
    </w:p>
    <w:p w14:paraId="6563BA88">
      <w:pPr>
        <w:spacing w:line="360" w:lineRule="auto"/>
        <w:jc w:val="center"/>
        <w:outlineLvl w:val="1"/>
        <w:rPr>
          <w:rFonts w:hint="eastAsia" w:ascii="宋体" w:hAnsi="宋体" w:eastAsia="宋体"/>
          <w:b/>
          <w:color w:val="auto"/>
          <w:sz w:val="24"/>
          <w:highlight w:val="none"/>
          <w:lang w:val="en-US" w:eastAsia="zh-CN"/>
        </w:rPr>
      </w:pPr>
    </w:p>
    <w:p w14:paraId="7774FA1F">
      <w:pPr>
        <w:spacing w:line="360" w:lineRule="auto"/>
        <w:jc w:val="center"/>
        <w:outlineLvl w:val="1"/>
        <w:rPr>
          <w:rFonts w:hint="eastAsia" w:ascii="宋体" w:hAnsi="宋体" w:eastAsia="宋体"/>
          <w:b/>
          <w:color w:val="auto"/>
          <w:sz w:val="24"/>
          <w:highlight w:val="none"/>
          <w:lang w:val="en-US" w:eastAsia="zh-CN"/>
        </w:rPr>
      </w:pPr>
    </w:p>
    <w:p w14:paraId="60098C75">
      <w:pPr>
        <w:spacing w:line="360" w:lineRule="auto"/>
        <w:jc w:val="center"/>
        <w:outlineLvl w:val="1"/>
        <w:rPr>
          <w:rFonts w:hint="eastAsia" w:ascii="宋体" w:hAnsi="宋体" w:eastAsia="宋体"/>
          <w:b/>
          <w:color w:val="auto"/>
          <w:sz w:val="24"/>
          <w:highlight w:val="none"/>
          <w:lang w:val="en-US" w:eastAsia="zh-CN"/>
        </w:rPr>
      </w:pPr>
    </w:p>
    <w:p w14:paraId="5E335937">
      <w:pPr>
        <w:spacing w:line="360" w:lineRule="auto"/>
        <w:jc w:val="center"/>
        <w:outlineLvl w:val="1"/>
        <w:rPr>
          <w:rFonts w:hint="eastAsia" w:ascii="宋体" w:hAnsi="宋体" w:eastAsia="宋体"/>
          <w:b/>
          <w:color w:val="auto"/>
          <w:sz w:val="24"/>
          <w:highlight w:val="none"/>
          <w:lang w:val="en-US" w:eastAsia="zh-CN"/>
        </w:rPr>
      </w:pPr>
    </w:p>
    <w:p w14:paraId="2DF9EB38">
      <w:pPr>
        <w:spacing w:line="360" w:lineRule="auto"/>
        <w:jc w:val="center"/>
        <w:outlineLvl w:val="1"/>
        <w:rPr>
          <w:rFonts w:hint="eastAsia" w:ascii="宋体" w:hAnsi="宋体" w:eastAsia="宋体"/>
          <w:b/>
          <w:color w:val="auto"/>
          <w:sz w:val="24"/>
          <w:highlight w:val="none"/>
          <w:lang w:val="en-US" w:eastAsia="zh-CN"/>
        </w:rPr>
      </w:pPr>
    </w:p>
    <w:p w14:paraId="7A6BCD3B">
      <w:pPr>
        <w:spacing w:line="360" w:lineRule="auto"/>
        <w:jc w:val="center"/>
        <w:outlineLvl w:val="1"/>
        <w:rPr>
          <w:rFonts w:hint="eastAsia" w:ascii="宋体" w:hAnsi="宋体" w:eastAsia="宋体"/>
          <w:b/>
          <w:color w:val="auto"/>
          <w:sz w:val="24"/>
          <w:highlight w:val="none"/>
          <w:lang w:val="en-US" w:eastAsia="zh-CN"/>
        </w:rPr>
      </w:pPr>
    </w:p>
    <w:p w14:paraId="71AD325A">
      <w:pPr>
        <w:spacing w:line="360" w:lineRule="auto"/>
        <w:jc w:val="center"/>
        <w:outlineLvl w:val="1"/>
        <w:rPr>
          <w:rFonts w:hint="eastAsia" w:ascii="宋体" w:hAnsi="宋体" w:eastAsia="宋体"/>
          <w:b/>
          <w:color w:val="auto"/>
          <w:sz w:val="24"/>
          <w:highlight w:val="none"/>
          <w:lang w:val="en-US" w:eastAsia="zh-CN"/>
        </w:rPr>
      </w:pPr>
    </w:p>
    <w:p w14:paraId="09854CA4">
      <w:pPr>
        <w:spacing w:line="360" w:lineRule="auto"/>
        <w:jc w:val="center"/>
        <w:outlineLvl w:val="1"/>
        <w:rPr>
          <w:rFonts w:hint="eastAsia" w:ascii="宋体" w:hAnsi="宋体" w:eastAsia="宋体"/>
          <w:b/>
          <w:color w:val="auto"/>
          <w:sz w:val="24"/>
          <w:highlight w:val="none"/>
          <w:lang w:val="en-US" w:eastAsia="zh-CN"/>
        </w:rPr>
      </w:pPr>
    </w:p>
    <w:p w14:paraId="0DBF42F9">
      <w:pPr>
        <w:spacing w:line="360" w:lineRule="auto"/>
        <w:jc w:val="center"/>
        <w:outlineLvl w:val="1"/>
        <w:rPr>
          <w:rFonts w:hint="eastAsia" w:ascii="宋体" w:hAnsi="宋体" w:eastAsia="宋体"/>
          <w:b/>
          <w:color w:val="auto"/>
          <w:sz w:val="24"/>
          <w:highlight w:val="none"/>
          <w:lang w:val="en-US" w:eastAsia="zh-CN"/>
        </w:rPr>
      </w:pPr>
    </w:p>
    <w:p w14:paraId="404E7270">
      <w:pPr>
        <w:spacing w:line="360" w:lineRule="auto"/>
        <w:jc w:val="center"/>
        <w:outlineLvl w:val="1"/>
        <w:rPr>
          <w:rFonts w:hint="eastAsia" w:ascii="宋体" w:hAnsi="宋体" w:eastAsia="宋体"/>
          <w:b/>
          <w:color w:val="auto"/>
          <w:sz w:val="24"/>
          <w:highlight w:val="none"/>
          <w:lang w:val="en-US" w:eastAsia="zh-CN"/>
        </w:rPr>
      </w:pPr>
    </w:p>
    <w:p w14:paraId="27560E84">
      <w:pPr>
        <w:spacing w:line="360" w:lineRule="auto"/>
        <w:jc w:val="center"/>
        <w:outlineLvl w:val="1"/>
        <w:rPr>
          <w:rFonts w:hint="eastAsia" w:ascii="宋体" w:hAnsi="宋体" w:eastAsia="宋体"/>
          <w:b/>
          <w:color w:val="auto"/>
          <w:sz w:val="24"/>
          <w:highlight w:val="none"/>
          <w:lang w:val="en-US" w:eastAsia="zh-CN"/>
        </w:rPr>
      </w:pPr>
    </w:p>
    <w:p w14:paraId="53C59B67">
      <w:pPr>
        <w:spacing w:line="360" w:lineRule="auto"/>
        <w:jc w:val="center"/>
        <w:outlineLvl w:val="1"/>
        <w:rPr>
          <w:rFonts w:hint="eastAsia" w:ascii="宋体" w:hAnsi="宋体" w:eastAsia="宋体"/>
          <w:b/>
          <w:color w:val="auto"/>
          <w:sz w:val="24"/>
          <w:highlight w:val="none"/>
          <w:lang w:val="en-US" w:eastAsia="zh-CN"/>
        </w:rPr>
      </w:pPr>
    </w:p>
    <w:p w14:paraId="53B088FC">
      <w:pPr>
        <w:spacing w:line="360" w:lineRule="auto"/>
        <w:jc w:val="center"/>
        <w:outlineLvl w:val="1"/>
        <w:rPr>
          <w:rFonts w:hint="eastAsia" w:ascii="宋体" w:hAnsi="宋体" w:eastAsia="宋体"/>
          <w:b/>
          <w:color w:val="auto"/>
          <w:sz w:val="24"/>
          <w:highlight w:val="none"/>
          <w:lang w:val="en-US" w:eastAsia="zh-CN"/>
        </w:rPr>
      </w:pPr>
    </w:p>
    <w:p w14:paraId="7ADE30AF">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5CF355FA">
      <w:pPr>
        <w:pStyle w:val="14"/>
        <w:snapToGrid w:val="0"/>
        <w:spacing w:line="360" w:lineRule="auto"/>
        <w:ind w:firstLine="480" w:firstLineChars="200"/>
        <w:jc w:val="left"/>
        <w:rPr>
          <w:rFonts w:hAnsi="宋体" w:eastAsia="宋体"/>
          <w:color w:val="auto"/>
          <w:sz w:val="24"/>
          <w:szCs w:val="28"/>
          <w:highlight w:val="none"/>
        </w:rPr>
      </w:pPr>
    </w:p>
    <w:p w14:paraId="0CB806E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53F061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87DD85F">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54D5CC21">
      <w:pPr>
        <w:spacing w:line="360" w:lineRule="auto"/>
        <w:ind w:firstLine="435"/>
        <w:rPr>
          <w:rFonts w:ascii="宋体" w:hAnsi="宋体" w:eastAsia="宋体"/>
          <w:color w:val="auto"/>
          <w:sz w:val="24"/>
          <w:highlight w:val="none"/>
        </w:rPr>
      </w:pPr>
    </w:p>
    <w:p w14:paraId="2BB476B4">
      <w:pPr>
        <w:spacing w:line="360" w:lineRule="auto"/>
        <w:ind w:firstLine="435"/>
        <w:rPr>
          <w:rFonts w:ascii="宋体" w:hAnsi="宋体" w:eastAsia="宋体"/>
          <w:color w:val="auto"/>
          <w:sz w:val="24"/>
          <w:highlight w:val="none"/>
        </w:rPr>
      </w:pPr>
    </w:p>
    <w:p w14:paraId="78424583">
      <w:pPr>
        <w:spacing w:line="360" w:lineRule="auto"/>
        <w:ind w:firstLine="435"/>
        <w:rPr>
          <w:rFonts w:ascii="宋体" w:hAnsi="宋体" w:eastAsia="宋体"/>
          <w:color w:val="auto"/>
          <w:sz w:val="24"/>
          <w:highlight w:val="none"/>
        </w:rPr>
      </w:pPr>
    </w:p>
    <w:p w14:paraId="68E39E42">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8644F9">
      <w:pPr>
        <w:spacing w:line="360" w:lineRule="auto"/>
        <w:ind w:firstLine="435"/>
        <w:rPr>
          <w:rFonts w:hAnsi="宋体" w:eastAsia="宋体"/>
          <w:color w:val="auto"/>
          <w:sz w:val="24"/>
          <w:szCs w:val="28"/>
          <w:highlight w:val="none"/>
          <w:lang w:val="zh-CN"/>
        </w:rPr>
      </w:pPr>
    </w:p>
    <w:p w14:paraId="367E5DE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246A3DD9">
      <w:pPr>
        <w:spacing w:line="360" w:lineRule="auto"/>
        <w:rPr>
          <w:rFonts w:ascii="宋体" w:hAnsi="宋体" w:eastAsia="宋体"/>
          <w:color w:val="auto"/>
          <w:sz w:val="24"/>
          <w:szCs w:val="28"/>
          <w:highlight w:val="none"/>
        </w:rPr>
      </w:pPr>
    </w:p>
    <w:p w14:paraId="20AD7F89">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EA601F">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00D99995">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B059B26">
      <w:pPr>
        <w:spacing w:line="360" w:lineRule="auto"/>
        <w:ind w:firstLine="435"/>
        <w:rPr>
          <w:rFonts w:ascii="宋体" w:hAnsi="宋体" w:eastAsia="宋体"/>
          <w:color w:val="auto"/>
          <w:sz w:val="24"/>
          <w:highlight w:val="none"/>
        </w:rPr>
      </w:pPr>
    </w:p>
    <w:p w14:paraId="5A08068B">
      <w:pPr>
        <w:spacing w:line="360" w:lineRule="auto"/>
        <w:ind w:firstLine="435"/>
        <w:rPr>
          <w:rFonts w:ascii="宋体" w:hAnsi="宋体" w:eastAsia="宋体"/>
          <w:color w:val="auto"/>
          <w:sz w:val="24"/>
          <w:highlight w:val="none"/>
        </w:rPr>
      </w:pPr>
    </w:p>
    <w:p w14:paraId="508BDD34">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3FD8453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5B438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47A4CD2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00DE2C1">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D5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EAB655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660E7EC0">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33C3A904">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33E5D7A7">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3E718A4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79ED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0D43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767F59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57125F8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C59376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EB3C7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59D3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03D121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4093874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23D015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8C660E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0BED8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508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B0A466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6597134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6CB8A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782DB98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76AD4CF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6EE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0126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06082F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8301C9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721FAFB">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4F12A9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09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1F8FFA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233390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31E855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51C4FBF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7CFCC7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7BFCAD5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9F8DA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C6421D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6BC71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DB5491D">
      <w:pPr>
        <w:spacing w:line="360" w:lineRule="auto"/>
        <w:ind w:firstLine="435"/>
        <w:rPr>
          <w:rFonts w:hint="eastAsia" w:ascii="宋体" w:hAnsi="宋体" w:eastAsia="宋体" w:cs="宋体"/>
          <w:b/>
          <w:bCs/>
          <w:color w:val="auto"/>
          <w:sz w:val="24"/>
          <w:highlight w:val="none"/>
          <w:lang w:val="en-US" w:eastAsia="zh-CN"/>
        </w:rPr>
      </w:pPr>
    </w:p>
    <w:p w14:paraId="093080AC">
      <w:pPr>
        <w:spacing w:line="360" w:lineRule="auto"/>
        <w:ind w:firstLine="435"/>
        <w:rPr>
          <w:rFonts w:hint="eastAsia" w:ascii="宋体" w:hAnsi="宋体" w:eastAsia="宋体" w:cs="宋体"/>
          <w:color w:val="auto"/>
          <w:sz w:val="24"/>
          <w:highlight w:val="none"/>
          <w:lang w:val="en-US" w:eastAsia="zh-CN"/>
        </w:rPr>
      </w:pPr>
    </w:p>
    <w:p w14:paraId="35205C49">
      <w:pPr>
        <w:spacing w:line="360" w:lineRule="auto"/>
        <w:ind w:firstLine="435"/>
        <w:rPr>
          <w:rFonts w:hint="eastAsia" w:ascii="宋体" w:hAnsi="宋体" w:eastAsia="宋体" w:cs="宋体"/>
          <w:color w:val="auto"/>
          <w:sz w:val="24"/>
          <w:highlight w:val="none"/>
          <w:lang w:val="en-US" w:eastAsia="zh-CN"/>
        </w:rPr>
      </w:pPr>
    </w:p>
    <w:p w14:paraId="23528066">
      <w:pPr>
        <w:spacing w:line="360" w:lineRule="auto"/>
        <w:ind w:firstLine="435"/>
        <w:rPr>
          <w:rFonts w:hint="eastAsia" w:ascii="宋体" w:hAnsi="宋体" w:eastAsia="宋体" w:cs="宋体"/>
          <w:color w:val="auto"/>
          <w:sz w:val="24"/>
          <w:highlight w:val="none"/>
          <w:lang w:val="en-US" w:eastAsia="zh-CN"/>
        </w:rPr>
      </w:pPr>
    </w:p>
    <w:p w14:paraId="709674C3">
      <w:pPr>
        <w:spacing w:line="360" w:lineRule="auto"/>
        <w:ind w:firstLine="435"/>
        <w:rPr>
          <w:rFonts w:hint="eastAsia" w:ascii="宋体" w:hAnsi="宋体" w:eastAsia="宋体" w:cs="宋体"/>
          <w:color w:val="auto"/>
          <w:sz w:val="24"/>
          <w:highlight w:val="none"/>
          <w:lang w:val="en-US" w:eastAsia="zh-CN"/>
        </w:rPr>
      </w:pPr>
    </w:p>
    <w:p w14:paraId="20FCE55B">
      <w:pPr>
        <w:spacing w:line="360" w:lineRule="auto"/>
        <w:ind w:firstLine="435"/>
        <w:rPr>
          <w:rFonts w:hint="eastAsia" w:ascii="宋体" w:hAnsi="宋体" w:eastAsia="宋体" w:cs="宋体"/>
          <w:color w:val="auto"/>
          <w:sz w:val="24"/>
          <w:highlight w:val="none"/>
          <w:lang w:val="en-US" w:eastAsia="zh-CN"/>
        </w:rPr>
      </w:pPr>
    </w:p>
    <w:p w14:paraId="13B362BA">
      <w:pPr>
        <w:spacing w:line="360" w:lineRule="auto"/>
        <w:ind w:firstLine="435"/>
        <w:rPr>
          <w:rFonts w:hint="eastAsia" w:ascii="宋体" w:hAnsi="宋体" w:eastAsia="宋体" w:cs="宋体"/>
          <w:color w:val="auto"/>
          <w:sz w:val="24"/>
          <w:highlight w:val="none"/>
          <w:lang w:val="en-US" w:eastAsia="zh-CN"/>
        </w:rPr>
      </w:pPr>
    </w:p>
    <w:p w14:paraId="6B847AA5">
      <w:pPr>
        <w:spacing w:line="360" w:lineRule="auto"/>
        <w:ind w:firstLine="435"/>
        <w:rPr>
          <w:rFonts w:hint="eastAsia" w:ascii="宋体" w:hAnsi="宋体" w:eastAsia="宋体" w:cs="宋体"/>
          <w:color w:val="auto"/>
          <w:sz w:val="24"/>
          <w:highlight w:val="none"/>
          <w:lang w:val="en-US" w:eastAsia="zh-CN"/>
        </w:rPr>
      </w:pPr>
    </w:p>
    <w:p w14:paraId="1C41C406">
      <w:pPr>
        <w:spacing w:line="360" w:lineRule="auto"/>
        <w:ind w:firstLine="435"/>
        <w:rPr>
          <w:rFonts w:hint="eastAsia" w:ascii="宋体" w:hAnsi="宋体" w:eastAsia="宋体" w:cs="宋体"/>
          <w:color w:val="auto"/>
          <w:sz w:val="24"/>
          <w:highlight w:val="none"/>
          <w:lang w:val="en-US" w:eastAsia="zh-CN"/>
        </w:rPr>
      </w:pPr>
    </w:p>
    <w:p w14:paraId="3959DE7C">
      <w:pPr>
        <w:spacing w:line="360" w:lineRule="auto"/>
        <w:ind w:firstLine="435"/>
        <w:rPr>
          <w:rFonts w:hint="eastAsia" w:ascii="宋体" w:hAnsi="宋体" w:eastAsia="宋体" w:cs="宋体"/>
          <w:color w:val="auto"/>
          <w:sz w:val="24"/>
          <w:highlight w:val="none"/>
          <w:lang w:val="en-US" w:eastAsia="zh-CN"/>
        </w:rPr>
      </w:pPr>
    </w:p>
    <w:p w14:paraId="260B91AC">
      <w:pPr>
        <w:spacing w:line="360" w:lineRule="auto"/>
        <w:ind w:firstLine="435"/>
        <w:rPr>
          <w:rFonts w:hint="eastAsia" w:ascii="宋体" w:hAnsi="宋体" w:eastAsia="宋体" w:cs="宋体"/>
          <w:color w:val="auto"/>
          <w:sz w:val="24"/>
          <w:highlight w:val="none"/>
          <w:lang w:val="en-US" w:eastAsia="zh-CN"/>
        </w:rPr>
      </w:pPr>
    </w:p>
    <w:p w14:paraId="5664F99B">
      <w:pPr>
        <w:spacing w:line="360" w:lineRule="auto"/>
        <w:ind w:firstLine="435"/>
        <w:rPr>
          <w:rFonts w:hint="eastAsia" w:ascii="宋体" w:hAnsi="宋体" w:eastAsia="宋体" w:cs="宋体"/>
          <w:color w:val="auto"/>
          <w:sz w:val="24"/>
          <w:highlight w:val="none"/>
          <w:lang w:val="en-US" w:eastAsia="zh-CN"/>
        </w:rPr>
      </w:pPr>
    </w:p>
    <w:p w14:paraId="6F9F817E">
      <w:pPr>
        <w:spacing w:line="360" w:lineRule="auto"/>
        <w:ind w:firstLine="435"/>
        <w:rPr>
          <w:rFonts w:hint="eastAsia" w:ascii="宋体" w:hAnsi="宋体" w:eastAsia="宋体" w:cs="宋体"/>
          <w:color w:val="auto"/>
          <w:sz w:val="24"/>
          <w:highlight w:val="none"/>
          <w:lang w:val="en-US" w:eastAsia="zh-CN"/>
        </w:rPr>
      </w:pPr>
    </w:p>
    <w:p w14:paraId="67551F39">
      <w:pPr>
        <w:spacing w:line="360" w:lineRule="auto"/>
        <w:ind w:firstLine="435"/>
        <w:rPr>
          <w:rFonts w:hint="eastAsia" w:ascii="宋体" w:hAnsi="宋体" w:eastAsia="宋体" w:cs="宋体"/>
          <w:color w:val="auto"/>
          <w:sz w:val="24"/>
          <w:highlight w:val="none"/>
          <w:lang w:val="en-US" w:eastAsia="zh-CN"/>
        </w:rPr>
      </w:pPr>
    </w:p>
    <w:p w14:paraId="3C6FAC63">
      <w:pPr>
        <w:spacing w:line="360" w:lineRule="auto"/>
        <w:ind w:firstLine="435"/>
        <w:rPr>
          <w:rFonts w:hint="eastAsia" w:ascii="宋体" w:hAnsi="宋体" w:eastAsia="宋体" w:cs="宋体"/>
          <w:color w:val="auto"/>
          <w:sz w:val="24"/>
          <w:highlight w:val="none"/>
          <w:lang w:val="en-US" w:eastAsia="zh-CN"/>
        </w:rPr>
      </w:pPr>
    </w:p>
    <w:p w14:paraId="76B8B7D1">
      <w:pPr>
        <w:spacing w:line="360" w:lineRule="auto"/>
        <w:jc w:val="center"/>
        <w:outlineLvl w:val="1"/>
        <w:rPr>
          <w:rFonts w:hint="eastAsia" w:ascii="宋体" w:hAnsi="宋体" w:eastAsia="宋体"/>
          <w:b/>
          <w:color w:val="auto"/>
          <w:sz w:val="24"/>
          <w:highlight w:val="none"/>
          <w:lang w:val="en-US" w:eastAsia="zh-CN"/>
        </w:rPr>
      </w:pPr>
      <w:bookmarkStart w:id="50" w:name="_Toc1328"/>
    </w:p>
    <w:p w14:paraId="783829D0">
      <w:pPr>
        <w:spacing w:line="360" w:lineRule="auto"/>
        <w:jc w:val="center"/>
        <w:outlineLvl w:val="1"/>
        <w:rPr>
          <w:rFonts w:hint="eastAsia" w:ascii="宋体" w:hAnsi="宋体" w:eastAsia="宋体"/>
          <w:b/>
          <w:color w:val="auto"/>
          <w:sz w:val="24"/>
          <w:highlight w:val="none"/>
          <w:lang w:val="en-US" w:eastAsia="zh-CN"/>
        </w:rPr>
      </w:pPr>
    </w:p>
    <w:p w14:paraId="7D39F88D">
      <w:pPr>
        <w:spacing w:line="360" w:lineRule="auto"/>
        <w:jc w:val="center"/>
        <w:outlineLvl w:val="1"/>
        <w:rPr>
          <w:rFonts w:hint="eastAsia" w:ascii="宋体" w:hAnsi="宋体" w:eastAsia="宋体"/>
          <w:b/>
          <w:color w:val="auto"/>
          <w:sz w:val="24"/>
          <w:highlight w:val="none"/>
          <w:lang w:val="en-US" w:eastAsia="zh-CN"/>
        </w:rPr>
      </w:pPr>
    </w:p>
    <w:p w14:paraId="1B57CDE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0"/>
    </w:p>
    <w:p w14:paraId="7685B2D8">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0508B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C1390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4EE108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0A7324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C2D63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3208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482453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A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1788CA">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1AB170F4">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CDEE01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373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93B17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35B0957">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8EC9C54">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3FA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F664A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48267C0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8DEAAB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58FC5F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71E1FB14">
      <w:pPr>
        <w:spacing w:line="360" w:lineRule="auto"/>
        <w:ind w:firstLine="4800" w:firstLineChars="2000"/>
        <w:rPr>
          <w:rFonts w:ascii="宋体" w:hAnsi="宋体" w:eastAsia="宋体"/>
          <w:color w:val="auto"/>
          <w:sz w:val="24"/>
          <w:highlight w:val="none"/>
        </w:rPr>
      </w:pPr>
    </w:p>
    <w:p w14:paraId="3AC1AEBE">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5689750">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069CBC7">
      <w:pPr>
        <w:pStyle w:val="9"/>
        <w:rPr>
          <w:rFonts w:hint="eastAsia" w:ascii="宋体" w:hAnsi="宋体" w:eastAsia="宋体" w:cs="宋体"/>
          <w:color w:val="000000"/>
          <w:kern w:val="0"/>
          <w:sz w:val="24"/>
          <w:szCs w:val="24"/>
          <w:highlight w:val="none"/>
          <w:lang w:val="en-US" w:eastAsia="zh-CN"/>
        </w:rPr>
      </w:pPr>
    </w:p>
    <w:p w14:paraId="60F7286D">
      <w:pPr>
        <w:pStyle w:val="9"/>
        <w:rPr>
          <w:rFonts w:hint="eastAsia" w:ascii="宋体" w:hAnsi="宋体" w:eastAsia="宋体" w:cs="宋体"/>
          <w:color w:val="000000"/>
          <w:kern w:val="0"/>
          <w:sz w:val="24"/>
          <w:szCs w:val="24"/>
          <w:highlight w:val="none"/>
          <w:lang w:val="en-US" w:eastAsia="zh-CN"/>
        </w:rPr>
      </w:pPr>
    </w:p>
    <w:p w14:paraId="204061C1">
      <w:pPr>
        <w:pStyle w:val="9"/>
        <w:rPr>
          <w:rFonts w:hint="eastAsia" w:ascii="宋体" w:hAnsi="宋体" w:eastAsia="宋体" w:cs="宋体"/>
          <w:color w:val="000000"/>
          <w:kern w:val="0"/>
          <w:sz w:val="24"/>
          <w:szCs w:val="24"/>
          <w:highlight w:val="none"/>
          <w:lang w:val="en-US" w:eastAsia="zh-CN"/>
        </w:rPr>
      </w:pPr>
    </w:p>
    <w:p w14:paraId="2D250517">
      <w:pPr>
        <w:rPr>
          <w:rFonts w:hint="eastAsia" w:ascii="宋体" w:hAnsi="宋体" w:eastAsia="宋体"/>
          <w:b/>
          <w:color w:val="auto"/>
          <w:sz w:val="24"/>
          <w:highlight w:val="none"/>
        </w:rPr>
      </w:pPr>
      <w:bookmarkStart w:id="51" w:name="_Toc11607"/>
      <w:r>
        <w:rPr>
          <w:rFonts w:hint="eastAsia" w:ascii="宋体" w:hAnsi="宋体" w:eastAsia="宋体"/>
          <w:b/>
          <w:color w:val="auto"/>
          <w:sz w:val="24"/>
          <w:highlight w:val="none"/>
        </w:rPr>
        <w:br w:type="page"/>
      </w:r>
    </w:p>
    <w:bookmarkEnd w:id="51"/>
    <w:p w14:paraId="7F9821F0">
      <w:pPr>
        <w:widowControl/>
        <w:jc w:val="center"/>
        <w:rPr>
          <w:rFonts w:hint="eastAsia" w:ascii="宋体" w:hAnsi="宋体" w:eastAsia="宋体"/>
          <w:b/>
          <w:color w:val="auto"/>
          <w:sz w:val="24"/>
          <w:highlight w:val="none"/>
          <w:lang w:val="en-US" w:eastAsia="zh-CN"/>
        </w:rPr>
      </w:pPr>
      <w:bookmarkStart w:id="52" w:name="_Toc457768004"/>
      <w:bookmarkStart w:id="53" w:name="_Toc520299348"/>
      <w:bookmarkStart w:id="54" w:name="_Toc300210382"/>
      <w:bookmarkStart w:id="55" w:name="_Toc26536"/>
      <w:bookmarkStart w:id="56" w:name="_Toc25813"/>
      <w:bookmarkStart w:id="57" w:name="_Hlk11701496"/>
      <w:r>
        <w:rPr>
          <w:rFonts w:hint="eastAsia" w:ascii="宋体" w:hAnsi="宋体" w:eastAsia="宋体"/>
          <w:b/>
          <w:color w:val="auto"/>
          <w:sz w:val="24"/>
          <w:highlight w:val="none"/>
          <w:lang w:val="en-US" w:eastAsia="zh-CN"/>
        </w:rPr>
        <w:t>四、</w:t>
      </w:r>
      <w:bookmarkEnd w:id="52"/>
      <w:bookmarkEnd w:id="53"/>
      <w:bookmarkEnd w:id="54"/>
      <w:r>
        <w:rPr>
          <w:rFonts w:hint="eastAsia" w:ascii="宋体" w:hAnsi="宋体" w:eastAsia="宋体"/>
          <w:b/>
          <w:color w:val="auto"/>
          <w:sz w:val="24"/>
          <w:highlight w:val="none"/>
          <w:lang w:val="en-US" w:eastAsia="zh-CN"/>
        </w:rPr>
        <w:t>诚信履约承诺函</w:t>
      </w:r>
      <w:bookmarkEnd w:id="55"/>
      <w:bookmarkEnd w:id="56"/>
    </w:p>
    <w:p w14:paraId="2C70EC76">
      <w:pPr>
        <w:spacing w:line="360" w:lineRule="auto"/>
        <w:rPr>
          <w:rFonts w:ascii="宋体" w:hAnsi="宋体" w:eastAsia="宋体"/>
          <w:b/>
          <w:bCs/>
          <w:color w:val="auto"/>
          <w:sz w:val="24"/>
          <w:highlight w:val="none"/>
        </w:rPr>
      </w:pPr>
    </w:p>
    <w:p w14:paraId="5EEE9957">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78F0E08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877B8A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3049600">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2E25B4D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F3E08A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7F3BEB1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2EF01ED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0D21EC">
      <w:pPr>
        <w:spacing w:line="360" w:lineRule="auto"/>
        <w:rPr>
          <w:rFonts w:ascii="宋体" w:hAnsi="宋体" w:eastAsia="宋体"/>
          <w:bCs/>
          <w:color w:val="auto"/>
          <w:sz w:val="24"/>
          <w:highlight w:val="none"/>
        </w:rPr>
      </w:pPr>
    </w:p>
    <w:p w14:paraId="057C4C6B">
      <w:pPr>
        <w:spacing w:line="360" w:lineRule="auto"/>
        <w:rPr>
          <w:rFonts w:ascii="宋体" w:hAnsi="宋体" w:eastAsia="宋体"/>
          <w:bCs/>
          <w:color w:val="auto"/>
          <w:sz w:val="24"/>
          <w:highlight w:val="none"/>
        </w:rPr>
      </w:pPr>
    </w:p>
    <w:p w14:paraId="30527F2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44A0D7B0">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1486CB5">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8" w:name="_Toc9573"/>
      <w:bookmarkStart w:id="59" w:name="_Toc31244"/>
      <w:bookmarkStart w:id="60" w:name="OLE_LINK13"/>
      <w:bookmarkStart w:id="61" w:name="OLE_LINK14"/>
    </w:p>
    <w:p w14:paraId="4C01C5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58"/>
      <w:bookmarkEnd w:id="59"/>
    </w:p>
    <w:p w14:paraId="0A80C9A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858479D">
      <w:pPr>
        <w:rPr>
          <w:rFonts w:asciiTheme="minorEastAsia" w:hAnsiTheme="minorEastAsia" w:eastAsiaTheme="minorEastAsia"/>
          <w:color w:val="auto"/>
          <w:sz w:val="24"/>
          <w:szCs w:val="24"/>
          <w:highlight w:val="none"/>
        </w:rPr>
      </w:pPr>
    </w:p>
    <w:p w14:paraId="3F5955C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272159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C49601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1E5556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1A50B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AFFA1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78A907">
      <w:pPr>
        <w:spacing w:line="360" w:lineRule="auto"/>
        <w:rPr>
          <w:rFonts w:asciiTheme="minorEastAsia" w:hAnsiTheme="minorEastAsia" w:eastAsiaTheme="minorEastAsia"/>
          <w:color w:val="auto"/>
          <w:sz w:val="24"/>
          <w:szCs w:val="24"/>
          <w:highlight w:val="none"/>
        </w:rPr>
      </w:pPr>
    </w:p>
    <w:p w14:paraId="2873880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829327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D0BAEC0">
      <w:pPr>
        <w:tabs>
          <w:tab w:val="left" w:pos="4620"/>
        </w:tabs>
        <w:spacing w:line="360" w:lineRule="auto"/>
        <w:jc w:val="left"/>
        <w:rPr>
          <w:rFonts w:asciiTheme="minorEastAsia" w:hAnsiTheme="minorEastAsia" w:eastAsiaTheme="minorEastAsia"/>
          <w:color w:val="auto"/>
          <w:sz w:val="24"/>
          <w:szCs w:val="24"/>
          <w:highlight w:val="none"/>
        </w:rPr>
      </w:pPr>
    </w:p>
    <w:p w14:paraId="4FD44C8A">
      <w:pPr>
        <w:tabs>
          <w:tab w:val="left" w:pos="4620"/>
        </w:tabs>
        <w:spacing w:line="360" w:lineRule="auto"/>
        <w:jc w:val="left"/>
        <w:rPr>
          <w:rFonts w:asciiTheme="minorEastAsia" w:hAnsiTheme="minorEastAsia" w:eastAsiaTheme="minorEastAsia"/>
          <w:color w:val="auto"/>
          <w:sz w:val="24"/>
          <w:szCs w:val="24"/>
          <w:highlight w:val="none"/>
        </w:rPr>
      </w:pPr>
    </w:p>
    <w:p w14:paraId="3C12D8B2">
      <w:pPr>
        <w:tabs>
          <w:tab w:val="left" w:pos="4620"/>
        </w:tabs>
        <w:spacing w:line="360" w:lineRule="auto"/>
        <w:jc w:val="left"/>
        <w:rPr>
          <w:rFonts w:asciiTheme="minorEastAsia" w:hAnsiTheme="minorEastAsia" w:eastAsiaTheme="minorEastAsia"/>
          <w:color w:val="auto"/>
          <w:sz w:val="24"/>
          <w:szCs w:val="24"/>
          <w:highlight w:val="none"/>
        </w:rPr>
      </w:pPr>
    </w:p>
    <w:p w14:paraId="5C8A61C0">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9F1EE93">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598610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F814D3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682A0D9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AD3FF4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CB2E25C">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0"/>
      <w:bookmarkEnd w:id="61"/>
    </w:p>
    <w:p w14:paraId="7410D3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2" w:name="_Toc16713"/>
      <w:bookmarkStart w:id="63" w:name="_Toc24563"/>
      <w:r>
        <w:rPr>
          <w:rFonts w:hint="eastAsia" w:asciiTheme="minorEastAsia" w:hAnsiTheme="minorEastAsia" w:eastAsiaTheme="minorEastAsia"/>
          <w:b/>
          <w:color w:val="auto"/>
          <w:sz w:val="24"/>
          <w:highlight w:val="none"/>
          <w:lang w:val="en-US" w:eastAsia="zh-CN"/>
        </w:rPr>
        <w:t>六、残疾人福利性单位声明函</w:t>
      </w:r>
      <w:bookmarkEnd w:id="62"/>
      <w:bookmarkEnd w:id="63"/>
    </w:p>
    <w:p w14:paraId="702CC06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4CFECD2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ACC5C58">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103F632">
      <w:pPr>
        <w:spacing w:line="360" w:lineRule="auto"/>
        <w:ind w:firstLine="4228" w:firstLineChars="1762"/>
        <w:rPr>
          <w:rFonts w:asciiTheme="minorEastAsia" w:hAnsiTheme="minorEastAsia" w:eastAsiaTheme="minorEastAsia"/>
          <w:color w:val="auto"/>
          <w:sz w:val="24"/>
          <w:szCs w:val="24"/>
          <w:highlight w:val="none"/>
        </w:rPr>
      </w:pPr>
    </w:p>
    <w:p w14:paraId="479870DB">
      <w:pPr>
        <w:spacing w:line="360" w:lineRule="auto"/>
        <w:ind w:firstLine="4228" w:firstLineChars="1762"/>
        <w:rPr>
          <w:rFonts w:asciiTheme="minorEastAsia" w:hAnsiTheme="minorEastAsia" w:eastAsiaTheme="minorEastAsia"/>
          <w:color w:val="auto"/>
          <w:sz w:val="24"/>
          <w:szCs w:val="24"/>
          <w:highlight w:val="none"/>
        </w:rPr>
      </w:pPr>
    </w:p>
    <w:p w14:paraId="6729C3E7">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投标人盖章：</w:t>
      </w:r>
      <w:r>
        <w:rPr>
          <w:rFonts w:hint="eastAsia" w:asciiTheme="minorEastAsia" w:hAnsiTheme="minorEastAsia" w:eastAsiaTheme="minorEastAsia"/>
          <w:color w:val="auto"/>
          <w:sz w:val="24"/>
          <w:szCs w:val="24"/>
          <w:highlight w:val="none"/>
          <w:u w:val="single"/>
        </w:rPr>
        <w:t xml:space="preserve">             </w:t>
      </w:r>
    </w:p>
    <w:p w14:paraId="38BEBAA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80A26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7"/>
    <w:p w14:paraId="455B927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64" w:name="_Toc18131"/>
      <w:bookmarkStart w:id="65" w:name="_Toc6435"/>
    </w:p>
    <w:p w14:paraId="5470FA6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15AEC0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087B8E63">
      <w:pPr>
        <w:spacing w:line="900" w:lineRule="exact"/>
        <w:jc w:val="center"/>
        <w:rPr>
          <w:rFonts w:ascii="宋体" w:hAnsi="宋体" w:eastAsia="宋体"/>
          <w:b/>
          <w:color w:val="auto"/>
          <w:sz w:val="72"/>
          <w:highlight w:val="none"/>
        </w:rPr>
      </w:pPr>
    </w:p>
    <w:p w14:paraId="2605EB9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C30355C">
      <w:pPr>
        <w:spacing w:line="900" w:lineRule="exact"/>
        <w:jc w:val="center"/>
        <w:rPr>
          <w:rFonts w:ascii="宋体" w:hAnsi="宋体" w:eastAsia="宋体"/>
          <w:b/>
          <w:color w:val="auto"/>
          <w:sz w:val="72"/>
          <w:highlight w:val="none"/>
        </w:rPr>
      </w:pPr>
    </w:p>
    <w:p w14:paraId="6CAD12D1">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2876CA6C">
      <w:pPr>
        <w:spacing w:line="900" w:lineRule="exact"/>
        <w:jc w:val="center"/>
        <w:rPr>
          <w:rFonts w:ascii="宋体" w:hAnsi="宋体" w:eastAsia="宋体"/>
          <w:b/>
          <w:color w:val="auto"/>
          <w:sz w:val="72"/>
          <w:highlight w:val="none"/>
        </w:rPr>
      </w:pPr>
    </w:p>
    <w:p w14:paraId="2D1176E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684D1380">
      <w:pPr>
        <w:spacing w:line="900" w:lineRule="exact"/>
        <w:jc w:val="center"/>
        <w:rPr>
          <w:rFonts w:ascii="宋体" w:hAnsi="宋体" w:eastAsia="宋体"/>
          <w:b/>
          <w:color w:val="auto"/>
          <w:sz w:val="72"/>
          <w:highlight w:val="none"/>
        </w:rPr>
      </w:pPr>
    </w:p>
    <w:p w14:paraId="380FDB91">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3AD1BFDD">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技术证明文件（二）</w:t>
      </w:r>
    </w:p>
    <w:p w14:paraId="65C62549">
      <w:pPr>
        <w:spacing w:after="156" w:afterLines="50" w:line="500" w:lineRule="exact"/>
        <w:jc w:val="center"/>
        <w:rPr>
          <w:rFonts w:ascii="宋体" w:hAnsi="宋体" w:eastAsia="宋体"/>
          <w:b/>
          <w:color w:val="auto"/>
          <w:sz w:val="28"/>
          <w:szCs w:val="28"/>
          <w:highlight w:val="none"/>
        </w:rPr>
      </w:pPr>
    </w:p>
    <w:p w14:paraId="7F1598E2">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60F802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ADE99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8608B4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1483FF24">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A3803E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6E3830A6">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28A94B3B">
      <w:pPr>
        <w:widowControl/>
        <w:jc w:val="left"/>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售后服务</w:t>
      </w:r>
    </w:p>
    <w:p w14:paraId="587DBDD9">
      <w:pPr>
        <w:spacing w:line="360" w:lineRule="auto"/>
        <w:jc w:val="center"/>
        <w:outlineLvl w:val="0"/>
        <w:rPr>
          <w:rFonts w:hint="eastAsia" w:ascii="宋体" w:hAnsi="宋体" w:eastAsia="宋体"/>
          <w:b/>
          <w:color w:val="auto"/>
          <w:sz w:val="28"/>
          <w:highlight w:val="none"/>
        </w:rPr>
      </w:pPr>
    </w:p>
    <w:p w14:paraId="0C1BC64F">
      <w:pPr>
        <w:spacing w:line="360" w:lineRule="auto"/>
        <w:jc w:val="center"/>
        <w:outlineLvl w:val="0"/>
        <w:rPr>
          <w:rFonts w:hint="eastAsia" w:ascii="宋体" w:hAnsi="宋体" w:eastAsia="宋体"/>
          <w:b/>
          <w:color w:val="auto"/>
          <w:sz w:val="28"/>
          <w:highlight w:val="none"/>
        </w:rPr>
      </w:pPr>
    </w:p>
    <w:p w14:paraId="73A5AA2D">
      <w:pPr>
        <w:spacing w:line="360" w:lineRule="auto"/>
        <w:jc w:val="center"/>
        <w:outlineLvl w:val="0"/>
        <w:rPr>
          <w:rFonts w:hint="eastAsia" w:ascii="宋体" w:hAnsi="宋体" w:eastAsia="宋体"/>
          <w:b/>
          <w:color w:val="auto"/>
          <w:sz w:val="28"/>
          <w:highlight w:val="none"/>
        </w:rPr>
      </w:pPr>
    </w:p>
    <w:p w14:paraId="07DFA660">
      <w:pPr>
        <w:spacing w:line="360" w:lineRule="auto"/>
        <w:jc w:val="center"/>
        <w:outlineLvl w:val="0"/>
        <w:rPr>
          <w:rFonts w:hint="eastAsia" w:ascii="宋体" w:hAnsi="宋体" w:eastAsia="宋体"/>
          <w:b/>
          <w:color w:val="auto"/>
          <w:sz w:val="28"/>
          <w:highlight w:val="none"/>
        </w:rPr>
      </w:pPr>
    </w:p>
    <w:p w14:paraId="5251B6BF">
      <w:pPr>
        <w:spacing w:line="360" w:lineRule="auto"/>
        <w:jc w:val="center"/>
        <w:outlineLvl w:val="0"/>
        <w:rPr>
          <w:rFonts w:hint="eastAsia" w:ascii="宋体" w:hAnsi="宋体" w:eastAsia="宋体"/>
          <w:b/>
          <w:color w:val="auto"/>
          <w:sz w:val="28"/>
          <w:highlight w:val="none"/>
        </w:rPr>
      </w:pPr>
    </w:p>
    <w:p w14:paraId="7BA6884B">
      <w:pPr>
        <w:spacing w:line="360" w:lineRule="auto"/>
        <w:jc w:val="center"/>
        <w:outlineLvl w:val="0"/>
        <w:rPr>
          <w:rFonts w:hint="eastAsia" w:ascii="宋体" w:hAnsi="宋体" w:eastAsia="宋体"/>
          <w:b/>
          <w:color w:val="auto"/>
          <w:sz w:val="28"/>
          <w:highlight w:val="none"/>
        </w:rPr>
      </w:pPr>
    </w:p>
    <w:p w14:paraId="6DBD3095">
      <w:pPr>
        <w:spacing w:line="360" w:lineRule="auto"/>
        <w:jc w:val="center"/>
        <w:outlineLvl w:val="0"/>
        <w:rPr>
          <w:rFonts w:hint="eastAsia" w:ascii="宋体" w:hAnsi="宋体" w:eastAsia="宋体"/>
          <w:b/>
          <w:color w:val="auto"/>
          <w:sz w:val="28"/>
          <w:highlight w:val="none"/>
        </w:rPr>
      </w:pPr>
    </w:p>
    <w:p w14:paraId="7DD64F17">
      <w:pPr>
        <w:spacing w:line="360" w:lineRule="auto"/>
        <w:jc w:val="center"/>
        <w:outlineLvl w:val="0"/>
        <w:rPr>
          <w:rFonts w:hint="eastAsia" w:ascii="宋体" w:hAnsi="宋体" w:eastAsia="宋体"/>
          <w:b/>
          <w:color w:val="auto"/>
          <w:sz w:val="28"/>
          <w:highlight w:val="none"/>
        </w:rPr>
      </w:pPr>
    </w:p>
    <w:p w14:paraId="0ABC600F">
      <w:pPr>
        <w:spacing w:line="360" w:lineRule="auto"/>
        <w:jc w:val="center"/>
        <w:outlineLvl w:val="0"/>
        <w:rPr>
          <w:rFonts w:hint="eastAsia" w:ascii="宋体" w:hAnsi="宋体" w:eastAsia="宋体"/>
          <w:b/>
          <w:color w:val="auto"/>
          <w:sz w:val="28"/>
          <w:highlight w:val="none"/>
        </w:rPr>
      </w:pPr>
    </w:p>
    <w:p w14:paraId="2F8EE673">
      <w:pPr>
        <w:spacing w:line="360" w:lineRule="auto"/>
        <w:jc w:val="center"/>
        <w:outlineLvl w:val="0"/>
        <w:rPr>
          <w:rFonts w:hint="eastAsia" w:ascii="宋体" w:hAnsi="宋体" w:eastAsia="宋体"/>
          <w:b/>
          <w:color w:val="auto"/>
          <w:sz w:val="28"/>
          <w:highlight w:val="none"/>
        </w:rPr>
      </w:pPr>
    </w:p>
    <w:p w14:paraId="1E783066">
      <w:pPr>
        <w:spacing w:line="360" w:lineRule="auto"/>
        <w:jc w:val="center"/>
        <w:outlineLvl w:val="0"/>
        <w:rPr>
          <w:rFonts w:hint="eastAsia" w:ascii="宋体" w:hAnsi="宋体" w:eastAsia="宋体"/>
          <w:b/>
          <w:color w:val="auto"/>
          <w:sz w:val="28"/>
          <w:highlight w:val="none"/>
        </w:rPr>
      </w:pPr>
    </w:p>
    <w:p w14:paraId="04BBC945">
      <w:pPr>
        <w:spacing w:line="360" w:lineRule="auto"/>
        <w:jc w:val="center"/>
        <w:outlineLvl w:val="0"/>
        <w:rPr>
          <w:rFonts w:hint="eastAsia" w:ascii="宋体" w:hAnsi="宋体" w:eastAsia="宋体"/>
          <w:b/>
          <w:color w:val="auto"/>
          <w:sz w:val="28"/>
          <w:highlight w:val="none"/>
        </w:rPr>
      </w:pPr>
    </w:p>
    <w:p w14:paraId="6E3E20E8">
      <w:pPr>
        <w:spacing w:line="360" w:lineRule="auto"/>
        <w:jc w:val="center"/>
        <w:outlineLvl w:val="0"/>
        <w:rPr>
          <w:rFonts w:hint="eastAsia" w:ascii="宋体" w:hAnsi="宋体" w:eastAsia="宋体"/>
          <w:b/>
          <w:color w:val="auto"/>
          <w:sz w:val="28"/>
          <w:highlight w:val="none"/>
        </w:rPr>
      </w:pPr>
    </w:p>
    <w:p w14:paraId="6F429D52">
      <w:pPr>
        <w:spacing w:line="360" w:lineRule="auto"/>
        <w:jc w:val="center"/>
        <w:outlineLvl w:val="0"/>
        <w:rPr>
          <w:rFonts w:hint="eastAsia" w:ascii="宋体" w:hAnsi="宋体" w:eastAsia="宋体"/>
          <w:b/>
          <w:color w:val="auto"/>
          <w:sz w:val="28"/>
          <w:highlight w:val="none"/>
        </w:rPr>
      </w:pPr>
    </w:p>
    <w:p w14:paraId="41FE467D">
      <w:pPr>
        <w:spacing w:line="360" w:lineRule="auto"/>
        <w:jc w:val="center"/>
        <w:outlineLvl w:val="0"/>
        <w:rPr>
          <w:rFonts w:hint="eastAsia" w:ascii="宋体" w:hAnsi="宋体" w:eastAsia="宋体"/>
          <w:b/>
          <w:color w:val="auto"/>
          <w:sz w:val="28"/>
          <w:highlight w:val="none"/>
        </w:rPr>
      </w:pPr>
    </w:p>
    <w:p w14:paraId="6701D924">
      <w:pPr>
        <w:spacing w:line="360" w:lineRule="auto"/>
        <w:jc w:val="center"/>
        <w:outlineLvl w:val="0"/>
        <w:rPr>
          <w:rFonts w:hint="eastAsia" w:ascii="宋体" w:hAnsi="宋体" w:eastAsia="宋体"/>
          <w:b/>
          <w:color w:val="auto"/>
          <w:sz w:val="28"/>
          <w:highlight w:val="none"/>
        </w:rPr>
      </w:pPr>
    </w:p>
    <w:p w14:paraId="36282DC7">
      <w:pPr>
        <w:spacing w:line="360" w:lineRule="auto"/>
        <w:jc w:val="center"/>
        <w:outlineLvl w:val="0"/>
        <w:rPr>
          <w:rFonts w:hint="eastAsia" w:ascii="宋体" w:hAnsi="宋体" w:eastAsia="宋体"/>
          <w:b/>
          <w:color w:val="auto"/>
          <w:sz w:val="28"/>
          <w:highlight w:val="none"/>
        </w:rPr>
      </w:pPr>
    </w:p>
    <w:p w14:paraId="70B4D099">
      <w:pPr>
        <w:spacing w:line="360" w:lineRule="auto"/>
        <w:jc w:val="center"/>
        <w:outlineLvl w:val="0"/>
        <w:rPr>
          <w:rFonts w:hint="eastAsia" w:ascii="宋体" w:hAnsi="宋体" w:eastAsia="宋体"/>
          <w:b/>
          <w:color w:val="auto"/>
          <w:sz w:val="28"/>
          <w:highlight w:val="none"/>
        </w:rPr>
      </w:pPr>
    </w:p>
    <w:p w14:paraId="54E5B63A">
      <w:pPr>
        <w:spacing w:line="360" w:lineRule="auto"/>
        <w:jc w:val="center"/>
        <w:outlineLvl w:val="0"/>
        <w:rPr>
          <w:rFonts w:hint="eastAsia" w:ascii="宋体" w:hAnsi="宋体" w:eastAsia="宋体"/>
          <w:b/>
          <w:color w:val="auto"/>
          <w:sz w:val="28"/>
          <w:highlight w:val="none"/>
        </w:rPr>
      </w:pPr>
    </w:p>
    <w:p w14:paraId="2CFF0C61">
      <w:pPr>
        <w:spacing w:line="360" w:lineRule="auto"/>
        <w:jc w:val="center"/>
        <w:outlineLvl w:val="0"/>
        <w:rPr>
          <w:rFonts w:hint="eastAsia" w:ascii="宋体" w:hAnsi="宋体" w:eastAsia="宋体"/>
          <w:b/>
          <w:color w:val="auto"/>
          <w:sz w:val="28"/>
          <w:highlight w:val="none"/>
        </w:rPr>
      </w:pPr>
    </w:p>
    <w:p w14:paraId="75DF126E">
      <w:pPr>
        <w:spacing w:line="360" w:lineRule="auto"/>
        <w:jc w:val="center"/>
        <w:outlineLvl w:val="0"/>
        <w:rPr>
          <w:rFonts w:hint="eastAsia" w:ascii="宋体" w:hAnsi="宋体" w:eastAsia="宋体"/>
          <w:b/>
          <w:color w:val="auto"/>
          <w:sz w:val="28"/>
          <w:highlight w:val="none"/>
        </w:rPr>
      </w:pPr>
    </w:p>
    <w:p w14:paraId="7F75930A">
      <w:pPr>
        <w:spacing w:line="360" w:lineRule="auto"/>
        <w:jc w:val="center"/>
        <w:outlineLvl w:val="0"/>
        <w:rPr>
          <w:rFonts w:hint="eastAsia" w:ascii="宋体" w:hAnsi="宋体" w:eastAsia="宋体"/>
          <w:b/>
          <w:color w:val="auto"/>
          <w:sz w:val="28"/>
          <w:highlight w:val="none"/>
        </w:rPr>
      </w:pPr>
    </w:p>
    <w:p w14:paraId="79219080">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0FE34F6A">
      <w:pPr>
        <w:spacing w:line="900" w:lineRule="exact"/>
        <w:jc w:val="center"/>
        <w:rPr>
          <w:rFonts w:ascii="宋体" w:hAnsi="宋体" w:eastAsia="宋体"/>
          <w:b/>
          <w:color w:val="auto"/>
          <w:sz w:val="72"/>
          <w:highlight w:val="none"/>
        </w:rPr>
      </w:pPr>
    </w:p>
    <w:p w14:paraId="72AF891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7D9671CB">
      <w:pPr>
        <w:spacing w:line="900" w:lineRule="exact"/>
        <w:jc w:val="center"/>
        <w:rPr>
          <w:rFonts w:ascii="宋体" w:hAnsi="宋体" w:eastAsia="宋体"/>
          <w:b/>
          <w:color w:val="auto"/>
          <w:sz w:val="72"/>
          <w:highlight w:val="none"/>
        </w:rPr>
      </w:pPr>
    </w:p>
    <w:p w14:paraId="7E8133C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5FFFE5A5">
      <w:pPr>
        <w:spacing w:line="900" w:lineRule="exact"/>
        <w:jc w:val="center"/>
        <w:rPr>
          <w:rFonts w:ascii="宋体" w:hAnsi="宋体" w:eastAsia="宋体"/>
          <w:b/>
          <w:color w:val="auto"/>
          <w:sz w:val="72"/>
          <w:highlight w:val="none"/>
        </w:rPr>
      </w:pPr>
    </w:p>
    <w:p w14:paraId="6D3A1273">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50BF6574">
      <w:pPr>
        <w:spacing w:line="900" w:lineRule="exact"/>
        <w:jc w:val="center"/>
        <w:rPr>
          <w:rFonts w:ascii="宋体" w:hAnsi="宋体" w:eastAsia="宋体"/>
          <w:b/>
          <w:color w:val="auto"/>
          <w:sz w:val="72"/>
          <w:highlight w:val="none"/>
        </w:rPr>
      </w:pPr>
    </w:p>
    <w:p w14:paraId="03B8D82E">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6B78575">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61ECB714">
      <w:pPr>
        <w:spacing w:after="156" w:afterLines="50" w:line="500" w:lineRule="exact"/>
        <w:jc w:val="center"/>
        <w:rPr>
          <w:rFonts w:ascii="宋体" w:hAnsi="宋体" w:eastAsia="宋体"/>
          <w:b/>
          <w:color w:val="auto"/>
          <w:sz w:val="28"/>
          <w:szCs w:val="28"/>
          <w:highlight w:val="none"/>
        </w:rPr>
      </w:pPr>
    </w:p>
    <w:p w14:paraId="711CD81E">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DFE801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C640BE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E12AFAE">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782D89C0">
      <w:pPr>
        <w:spacing w:line="360" w:lineRule="auto"/>
        <w:jc w:val="center"/>
        <w:outlineLvl w:val="0"/>
        <w:rPr>
          <w:rFonts w:hint="eastAsia" w:ascii="宋体" w:hAnsi="宋体" w:eastAsia="宋体"/>
          <w:b/>
          <w:color w:val="auto"/>
          <w:sz w:val="28"/>
          <w:highlight w:val="none"/>
        </w:rPr>
      </w:pPr>
    </w:p>
    <w:p w14:paraId="30CAEBFA">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254CD3ED">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193C863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2419FC4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466C4A0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2D4FCC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853CF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20F4B028">
      <w:pPr>
        <w:spacing w:line="360" w:lineRule="auto"/>
        <w:ind w:firstLine="435"/>
        <w:rPr>
          <w:rFonts w:hint="default" w:ascii="宋体" w:hAnsi="宋体" w:eastAsia="宋体" w:cs="宋体"/>
          <w:color w:val="auto"/>
          <w:sz w:val="24"/>
          <w:highlight w:val="none"/>
          <w:lang w:val="en-US" w:eastAsia="zh-CN"/>
        </w:rPr>
      </w:pPr>
    </w:p>
    <w:p w14:paraId="318CBC34">
      <w:pPr>
        <w:spacing w:line="360" w:lineRule="auto"/>
        <w:jc w:val="center"/>
        <w:outlineLvl w:val="0"/>
        <w:rPr>
          <w:rFonts w:hint="eastAsia" w:ascii="宋体" w:hAnsi="宋体" w:eastAsia="宋体"/>
          <w:b/>
          <w:color w:val="auto"/>
          <w:sz w:val="28"/>
          <w:highlight w:val="none"/>
        </w:rPr>
      </w:pPr>
    </w:p>
    <w:p w14:paraId="0249CFF5">
      <w:pPr>
        <w:spacing w:line="360" w:lineRule="auto"/>
        <w:jc w:val="center"/>
        <w:outlineLvl w:val="0"/>
        <w:rPr>
          <w:rFonts w:hint="eastAsia" w:ascii="宋体" w:hAnsi="宋体" w:eastAsia="宋体"/>
          <w:b/>
          <w:color w:val="auto"/>
          <w:sz w:val="28"/>
          <w:highlight w:val="none"/>
        </w:rPr>
      </w:pPr>
    </w:p>
    <w:p w14:paraId="66927C64">
      <w:pPr>
        <w:spacing w:line="360" w:lineRule="auto"/>
        <w:jc w:val="center"/>
        <w:outlineLvl w:val="0"/>
        <w:rPr>
          <w:rFonts w:hint="eastAsia" w:ascii="宋体" w:hAnsi="宋体" w:eastAsia="宋体"/>
          <w:b/>
          <w:color w:val="auto"/>
          <w:sz w:val="28"/>
          <w:highlight w:val="none"/>
        </w:rPr>
      </w:pPr>
    </w:p>
    <w:p w14:paraId="6F320AC3">
      <w:pPr>
        <w:spacing w:line="360" w:lineRule="auto"/>
        <w:jc w:val="center"/>
        <w:outlineLvl w:val="0"/>
        <w:rPr>
          <w:rFonts w:hint="eastAsia" w:ascii="宋体" w:hAnsi="宋体" w:eastAsia="宋体"/>
          <w:b/>
          <w:color w:val="auto"/>
          <w:sz w:val="28"/>
          <w:highlight w:val="none"/>
        </w:rPr>
      </w:pPr>
    </w:p>
    <w:p w14:paraId="5CD84ED7">
      <w:pPr>
        <w:spacing w:line="360" w:lineRule="auto"/>
        <w:jc w:val="center"/>
        <w:outlineLvl w:val="0"/>
        <w:rPr>
          <w:rFonts w:hint="eastAsia" w:ascii="宋体" w:hAnsi="宋体" w:eastAsia="宋体"/>
          <w:b/>
          <w:color w:val="auto"/>
          <w:sz w:val="28"/>
          <w:highlight w:val="none"/>
        </w:rPr>
      </w:pPr>
    </w:p>
    <w:p w14:paraId="1D580B58">
      <w:pPr>
        <w:spacing w:line="360" w:lineRule="auto"/>
        <w:jc w:val="center"/>
        <w:outlineLvl w:val="0"/>
        <w:rPr>
          <w:rFonts w:hint="eastAsia" w:ascii="宋体" w:hAnsi="宋体" w:eastAsia="宋体"/>
          <w:b/>
          <w:color w:val="auto"/>
          <w:sz w:val="28"/>
          <w:highlight w:val="none"/>
        </w:rPr>
      </w:pPr>
    </w:p>
    <w:p w14:paraId="36481923">
      <w:pPr>
        <w:spacing w:line="360" w:lineRule="auto"/>
        <w:jc w:val="center"/>
        <w:outlineLvl w:val="0"/>
        <w:rPr>
          <w:rFonts w:hint="eastAsia" w:ascii="宋体" w:hAnsi="宋体" w:eastAsia="宋体"/>
          <w:b/>
          <w:color w:val="auto"/>
          <w:sz w:val="28"/>
          <w:highlight w:val="none"/>
        </w:rPr>
      </w:pPr>
    </w:p>
    <w:p w14:paraId="67D6428E">
      <w:pPr>
        <w:spacing w:line="360" w:lineRule="auto"/>
        <w:jc w:val="center"/>
        <w:outlineLvl w:val="0"/>
        <w:rPr>
          <w:rFonts w:hint="eastAsia" w:ascii="宋体" w:hAnsi="宋体" w:eastAsia="宋体"/>
          <w:b/>
          <w:color w:val="auto"/>
          <w:sz w:val="28"/>
          <w:highlight w:val="none"/>
        </w:rPr>
      </w:pPr>
    </w:p>
    <w:p w14:paraId="451291A3">
      <w:pPr>
        <w:spacing w:line="360" w:lineRule="auto"/>
        <w:jc w:val="center"/>
        <w:outlineLvl w:val="0"/>
        <w:rPr>
          <w:rFonts w:hint="eastAsia" w:ascii="宋体" w:hAnsi="宋体" w:eastAsia="宋体"/>
          <w:b/>
          <w:color w:val="auto"/>
          <w:sz w:val="28"/>
          <w:highlight w:val="none"/>
        </w:rPr>
      </w:pPr>
    </w:p>
    <w:p w14:paraId="7DF857F2">
      <w:pPr>
        <w:spacing w:line="360" w:lineRule="auto"/>
        <w:jc w:val="center"/>
        <w:outlineLvl w:val="0"/>
        <w:rPr>
          <w:rFonts w:hint="eastAsia" w:ascii="宋体" w:hAnsi="宋体" w:eastAsia="宋体"/>
          <w:b/>
          <w:color w:val="auto"/>
          <w:sz w:val="28"/>
          <w:highlight w:val="none"/>
        </w:rPr>
      </w:pPr>
    </w:p>
    <w:p w14:paraId="7AD904B2">
      <w:pPr>
        <w:spacing w:line="360" w:lineRule="auto"/>
        <w:jc w:val="center"/>
        <w:outlineLvl w:val="0"/>
        <w:rPr>
          <w:rFonts w:hint="eastAsia" w:ascii="宋体" w:hAnsi="宋体" w:eastAsia="宋体"/>
          <w:b/>
          <w:color w:val="auto"/>
          <w:sz w:val="28"/>
          <w:highlight w:val="none"/>
        </w:rPr>
      </w:pPr>
    </w:p>
    <w:p w14:paraId="30D782D3">
      <w:pPr>
        <w:spacing w:line="360" w:lineRule="auto"/>
        <w:jc w:val="center"/>
        <w:outlineLvl w:val="0"/>
        <w:rPr>
          <w:rFonts w:hint="eastAsia" w:ascii="宋体" w:hAnsi="宋体" w:eastAsia="宋体"/>
          <w:b/>
          <w:color w:val="auto"/>
          <w:sz w:val="28"/>
          <w:highlight w:val="none"/>
        </w:rPr>
      </w:pPr>
    </w:p>
    <w:p w14:paraId="536B9807">
      <w:pPr>
        <w:spacing w:line="360" w:lineRule="auto"/>
        <w:jc w:val="center"/>
        <w:outlineLvl w:val="0"/>
        <w:rPr>
          <w:rFonts w:hint="eastAsia" w:ascii="宋体" w:hAnsi="宋体" w:eastAsia="宋体"/>
          <w:b/>
          <w:color w:val="auto"/>
          <w:sz w:val="28"/>
          <w:highlight w:val="none"/>
        </w:rPr>
      </w:pPr>
    </w:p>
    <w:p w14:paraId="2BB94C9E">
      <w:pPr>
        <w:spacing w:line="360" w:lineRule="auto"/>
        <w:jc w:val="center"/>
        <w:outlineLvl w:val="0"/>
        <w:rPr>
          <w:rFonts w:hint="eastAsia" w:ascii="宋体" w:hAnsi="宋体" w:eastAsia="宋体"/>
          <w:b/>
          <w:color w:val="auto"/>
          <w:sz w:val="28"/>
          <w:highlight w:val="none"/>
        </w:rPr>
      </w:pPr>
    </w:p>
    <w:p w14:paraId="6CEE1796">
      <w:pPr>
        <w:spacing w:line="360" w:lineRule="auto"/>
        <w:jc w:val="center"/>
        <w:outlineLvl w:val="0"/>
        <w:rPr>
          <w:rFonts w:hint="eastAsia" w:ascii="宋体" w:hAnsi="宋体" w:eastAsia="宋体"/>
          <w:b/>
          <w:color w:val="auto"/>
          <w:sz w:val="28"/>
          <w:highlight w:val="none"/>
        </w:rPr>
      </w:pPr>
    </w:p>
    <w:p w14:paraId="217BC249">
      <w:pPr>
        <w:spacing w:line="360" w:lineRule="auto"/>
        <w:jc w:val="center"/>
        <w:outlineLvl w:val="0"/>
        <w:rPr>
          <w:rFonts w:hint="eastAsia" w:ascii="宋体" w:hAnsi="宋体" w:eastAsia="宋体"/>
          <w:b/>
          <w:color w:val="auto"/>
          <w:sz w:val="28"/>
          <w:highlight w:val="none"/>
        </w:rPr>
      </w:pPr>
    </w:p>
    <w:p w14:paraId="567AB715">
      <w:pPr>
        <w:spacing w:line="360" w:lineRule="auto"/>
        <w:jc w:val="center"/>
        <w:outlineLvl w:val="0"/>
        <w:rPr>
          <w:rFonts w:hint="eastAsia" w:ascii="宋体" w:hAnsi="宋体" w:eastAsia="宋体"/>
          <w:b/>
          <w:color w:val="auto"/>
          <w:sz w:val="28"/>
          <w:highlight w:val="none"/>
        </w:rPr>
      </w:pPr>
    </w:p>
    <w:p w14:paraId="12ED393A">
      <w:pPr>
        <w:spacing w:line="360" w:lineRule="auto"/>
        <w:jc w:val="center"/>
        <w:outlineLvl w:val="1"/>
        <w:rPr>
          <w:rFonts w:ascii="宋体" w:hAnsi="宋体" w:eastAsia="宋体"/>
          <w:b/>
          <w:color w:val="auto"/>
          <w:sz w:val="24"/>
          <w:highlight w:val="none"/>
        </w:rPr>
      </w:pPr>
      <w:bookmarkStart w:id="66" w:name="_Toc5555"/>
      <w:bookmarkStart w:id="67" w:name="_Toc28960"/>
      <w:r>
        <w:rPr>
          <w:rFonts w:hint="eastAsia" w:ascii="宋体" w:hAnsi="宋体" w:eastAsia="宋体"/>
          <w:b/>
          <w:color w:val="auto"/>
          <w:sz w:val="24"/>
          <w:highlight w:val="none"/>
        </w:rPr>
        <w:t>一、开标一览表</w:t>
      </w:r>
      <w:bookmarkEnd w:id="66"/>
      <w:bookmarkEnd w:id="6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06C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4734233">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D5FD9E5">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5CE0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6D1B27B">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0FA8B895">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0CA1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C7AA917">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3102462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1E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D5B646C">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66A49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B87D8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EA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0E441CD">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2CD6D852">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6B76B566">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5D3C8D06">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AA38BF0">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7E9707FD">
      <w:pPr>
        <w:spacing w:line="360" w:lineRule="auto"/>
        <w:ind w:firstLine="360" w:firstLineChars="150"/>
        <w:rPr>
          <w:rFonts w:ascii="宋体" w:hAnsi="宋体" w:eastAsia="宋体"/>
          <w:color w:val="auto"/>
          <w:sz w:val="24"/>
          <w:highlight w:val="none"/>
        </w:rPr>
      </w:pPr>
    </w:p>
    <w:p w14:paraId="6018A0C1">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79A0A2A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30C430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FA7042">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41EF1E43">
      <w:pPr>
        <w:spacing w:line="360" w:lineRule="auto"/>
        <w:jc w:val="center"/>
        <w:outlineLvl w:val="1"/>
        <w:rPr>
          <w:rFonts w:ascii="宋体" w:hAnsi="宋体" w:eastAsia="宋体"/>
          <w:b/>
          <w:color w:val="auto"/>
          <w:sz w:val="24"/>
          <w:highlight w:val="none"/>
        </w:rPr>
      </w:pPr>
      <w:bookmarkStart w:id="68" w:name="_Toc18010"/>
      <w:bookmarkStart w:id="69" w:name="_Toc6441"/>
      <w:r>
        <w:rPr>
          <w:rFonts w:hint="eastAsia" w:ascii="宋体" w:hAnsi="宋体" w:eastAsia="宋体"/>
          <w:b/>
          <w:color w:val="auto"/>
          <w:sz w:val="24"/>
          <w:highlight w:val="none"/>
        </w:rPr>
        <w:t>二、投标函</w:t>
      </w:r>
      <w:bookmarkEnd w:id="68"/>
      <w:bookmarkEnd w:id="69"/>
    </w:p>
    <w:p w14:paraId="7966749D">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FDF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3523AF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144ED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24EBC3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59A06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883F353">
      <w:pPr>
        <w:spacing w:line="360" w:lineRule="auto"/>
        <w:ind w:firstLine="4800" w:firstLineChars="2000"/>
        <w:rPr>
          <w:rFonts w:ascii="宋体" w:hAnsi="宋体" w:eastAsia="宋体"/>
          <w:color w:val="auto"/>
          <w:sz w:val="24"/>
          <w:highlight w:val="none"/>
        </w:rPr>
      </w:pPr>
    </w:p>
    <w:p w14:paraId="6EA6C7D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AE2496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6D4561">
      <w:pPr>
        <w:spacing w:line="360" w:lineRule="auto"/>
        <w:jc w:val="center"/>
        <w:outlineLvl w:val="0"/>
        <w:rPr>
          <w:rFonts w:hint="eastAsia" w:ascii="宋体" w:hAnsi="宋体" w:eastAsia="宋体"/>
          <w:b/>
          <w:color w:val="auto"/>
          <w:sz w:val="28"/>
          <w:highlight w:val="none"/>
        </w:rPr>
      </w:pPr>
    </w:p>
    <w:p w14:paraId="52C7CBBE">
      <w:pPr>
        <w:spacing w:line="360" w:lineRule="auto"/>
        <w:jc w:val="center"/>
        <w:outlineLvl w:val="0"/>
        <w:rPr>
          <w:rFonts w:hint="eastAsia" w:ascii="宋体" w:hAnsi="宋体" w:eastAsia="宋体"/>
          <w:b/>
          <w:color w:val="auto"/>
          <w:sz w:val="28"/>
          <w:highlight w:val="none"/>
        </w:rPr>
      </w:pPr>
    </w:p>
    <w:p w14:paraId="1563F7A6">
      <w:pPr>
        <w:spacing w:line="360" w:lineRule="auto"/>
        <w:jc w:val="center"/>
        <w:outlineLvl w:val="0"/>
        <w:rPr>
          <w:rFonts w:hint="eastAsia" w:ascii="宋体" w:hAnsi="宋体" w:eastAsia="宋体"/>
          <w:b/>
          <w:color w:val="auto"/>
          <w:sz w:val="28"/>
          <w:highlight w:val="none"/>
        </w:rPr>
      </w:pPr>
    </w:p>
    <w:p w14:paraId="7D1FD8E4">
      <w:pPr>
        <w:spacing w:line="360" w:lineRule="auto"/>
        <w:jc w:val="center"/>
        <w:outlineLvl w:val="0"/>
        <w:rPr>
          <w:rFonts w:hint="eastAsia" w:ascii="宋体" w:hAnsi="宋体" w:eastAsia="宋体"/>
          <w:b/>
          <w:color w:val="auto"/>
          <w:sz w:val="28"/>
          <w:highlight w:val="none"/>
        </w:rPr>
      </w:pPr>
    </w:p>
    <w:p w14:paraId="745081F9">
      <w:pPr>
        <w:spacing w:line="360" w:lineRule="auto"/>
        <w:jc w:val="center"/>
        <w:outlineLvl w:val="0"/>
        <w:rPr>
          <w:rFonts w:hint="eastAsia" w:ascii="宋体" w:hAnsi="宋体" w:eastAsia="宋体"/>
          <w:b/>
          <w:color w:val="auto"/>
          <w:sz w:val="28"/>
          <w:highlight w:val="none"/>
        </w:rPr>
      </w:pPr>
    </w:p>
    <w:p w14:paraId="1BACB8F4">
      <w:pPr>
        <w:spacing w:line="360" w:lineRule="auto"/>
        <w:jc w:val="center"/>
        <w:outlineLvl w:val="0"/>
        <w:rPr>
          <w:rFonts w:hint="eastAsia" w:ascii="宋体" w:hAnsi="宋体" w:eastAsia="宋体"/>
          <w:b/>
          <w:color w:val="auto"/>
          <w:sz w:val="28"/>
          <w:highlight w:val="none"/>
        </w:rPr>
      </w:pPr>
    </w:p>
    <w:p w14:paraId="45AC9FDE">
      <w:pPr>
        <w:spacing w:line="360" w:lineRule="auto"/>
        <w:jc w:val="center"/>
        <w:outlineLvl w:val="0"/>
        <w:rPr>
          <w:rFonts w:hint="eastAsia" w:ascii="宋体" w:hAnsi="宋体" w:eastAsia="宋体"/>
          <w:b/>
          <w:color w:val="auto"/>
          <w:sz w:val="28"/>
          <w:highlight w:val="none"/>
        </w:rPr>
      </w:pPr>
    </w:p>
    <w:p w14:paraId="0CD0DD82">
      <w:pPr>
        <w:spacing w:line="360" w:lineRule="auto"/>
        <w:jc w:val="center"/>
        <w:outlineLvl w:val="1"/>
        <w:rPr>
          <w:rFonts w:hint="eastAsia" w:ascii="宋体" w:hAnsi="宋体" w:eastAsia="宋体"/>
          <w:b/>
          <w:color w:val="auto"/>
          <w:sz w:val="24"/>
          <w:highlight w:val="none"/>
        </w:rPr>
      </w:pPr>
      <w:bookmarkStart w:id="70" w:name="_Toc31991"/>
      <w:bookmarkStart w:id="71" w:name="_Toc6796"/>
    </w:p>
    <w:p w14:paraId="4BC72D6F">
      <w:pPr>
        <w:spacing w:line="360" w:lineRule="auto"/>
        <w:jc w:val="center"/>
        <w:outlineLvl w:val="1"/>
        <w:rPr>
          <w:rFonts w:hint="eastAsia" w:ascii="宋体" w:hAnsi="宋体" w:eastAsia="宋体"/>
          <w:b/>
          <w:color w:val="auto"/>
          <w:sz w:val="24"/>
          <w:highlight w:val="none"/>
        </w:rPr>
      </w:pPr>
    </w:p>
    <w:p w14:paraId="2D8EC476">
      <w:pPr>
        <w:pStyle w:val="25"/>
        <w:rPr>
          <w:rFonts w:hint="eastAsia"/>
        </w:rPr>
      </w:pPr>
    </w:p>
    <w:p w14:paraId="4D16DDC5">
      <w:pPr>
        <w:spacing w:line="360" w:lineRule="auto"/>
        <w:jc w:val="center"/>
        <w:outlineLvl w:val="1"/>
        <w:rPr>
          <w:rFonts w:hint="eastAsia" w:ascii="宋体" w:hAnsi="宋体" w:eastAsia="宋体"/>
          <w:b/>
          <w:color w:val="auto"/>
          <w:sz w:val="24"/>
          <w:highlight w:val="none"/>
        </w:rPr>
      </w:pPr>
    </w:p>
    <w:p w14:paraId="4F948567">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0"/>
      <w:bookmarkEnd w:id="71"/>
    </w:p>
    <w:p w14:paraId="6142A80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1D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435E5767">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180D97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417ADA0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1528E8C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283C2DDE">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41EDA0F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60FA2CBC">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229189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5BBD8792">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473516E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37C74E7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2306105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649A1EFF">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6070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3CB543B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C100D2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101E7F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7D6CB7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52E39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154CD8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3EEA7D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74766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CA3FA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5FF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2A15F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13F3AD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660D70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FE5786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38E7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975FA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8899C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48F69C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89E8EA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327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ECF99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76EC5DC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12E8F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7A8890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CDA1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16CCA9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0C24EF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3AFA83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D87271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676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28887E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78F068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379F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A46230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F847D6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C395C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FE982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54CB2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2BC3E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B3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589B3B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583711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9FC785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6F41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0AF2E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53937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22C62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E6F564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B57DAE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3771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50E26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1CD091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7D7DA1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5F582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BFA10D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45FD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F06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3EAE9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C29DA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A1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02ECC1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576B4B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4AA5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8D85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B6DB6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0B1C69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40F9C1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ADE5B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2925E0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D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B3A96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7C2A436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84EB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91E8D9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835CF7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2BD43B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351D8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ED10B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9731E8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FEE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CA9291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2528B9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35D051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820C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E60D7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504B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47BB0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845FC0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B5E77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F2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3EBFD40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78C53E7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DE36D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782B2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43E816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2A0B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3E41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12405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00B57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6351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14387E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48632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F4AC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24C9D6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3ED2A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7FA86D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046E5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8C5933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796C06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87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CA013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03056DA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5F054D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98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62A07B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2F814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B5270E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29FC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4D2F7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FC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21D11C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CA53F8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5A9734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81B2E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B279B0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27B473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9A2B4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C9258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BF5A4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8E4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183D21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5189F898">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588977C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BC83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B21A0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5BC27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EA8C47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518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F3D6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E4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C3B9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708EDA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297364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1D0D33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BFC1CC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70FD5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49DB30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DEB8CD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D9053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FF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1B853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5C32AA7">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0B75E0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DE42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9D7A7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65F637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BA1F54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DB3D3C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0ADAC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572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D6273C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58752B2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577B28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24ABDE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37CA46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07F74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FC13C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C00B42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6AC4F5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918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F98BCCC">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43CA150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22C4F7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D0906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88C8AB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7CCB42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D5A0A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EE857F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084953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9D60A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8D34FA">
      <w:pPr>
        <w:adjustRightInd w:val="0"/>
        <w:snapToGrid w:val="0"/>
        <w:spacing w:line="360" w:lineRule="auto"/>
        <w:rPr>
          <w:rFonts w:ascii="宋体" w:hAnsi="宋体" w:eastAsia="宋体"/>
          <w:b/>
          <w:bCs/>
          <w:color w:val="auto"/>
          <w:sz w:val="24"/>
          <w:szCs w:val="28"/>
          <w:highlight w:val="none"/>
        </w:rPr>
      </w:pPr>
    </w:p>
    <w:p w14:paraId="6E23545B">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3873B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3B984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1CA2C9E5">
      <w:pPr>
        <w:spacing w:line="360" w:lineRule="auto"/>
        <w:jc w:val="center"/>
        <w:outlineLvl w:val="1"/>
        <w:rPr>
          <w:rFonts w:hint="default" w:ascii="宋体" w:hAnsi="宋体" w:eastAsia="宋体"/>
          <w:b/>
          <w:color w:val="auto"/>
          <w:sz w:val="24"/>
          <w:highlight w:val="none"/>
          <w:lang w:val="en-US" w:eastAsia="zh-CN"/>
        </w:rPr>
      </w:pPr>
      <w:bookmarkStart w:id="72" w:name="_Toc11940"/>
      <w:bookmarkStart w:id="73"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2"/>
      <w:bookmarkEnd w:id="73"/>
    </w:p>
    <w:p w14:paraId="74E7A767">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F6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8FFAF7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6467916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E5E5CB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42FF1EBE">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2A131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063D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B021E2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25087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30A80A0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97DB9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13A790A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6B77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406C5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7D4342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4B533DB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4886E1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09FA52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BA3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1B069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57A86B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CB2980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4E291C6B">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0EC162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B83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C90717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1738AA4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061675E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0A675CA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701D7F0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9D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B1CB2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3F69AAE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B76404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1D4D25A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2A6344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05213423">
      <w:pPr>
        <w:spacing w:line="360" w:lineRule="auto"/>
        <w:ind w:firstLine="4800" w:firstLineChars="2000"/>
        <w:rPr>
          <w:rFonts w:hint="eastAsia" w:ascii="宋体" w:hAnsi="宋体" w:eastAsia="宋体"/>
          <w:color w:val="auto"/>
          <w:sz w:val="24"/>
          <w:highlight w:val="none"/>
        </w:rPr>
      </w:pPr>
    </w:p>
    <w:p w14:paraId="21A8661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4B391C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4ED7D1">
      <w:pPr>
        <w:spacing w:line="360" w:lineRule="auto"/>
        <w:ind w:firstLine="435"/>
        <w:rPr>
          <w:rFonts w:hint="eastAsia" w:ascii="宋体" w:hAnsi="宋体" w:eastAsia="宋体"/>
          <w:color w:val="auto"/>
          <w:sz w:val="24"/>
          <w:highlight w:val="none"/>
        </w:rPr>
      </w:pPr>
    </w:p>
    <w:p w14:paraId="60F74F71">
      <w:pPr>
        <w:spacing w:line="360" w:lineRule="auto"/>
        <w:jc w:val="center"/>
        <w:outlineLvl w:val="0"/>
        <w:rPr>
          <w:rFonts w:hint="eastAsia" w:ascii="宋体" w:hAnsi="宋体" w:eastAsia="宋体"/>
          <w:b/>
          <w:color w:val="auto"/>
          <w:sz w:val="28"/>
          <w:highlight w:val="none"/>
        </w:rPr>
      </w:pPr>
    </w:p>
    <w:p w14:paraId="58C52249">
      <w:pPr>
        <w:spacing w:line="360" w:lineRule="auto"/>
        <w:jc w:val="center"/>
        <w:outlineLvl w:val="0"/>
        <w:rPr>
          <w:rFonts w:hint="eastAsia" w:ascii="宋体" w:hAnsi="宋体" w:eastAsia="宋体"/>
          <w:b/>
          <w:color w:val="auto"/>
          <w:sz w:val="28"/>
          <w:highlight w:val="none"/>
        </w:rPr>
      </w:pPr>
    </w:p>
    <w:p w14:paraId="30146526">
      <w:pPr>
        <w:spacing w:line="360" w:lineRule="auto"/>
        <w:jc w:val="center"/>
        <w:outlineLvl w:val="0"/>
        <w:rPr>
          <w:rFonts w:hint="eastAsia" w:ascii="宋体" w:hAnsi="宋体" w:eastAsia="宋体"/>
          <w:b/>
          <w:color w:val="auto"/>
          <w:sz w:val="28"/>
          <w:highlight w:val="none"/>
        </w:rPr>
      </w:pPr>
    </w:p>
    <w:p w14:paraId="016C7FE3">
      <w:pPr>
        <w:spacing w:line="360" w:lineRule="auto"/>
        <w:jc w:val="center"/>
        <w:outlineLvl w:val="0"/>
        <w:rPr>
          <w:rFonts w:hint="eastAsia" w:ascii="宋体" w:hAnsi="宋体" w:eastAsia="宋体"/>
          <w:b/>
          <w:color w:val="auto"/>
          <w:sz w:val="28"/>
          <w:highlight w:val="none"/>
        </w:rPr>
      </w:pPr>
    </w:p>
    <w:p w14:paraId="0F8E5FDF">
      <w:pPr>
        <w:spacing w:line="360" w:lineRule="auto"/>
        <w:jc w:val="center"/>
        <w:outlineLvl w:val="0"/>
        <w:rPr>
          <w:rFonts w:hint="eastAsia" w:ascii="宋体" w:hAnsi="宋体" w:eastAsia="宋体"/>
          <w:b/>
          <w:color w:val="auto"/>
          <w:sz w:val="28"/>
          <w:highlight w:val="none"/>
        </w:rPr>
      </w:pPr>
    </w:p>
    <w:p w14:paraId="77806940">
      <w:pPr>
        <w:spacing w:line="360" w:lineRule="auto"/>
        <w:jc w:val="center"/>
        <w:outlineLvl w:val="0"/>
        <w:rPr>
          <w:rFonts w:hint="eastAsia" w:ascii="宋体" w:hAnsi="宋体" w:eastAsia="宋体"/>
          <w:b/>
          <w:color w:val="auto"/>
          <w:sz w:val="28"/>
          <w:highlight w:val="none"/>
        </w:rPr>
      </w:pPr>
    </w:p>
    <w:p w14:paraId="212ED475">
      <w:pPr>
        <w:spacing w:line="360" w:lineRule="auto"/>
        <w:jc w:val="center"/>
        <w:outlineLvl w:val="0"/>
        <w:rPr>
          <w:rFonts w:hint="eastAsia" w:ascii="宋体" w:hAnsi="宋体" w:eastAsia="宋体"/>
          <w:b/>
          <w:color w:val="auto"/>
          <w:sz w:val="28"/>
          <w:highlight w:val="none"/>
        </w:rPr>
      </w:pPr>
    </w:p>
    <w:p w14:paraId="1734EE6C">
      <w:pPr>
        <w:spacing w:line="360" w:lineRule="auto"/>
        <w:jc w:val="center"/>
        <w:outlineLvl w:val="0"/>
        <w:rPr>
          <w:rFonts w:hint="eastAsia" w:ascii="宋体" w:hAnsi="宋体" w:eastAsia="宋体"/>
          <w:b/>
          <w:color w:val="auto"/>
          <w:sz w:val="28"/>
          <w:highlight w:val="none"/>
        </w:rPr>
      </w:pPr>
    </w:p>
    <w:p w14:paraId="71856494">
      <w:pPr>
        <w:spacing w:line="360" w:lineRule="auto"/>
        <w:jc w:val="center"/>
        <w:outlineLvl w:val="0"/>
        <w:rPr>
          <w:rFonts w:hint="eastAsia" w:ascii="宋体" w:hAnsi="宋体" w:eastAsia="宋体"/>
          <w:b/>
          <w:color w:val="auto"/>
          <w:sz w:val="28"/>
          <w:highlight w:val="none"/>
        </w:rPr>
      </w:pPr>
    </w:p>
    <w:p w14:paraId="099C3EB9">
      <w:pPr>
        <w:spacing w:line="360" w:lineRule="auto"/>
        <w:jc w:val="center"/>
        <w:outlineLvl w:val="0"/>
        <w:rPr>
          <w:rFonts w:hint="eastAsia" w:ascii="宋体" w:hAnsi="宋体" w:eastAsia="宋体"/>
          <w:b/>
          <w:color w:val="auto"/>
          <w:sz w:val="28"/>
          <w:highlight w:val="none"/>
        </w:rPr>
      </w:pPr>
    </w:p>
    <w:p w14:paraId="61247FB2">
      <w:pPr>
        <w:spacing w:line="360" w:lineRule="auto"/>
        <w:jc w:val="center"/>
        <w:outlineLvl w:val="0"/>
        <w:rPr>
          <w:rFonts w:hint="eastAsia" w:ascii="宋体" w:hAnsi="宋体" w:eastAsia="宋体"/>
          <w:b/>
          <w:color w:val="auto"/>
          <w:sz w:val="28"/>
          <w:highlight w:val="none"/>
        </w:rPr>
      </w:pPr>
    </w:p>
    <w:p w14:paraId="52383B5F">
      <w:pPr>
        <w:spacing w:line="360" w:lineRule="auto"/>
        <w:jc w:val="center"/>
        <w:outlineLvl w:val="0"/>
        <w:rPr>
          <w:rFonts w:hint="eastAsia" w:ascii="宋体" w:hAnsi="宋体" w:eastAsia="宋体"/>
          <w:b/>
          <w:color w:val="auto"/>
          <w:sz w:val="28"/>
          <w:highlight w:val="none"/>
        </w:rPr>
      </w:pPr>
    </w:p>
    <w:p w14:paraId="7FACF1A2">
      <w:pPr>
        <w:spacing w:line="360" w:lineRule="auto"/>
        <w:jc w:val="center"/>
        <w:outlineLvl w:val="0"/>
        <w:rPr>
          <w:rFonts w:hint="eastAsia" w:ascii="宋体" w:hAnsi="宋体" w:eastAsia="宋体"/>
          <w:b/>
          <w:color w:val="auto"/>
          <w:sz w:val="28"/>
          <w:highlight w:val="none"/>
        </w:rPr>
      </w:pPr>
    </w:p>
    <w:p w14:paraId="357100F3">
      <w:pPr>
        <w:spacing w:line="360" w:lineRule="auto"/>
        <w:jc w:val="center"/>
        <w:outlineLvl w:val="0"/>
        <w:rPr>
          <w:rFonts w:hint="eastAsia" w:ascii="宋体" w:hAnsi="宋体" w:eastAsia="宋体"/>
          <w:b/>
          <w:color w:val="auto"/>
          <w:sz w:val="28"/>
          <w:highlight w:val="none"/>
        </w:rPr>
      </w:pPr>
    </w:p>
    <w:p w14:paraId="5C8EC313">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4"/>
      <w:bookmarkEnd w:id="65"/>
    </w:p>
    <w:p w14:paraId="2AC4603A">
      <w:pPr>
        <w:spacing w:line="360" w:lineRule="auto"/>
        <w:jc w:val="center"/>
        <w:outlineLvl w:val="1"/>
        <w:rPr>
          <w:rFonts w:ascii="仿宋" w:hAnsi="仿宋" w:eastAsia="仿宋" w:cs="仿宋"/>
          <w:b/>
          <w:bCs/>
          <w:color w:val="auto"/>
          <w:sz w:val="32"/>
          <w:szCs w:val="44"/>
          <w:highlight w:val="none"/>
        </w:rPr>
      </w:pPr>
      <w:bookmarkStart w:id="74" w:name="_Toc27159"/>
      <w:bookmarkStart w:id="75" w:name="_Toc27489"/>
      <w:r>
        <w:rPr>
          <w:rFonts w:hint="eastAsia" w:ascii="仿宋" w:hAnsi="仿宋" w:eastAsia="仿宋" w:cs="仿宋"/>
          <w:b/>
          <w:bCs/>
          <w:color w:val="auto"/>
          <w:sz w:val="32"/>
          <w:szCs w:val="44"/>
          <w:highlight w:val="none"/>
        </w:rPr>
        <w:t>询问函范本</w:t>
      </w:r>
      <w:bookmarkEnd w:id="74"/>
      <w:bookmarkEnd w:id="75"/>
    </w:p>
    <w:p w14:paraId="5396B6DA">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2053E46">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29914FA2">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6" w:name="_Toc13899"/>
      <w:r>
        <w:rPr>
          <w:rFonts w:hint="eastAsia" w:ascii="宋体" w:hAnsi="宋体" w:eastAsia="宋体" w:cs="仿宋"/>
          <w:color w:val="auto"/>
          <w:sz w:val="24"/>
          <w:szCs w:val="24"/>
          <w:highlight w:val="none"/>
        </w:rPr>
        <w:t>一、(事项一)</w:t>
      </w:r>
      <w:bookmarkEnd w:id="76"/>
    </w:p>
    <w:p w14:paraId="6747F3B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55574E2D">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0F1F314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5CC77E3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3352"/>
      <w:r>
        <w:rPr>
          <w:rFonts w:hint="eastAsia" w:ascii="宋体" w:hAnsi="宋体" w:eastAsia="宋体" w:cs="仿宋"/>
          <w:color w:val="auto"/>
          <w:sz w:val="24"/>
          <w:szCs w:val="24"/>
          <w:highlight w:val="none"/>
        </w:rPr>
        <w:t>二、(事项二)</w:t>
      </w:r>
      <w:bookmarkEnd w:id="77"/>
    </w:p>
    <w:p w14:paraId="0ABD7C9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704216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3F8EC21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42F8F795">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E63006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D0EF4A">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60100C9">
      <w:pPr>
        <w:jc w:val="center"/>
        <w:outlineLvl w:val="1"/>
        <w:rPr>
          <w:rFonts w:ascii="仿宋" w:hAnsi="仿宋" w:eastAsia="仿宋" w:cs="仿宋"/>
          <w:b/>
          <w:bCs/>
          <w:color w:val="auto"/>
          <w:sz w:val="32"/>
          <w:szCs w:val="44"/>
          <w:highlight w:val="none"/>
        </w:rPr>
      </w:pPr>
      <w:bookmarkStart w:id="78" w:name="_Toc3245"/>
      <w:bookmarkStart w:id="79" w:name="_Toc1575"/>
      <w:r>
        <w:rPr>
          <w:rFonts w:hint="eastAsia" w:ascii="仿宋" w:hAnsi="仿宋" w:eastAsia="仿宋" w:cs="仿宋"/>
          <w:b/>
          <w:bCs/>
          <w:color w:val="auto"/>
          <w:sz w:val="32"/>
          <w:szCs w:val="44"/>
          <w:highlight w:val="none"/>
        </w:rPr>
        <w:t>质疑函范本</w:t>
      </w:r>
      <w:bookmarkEnd w:id="78"/>
      <w:bookmarkEnd w:id="79"/>
    </w:p>
    <w:p w14:paraId="027CFF16">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0" w:name="_Toc21381"/>
      <w:r>
        <w:rPr>
          <w:rFonts w:hint="eastAsia" w:ascii="宋体" w:hAnsi="宋体" w:eastAsia="宋体" w:cs="仿宋"/>
          <w:b/>
          <w:bCs/>
          <w:color w:val="auto"/>
          <w:sz w:val="24"/>
          <w:szCs w:val="24"/>
          <w:highlight w:val="none"/>
        </w:rPr>
        <w:t>一、质疑供应商基本信息</w:t>
      </w:r>
      <w:bookmarkEnd w:id="80"/>
    </w:p>
    <w:p w14:paraId="422D454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1F423C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5FB7A7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56E7AA43">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6DD1822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02D0F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FF6557B">
      <w:pPr>
        <w:adjustRightInd w:val="0"/>
        <w:snapToGrid w:val="0"/>
        <w:spacing w:line="360" w:lineRule="auto"/>
        <w:outlineLvl w:val="9"/>
        <w:rPr>
          <w:rFonts w:ascii="宋体" w:hAnsi="宋体" w:eastAsia="宋体" w:cs="仿宋"/>
          <w:b/>
          <w:bCs/>
          <w:color w:val="auto"/>
          <w:sz w:val="24"/>
          <w:szCs w:val="24"/>
          <w:highlight w:val="none"/>
        </w:rPr>
      </w:pPr>
      <w:bookmarkStart w:id="81" w:name="_Toc28415"/>
      <w:r>
        <w:rPr>
          <w:rFonts w:hint="eastAsia" w:ascii="宋体" w:hAnsi="宋体" w:eastAsia="宋体" w:cs="仿宋"/>
          <w:b/>
          <w:bCs/>
          <w:color w:val="auto"/>
          <w:sz w:val="24"/>
          <w:szCs w:val="24"/>
          <w:highlight w:val="none"/>
        </w:rPr>
        <w:t>二、质疑项目基本情况</w:t>
      </w:r>
      <w:bookmarkEnd w:id="81"/>
    </w:p>
    <w:p w14:paraId="6AC80C9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07EA189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2028901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2AADBD5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4B456F1">
      <w:pPr>
        <w:adjustRightInd w:val="0"/>
        <w:snapToGrid w:val="0"/>
        <w:spacing w:line="360" w:lineRule="auto"/>
        <w:outlineLvl w:val="9"/>
        <w:rPr>
          <w:rFonts w:ascii="宋体" w:hAnsi="宋体" w:eastAsia="宋体" w:cs="仿宋"/>
          <w:b/>
          <w:bCs/>
          <w:color w:val="auto"/>
          <w:sz w:val="24"/>
          <w:szCs w:val="24"/>
          <w:highlight w:val="none"/>
        </w:rPr>
      </w:pPr>
      <w:bookmarkStart w:id="82" w:name="_Toc19014"/>
      <w:r>
        <w:rPr>
          <w:rFonts w:hint="eastAsia" w:ascii="宋体" w:hAnsi="宋体" w:eastAsia="宋体" w:cs="仿宋"/>
          <w:b/>
          <w:bCs/>
          <w:color w:val="auto"/>
          <w:sz w:val="24"/>
          <w:szCs w:val="24"/>
          <w:highlight w:val="none"/>
        </w:rPr>
        <w:t>三、质疑事项具体内容</w:t>
      </w:r>
      <w:bookmarkEnd w:id="82"/>
    </w:p>
    <w:p w14:paraId="342DCBC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67D1FCF7">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58D7B57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423FD5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95D44A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4A80322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94433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5AEC733">
      <w:pPr>
        <w:adjustRightInd w:val="0"/>
        <w:snapToGrid w:val="0"/>
        <w:spacing w:line="360" w:lineRule="auto"/>
        <w:outlineLvl w:val="9"/>
        <w:rPr>
          <w:rFonts w:ascii="宋体" w:hAnsi="宋体" w:eastAsia="宋体" w:cs="仿宋"/>
          <w:b/>
          <w:bCs/>
          <w:color w:val="auto"/>
          <w:sz w:val="24"/>
          <w:szCs w:val="24"/>
          <w:highlight w:val="none"/>
        </w:rPr>
      </w:pPr>
      <w:bookmarkStart w:id="83" w:name="_Toc17919"/>
      <w:r>
        <w:rPr>
          <w:rFonts w:hint="eastAsia" w:ascii="宋体" w:hAnsi="宋体" w:eastAsia="宋体" w:cs="仿宋"/>
          <w:b/>
          <w:bCs/>
          <w:color w:val="auto"/>
          <w:sz w:val="24"/>
          <w:szCs w:val="24"/>
          <w:highlight w:val="none"/>
        </w:rPr>
        <w:t>四、与质疑事项相关的质疑请求</w:t>
      </w:r>
      <w:bookmarkEnd w:id="83"/>
    </w:p>
    <w:p w14:paraId="534BA3D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5FFE673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A7AB88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16B4BEA">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53110C8">
      <w:pPr>
        <w:outlineLvl w:val="0"/>
        <w:rPr>
          <w:rFonts w:ascii="宋体" w:hAnsi="宋体" w:eastAsia="宋体"/>
          <w:b/>
          <w:color w:val="auto"/>
          <w:sz w:val="28"/>
          <w:szCs w:val="32"/>
          <w:highlight w:val="none"/>
        </w:rPr>
      </w:pPr>
      <w:bookmarkStart w:id="84" w:name="_Toc9754"/>
      <w:bookmarkStart w:id="85" w:name="_Toc26836"/>
      <w:r>
        <w:rPr>
          <w:rFonts w:hint="eastAsia" w:ascii="宋体" w:hAnsi="宋体" w:eastAsia="宋体"/>
          <w:b/>
          <w:color w:val="auto"/>
          <w:sz w:val="28"/>
          <w:szCs w:val="32"/>
          <w:highlight w:val="none"/>
        </w:rPr>
        <w:t>质疑函制作说明：</w:t>
      </w:r>
      <w:bookmarkEnd w:id="84"/>
      <w:bookmarkEnd w:id="85"/>
    </w:p>
    <w:p w14:paraId="33410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2B775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423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90160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3F8A6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05152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BC03ADE"/>
    <w:p w14:paraId="48B90492"/>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1BEA">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D4C2">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B3341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FB3341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DF09">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9B76">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3513AB4D"/>
    <w:multiLevelType w:val="multilevel"/>
    <w:tmpl w:val="3513AB4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8"/>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35135"/>
    <w:rsid w:val="0180098F"/>
    <w:rsid w:val="01B3556A"/>
    <w:rsid w:val="01E25ABE"/>
    <w:rsid w:val="01E925F2"/>
    <w:rsid w:val="025E7D96"/>
    <w:rsid w:val="02686F3C"/>
    <w:rsid w:val="03077138"/>
    <w:rsid w:val="034877EC"/>
    <w:rsid w:val="034D095E"/>
    <w:rsid w:val="03A82CAD"/>
    <w:rsid w:val="03DF1EFE"/>
    <w:rsid w:val="04275653"/>
    <w:rsid w:val="04B50EB1"/>
    <w:rsid w:val="04DA2664"/>
    <w:rsid w:val="05377B18"/>
    <w:rsid w:val="05597A8E"/>
    <w:rsid w:val="05882122"/>
    <w:rsid w:val="05A6031B"/>
    <w:rsid w:val="05AA02EA"/>
    <w:rsid w:val="05B227CB"/>
    <w:rsid w:val="05DA343D"/>
    <w:rsid w:val="064B4CFE"/>
    <w:rsid w:val="06606BFB"/>
    <w:rsid w:val="06846D8D"/>
    <w:rsid w:val="06DC0977"/>
    <w:rsid w:val="076822F3"/>
    <w:rsid w:val="08297BEC"/>
    <w:rsid w:val="08387FA9"/>
    <w:rsid w:val="0870581B"/>
    <w:rsid w:val="08FD4BD5"/>
    <w:rsid w:val="093305F6"/>
    <w:rsid w:val="094E3682"/>
    <w:rsid w:val="096E162E"/>
    <w:rsid w:val="0983678C"/>
    <w:rsid w:val="0A430D0D"/>
    <w:rsid w:val="0A5E78F5"/>
    <w:rsid w:val="0A6749FB"/>
    <w:rsid w:val="0A79472F"/>
    <w:rsid w:val="0A9E0C56"/>
    <w:rsid w:val="0AB45767"/>
    <w:rsid w:val="0AC736EC"/>
    <w:rsid w:val="0B310B66"/>
    <w:rsid w:val="0BF436E1"/>
    <w:rsid w:val="0BFE1B0E"/>
    <w:rsid w:val="0BFE313E"/>
    <w:rsid w:val="0C1C1816"/>
    <w:rsid w:val="0C5B0590"/>
    <w:rsid w:val="0C9E222B"/>
    <w:rsid w:val="0CEE6D0E"/>
    <w:rsid w:val="0CF54541"/>
    <w:rsid w:val="0D076022"/>
    <w:rsid w:val="0D5A0848"/>
    <w:rsid w:val="0D870F11"/>
    <w:rsid w:val="0DFA5B87"/>
    <w:rsid w:val="0E0A401C"/>
    <w:rsid w:val="0E8F2773"/>
    <w:rsid w:val="0E9315ED"/>
    <w:rsid w:val="0EA31D7A"/>
    <w:rsid w:val="0ED91C40"/>
    <w:rsid w:val="0F9D2C6D"/>
    <w:rsid w:val="0FBA381F"/>
    <w:rsid w:val="0FFA3C1C"/>
    <w:rsid w:val="10026281"/>
    <w:rsid w:val="10207B26"/>
    <w:rsid w:val="10BB33AB"/>
    <w:rsid w:val="10E6007E"/>
    <w:rsid w:val="11785740"/>
    <w:rsid w:val="11B524F0"/>
    <w:rsid w:val="11DF756D"/>
    <w:rsid w:val="121F796A"/>
    <w:rsid w:val="12527D3F"/>
    <w:rsid w:val="129621B1"/>
    <w:rsid w:val="12A12A75"/>
    <w:rsid w:val="12A72B1B"/>
    <w:rsid w:val="12AC38F3"/>
    <w:rsid w:val="130A061A"/>
    <w:rsid w:val="13207E3D"/>
    <w:rsid w:val="133E6515"/>
    <w:rsid w:val="13693592"/>
    <w:rsid w:val="13E316E0"/>
    <w:rsid w:val="13ED41C3"/>
    <w:rsid w:val="1422388F"/>
    <w:rsid w:val="142E658A"/>
    <w:rsid w:val="1437543F"/>
    <w:rsid w:val="14A64372"/>
    <w:rsid w:val="14D67581"/>
    <w:rsid w:val="14ED3D4F"/>
    <w:rsid w:val="158E72E0"/>
    <w:rsid w:val="15EC4007"/>
    <w:rsid w:val="1602382A"/>
    <w:rsid w:val="160C28FB"/>
    <w:rsid w:val="161146EA"/>
    <w:rsid w:val="164F5AF3"/>
    <w:rsid w:val="16685D83"/>
    <w:rsid w:val="17285513"/>
    <w:rsid w:val="172B6DB1"/>
    <w:rsid w:val="17435EA8"/>
    <w:rsid w:val="17B80644"/>
    <w:rsid w:val="17E4768B"/>
    <w:rsid w:val="18506ACF"/>
    <w:rsid w:val="185B5474"/>
    <w:rsid w:val="18814EDA"/>
    <w:rsid w:val="189C5D78"/>
    <w:rsid w:val="18DA7278"/>
    <w:rsid w:val="190C483A"/>
    <w:rsid w:val="192D284D"/>
    <w:rsid w:val="1945415A"/>
    <w:rsid w:val="194A5652"/>
    <w:rsid w:val="195425EF"/>
    <w:rsid w:val="19BD0194"/>
    <w:rsid w:val="1A8D5817"/>
    <w:rsid w:val="1AAE4346"/>
    <w:rsid w:val="1AF851FC"/>
    <w:rsid w:val="1B4D379A"/>
    <w:rsid w:val="1B933CF4"/>
    <w:rsid w:val="1BAD248A"/>
    <w:rsid w:val="1BC21F3A"/>
    <w:rsid w:val="1BE17132"/>
    <w:rsid w:val="1C1E610B"/>
    <w:rsid w:val="1C8A6328"/>
    <w:rsid w:val="1C9F6277"/>
    <w:rsid w:val="1CB810E7"/>
    <w:rsid w:val="1D3D7B17"/>
    <w:rsid w:val="1D4B1E70"/>
    <w:rsid w:val="1D7C0366"/>
    <w:rsid w:val="1DE101C9"/>
    <w:rsid w:val="1E081BFA"/>
    <w:rsid w:val="1E7554E1"/>
    <w:rsid w:val="1EC024D4"/>
    <w:rsid w:val="1F1771BC"/>
    <w:rsid w:val="1FDA1374"/>
    <w:rsid w:val="204E5EB7"/>
    <w:rsid w:val="20586E69"/>
    <w:rsid w:val="20E63CC8"/>
    <w:rsid w:val="21374CD0"/>
    <w:rsid w:val="22066450"/>
    <w:rsid w:val="22272617"/>
    <w:rsid w:val="22596EC8"/>
    <w:rsid w:val="22833F45"/>
    <w:rsid w:val="22A5210D"/>
    <w:rsid w:val="22E545B0"/>
    <w:rsid w:val="22EC1AEA"/>
    <w:rsid w:val="2302130E"/>
    <w:rsid w:val="23360FB7"/>
    <w:rsid w:val="233A2855"/>
    <w:rsid w:val="234353D1"/>
    <w:rsid w:val="23D9610A"/>
    <w:rsid w:val="23E568B3"/>
    <w:rsid w:val="24013373"/>
    <w:rsid w:val="247B1377"/>
    <w:rsid w:val="24E011DB"/>
    <w:rsid w:val="252B16E4"/>
    <w:rsid w:val="25302162"/>
    <w:rsid w:val="257007B0"/>
    <w:rsid w:val="2593624D"/>
    <w:rsid w:val="25A8619C"/>
    <w:rsid w:val="25FE400E"/>
    <w:rsid w:val="26AA02F7"/>
    <w:rsid w:val="26B10373"/>
    <w:rsid w:val="27225ADA"/>
    <w:rsid w:val="27AB1F74"/>
    <w:rsid w:val="27FF4722"/>
    <w:rsid w:val="280A6664"/>
    <w:rsid w:val="2883374E"/>
    <w:rsid w:val="28CD4903"/>
    <w:rsid w:val="290A4A78"/>
    <w:rsid w:val="29663529"/>
    <w:rsid w:val="297B3BC8"/>
    <w:rsid w:val="2987431B"/>
    <w:rsid w:val="2A7A3E7F"/>
    <w:rsid w:val="2B2500DD"/>
    <w:rsid w:val="2BC929C8"/>
    <w:rsid w:val="2BCB321D"/>
    <w:rsid w:val="2BD33847"/>
    <w:rsid w:val="2C894F11"/>
    <w:rsid w:val="2CB74F17"/>
    <w:rsid w:val="2D1C121E"/>
    <w:rsid w:val="2D35295B"/>
    <w:rsid w:val="2DC0604D"/>
    <w:rsid w:val="2E50117F"/>
    <w:rsid w:val="2E8B0409"/>
    <w:rsid w:val="2EB060C2"/>
    <w:rsid w:val="2EF37D5C"/>
    <w:rsid w:val="2F882B9B"/>
    <w:rsid w:val="2F9334A5"/>
    <w:rsid w:val="2FCB375B"/>
    <w:rsid w:val="2FCC6F2B"/>
    <w:rsid w:val="30314FE0"/>
    <w:rsid w:val="30442B30"/>
    <w:rsid w:val="30B874AF"/>
    <w:rsid w:val="311A0999"/>
    <w:rsid w:val="31344D88"/>
    <w:rsid w:val="315301E3"/>
    <w:rsid w:val="319475D5"/>
    <w:rsid w:val="31C87F98"/>
    <w:rsid w:val="320578B6"/>
    <w:rsid w:val="320E382B"/>
    <w:rsid w:val="325A6415"/>
    <w:rsid w:val="326351F9"/>
    <w:rsid w:val="32A95302"/>
    <w:rsid w:val="32F040AA"/>
    <w:rsid w:val="32F12805"/>
    <w:rsid w:val="32F96543"/>
    <w:rsid w:val="330B4429"/>
    <w:rsid w:val="3381002D"/>
    <w:rsid w:val="33A37FA3"/>
    <w:rsid w:val="33CB5089"/>
    <w:rsid w:val="3417273F"/>
    <w:rsid w:val="341F137F"/>
    <w:rsid w:val="3463365C"/>
    <w:rsid w:val="34AA6624"/>
    <w:rsid w:val="34B00F04"/>
    <w:rsid w:val="350902DA"/>
    <w:rsid w:val="35B538E8"/>
    <w:rsid w:val="35CF31EE"/>
    <w:rsid w:val="37147EBE"/>
    <w:rsid w:val="37695060"/>
    <w:rsid w:val="388D19F8"/>
    <w:rsid w:val="38B874ED"/>
    <w:rsid w:val="38CC3AF8"/>
    <w:rsid w:val="39094D4C"/>
    <w:rsid w:val="39334707"/>
    <w:rsid w:val="3971469F"/>
    <w:rsid w:val="39A95BE7"/>
    <w:rsid w:val="39B0341A"/>
    <w:rsid w:val="39BD0A5B"/>
    <w:rsid w:val="3A074661"/>
    <w:rsid w:val="3A881CA1"/>
    <w:rsid w:val="3AE25855"/>
    <w:rsid w:val="3B00217F"/>
    <w:rsid w:val="3B561D9F"/>
    <w:rsid w:val="3B5B7B12"/>
    <w:rsid w:val="3B7010B2"/>
    <w:rsid w:val="3B8B3D12"/>
    <w:rsid w:val="3B9A7EDD"/>
    <w:rsid w:val="3BD50179"/>
    <w:rsid w:val="3C033CD5"/>
    <w:rsid w:val="3C0E4427"/>
    <w:rsid w:val="3C17152E"/>
    <w:rsid w:val="3C3E2F5F"/>
    <w:rsid w:val="3D05582A"/>
    <w:rsid w:val="3D202664"/>
    <w:rsid w:val="3D264775"/>
    <w:rsid w:val="3D933161"/>
    <w:rsid w:val="3E497999"/>
    <w:rsid w:val="3E5E3444"/>
    <w:rsid w:val="3E900306"/>
    <w:rsid w:val="3EB66F78"/>
    <w:rsid w:val="3F0D6C18"/>
    <w:rsid w:val="3F161F71"/>
    <w:rsid w:val="3F3D42AB"/>
    <w:rsid w:val="3F5E56C6"/>
    <w:rsid w:val="3F8A0269"/>
    <w:rsid w:val="3F9F1F66"/>
    <w:rsid w:val="3FD37E62"/>
    <w:rsid w:val="406D3E12"/>
    <w:rsid w:val="41462BC1"/>
    <w:rsid w:val="41846EB2"/>
    <w:rsid w:val="41913B31"/>
    <w:rsid w:val="419E3311"/>
    <w:rsid w:val="421E223B"/>
    <w:rsid w:val="426B1F2F"/>
    <w:rsid w:val="42AA2522"/>
    <w:rsid w:val="43655275"/>
    <w:rsid w:val="43784FA8"/>
    <w:rsid w:val="43903CDF"/>
    <w:rsid w:val="443864E5"/>
    <w:rsid w:val="44615A3C"/>
    <w:rsid w:val="452F5B3A"/>
    <w:rsid w:val="45455285"/>
    <w:rsid w:val="457B0D80"/>
    <w:rsid w:val="45A57BAB"/>
    <w:rsid w:val="45C2075D"/>
    <w:rsid w:val="45CA5863"/>
    <w:rsid w:val="460912BA"/>
    <w:rsid w:val="46297A13"/>
    <w:rsid w:val="46E55481"/>
    <w:rsid w:val="4723522B"/>
    <w:rsid w:val="473C453F"/>
    <w:rsid w:val="489857A5"/>
    <w:rsid w:val="489932CB"/>
    <w:rsid w:val="48AB5A85"/>
    <w:rsid w:val="48C12F4D"/>
    <w:rsid w:val="48E94BB7"/>
    <w:rsid w:val="499B0F49"/>
    <w:rsid w:val="49BC54C3"/>
    <w:rsid w:val="49E538D1"/>
    <w:rsid w:val="4A2F2482"/>
    <w:rsid w:val="4AF3565B"/>
    <w:rsid w:val="4B076EEB"/>
    <w:rsid w:val="4B4C0B1A"/>
    <w:rsid w:val="4B964046"/>
    <w:rsid w:val="4BB016BF"/>
    <w:rsid w:val="4C2B0BB7"/>
    <w:rsid w:val="4C4023DB"/>
    <w:rsid w:val="4CBB5F06"/>
    <w:rsid w:val="4CE03BBE"/>
    <w:rsid w:val="4D573E80"/>
    <w:rsid w:val="4D7049C3"/>
    <w:rsid w:val="4DD7388E"/>
    <w:rsid w:val="4E157897"/>
    <w:rsid w:val="4E52289A"/>
    <w:rsid w:val="4E5877A0"/>
    <w:rsid w:val="4E604FB7"/>
    <w:rsid w:val="4EFB4CDF"/>
    <w:rsid w:val="4F786330"/>
    <w:rsid w:val="4F842056"/>
    <w:rsid w:val="4FE47521"/>
    <w:rsid w:val="50E023DF"/>
    <w:rsid w:val="50E579F5"/>
    <w:rsid w:val="510065DD"/>
    <w:rsid w:val="51053BF3"/>
    <w:rsid w:val="511C6E87"/>
    <w:rsid w:val="51284CD2"/>
    <w:rsid w:val="514209A3"/>
    <w:rsid w:val="519F142B"/>
    <w:rsid w:val="51A82AC2"/>
    <w:rsid w:val="51E57C49"/>
    <w:rsid w:val="520E2096"/>
    <w:rsid w:val="526D2AE1"/>
    <w:rsid w:val="52D61080"/>
    <w:rsid w:val="52EF06B7"/>
    <w:rsid w:val="52FC2DD4"/>
    <w:rsid w:val="530B18F6"/>
    <w:rsid w:val="545B7804"/>
    <w:rsid w:val="54857525"/>
    <w:rsid w:val="54B75204"/>
    <w:rsid w:val="55020B76"/>
    <w:rsid w:val="55197C6D"/>
    <w:rsid w:val="55313209"/>
    <w:rsid w:val="554F2432"/>
    <w:rsid w:val="55556B89"/>
    <w:rsid w:val="55872E29"/>
    <w:rsid w:val="55B55BE8"/>
    <w:rsid w:val="55C45E2B"/>
    <w:rsid w:val="55F33CC5"/>
    <w:rsid w:val="56075D18"/>
    <w:rsid w:val="565020BD"/>
    <w:rsid w:val="56837A94"/>
    <w:rsid w:val="56A47A0A"/>
    <w:rsid w:val="56AA5540"/>
    <w:rsid w:val="56BA722E"/>
    <w:rsid w:val="577A1924"/>
    <w:rsid w:val="57945CD1"/>
    <w:rsid w:val="57B11E20"/>
    <w:rsid w:val="57B36733"/>
    <w:rsid w:val="5853793A"/>
    <w:rsid w:val="585F6F22"/>
    <w:rsid w:val="58CD434A"/>
    <w:rsid w:val="58FC1D80"/>
    <w:rsid w:val="59896639"/>
    <w:rsid w:val="599B6DB6"/>
    <w:rsid w:val="5A327942"/>
    <w:rsid w:val="5A8738CB"/>
    <w:rsid w:val="5ADD173D"/>
    <w:rsid w:val="5B286E5C"/>
    <w:rsid w:val="5BE32D83"/>
    <w:rsid w:val="5BF76B9A"/>
    <w:rsid w:val="5C441A74"/>
    <w:rsid w:val="5C45759A"/>
    <w:rsid w:val="5CA93FCD"/>
    <w:rsid w:val="5CED210B"/>
    <w:rsid w:val="5CFE60C6"/>
    <w:rsid w:val="5D047455"/>
    <w:rsid w:val="5D0A075D"/>
    <w:rsid w:val="5D1E09AC"/>
    <w:rsid w:val="5D9E6F62"/>
    <w:rsid w:val="5DC56BE4"/>
    <w:rsid w:val="5DCC7F73"/>
    <w:rsid w:val="5E08087F"/>
    <w:rsid w:val="5E091947"/>
    <w:rsid w:val="5E203E1A"/>
    <w:rsid w:val="5F7268F8"/>
    <w:rsid w:val="5F9C3975"/>
    <w:rsid w:val="5FCD3B2E"/>
    <w:rsid w:val="5FE570CA"/>
    <w:rsid w:val="5FF2089A"/>
    <w:rsid w:val="60373C42"/>
    <w:rsid w:val="60694A74"/>
    <w:rsid w:val="607466A0"/>
    <w:rsid w:val="60813C60"/>
    <w:rsid w:val="60A70823"/>
    <w:rsid w:val="60DA0BF8"/>
    <w:rsid w:val="60F90953"/>
    <w:rsid w:val="60FA51E3"/>
    <w:rsid w:val="6111492D"/>
    <w:rsid w:val="611539DF"/>
    <w:rsid w:val="617A5F38"/>
    <w:rsid w:val="61D46475"/>
    <w:rsid w:val="62402CDD"/>
    <w:rsid w:val="624432E1"/>
    <w:rsid w:val="629152E7"/>
    <w:rsid w:val="62976675"/>
    <w:rsid w:val="629E0205"/>
    <w:rsid w:val="62EA2C49"/>
    <w:rsid w:val="62ED5038"/>
    <w:rsid w:val="63387E58"/>
    <w:rsid w:val="63770981"/>
    <w:rsid w:val="638E799C"/>
    <w:rsid w:val="63957059"/>
    <w:rsid w:val="63B14A74"/>
    <w:rsid w:val="6445282D"/>
    <w:rsid w:val="646F2D60"/>
    <w:rsid w:val="64A137DB"/>
    <w:rsid w:val="64F16511"/>
    <w:rsid w:val="656A02C9"/>
    <w:rsid w:val="65C6174B"/>
    <w:rsid w:val="66106E6A"/>
    <w:rsid w:val="663E7D2D"/>
    <w:rsid w:val="66AA4BC9"/>
    <w:rsid w:val="66C20165"/>
    <w:rsid w:val="67A27F96"/>
    <w:rsid w:val="67CE6F5C"/>
    <w:rsid w:val="6813679E"/>
    <w:rsid w:val="685B7E50"/>
    <w:rsid w:val="68662D72"/>
    <w:rsid w:val="68FE11FC"/>
    <w:rsid w:val="693D7F76"/>
    <w:rsid w:val="698A2A90"/>
    <w:rsid w:val="69935DE8"/>
    <w:rsid w:val="69DA1D9A"/>
    <w:rsid w:val="69FF790C"/>
    <w:rsid w:val="6A4175F2"/>
    <w:rsid w:val="6A7B2ACF"/>
    <w:rsid w:val="6AC717A6"/>
    <w:rsid w:val="6AF74155"/>
    <w:rsid w:val="6BE75F78"/>
    <w:rsid w:val="6D316241"/>
    <w:rsid w:val="6D7101EF"/>
    <w:rsid w:val="6E565636"/>
    <w:rsid w:val="6EA6036C"/>
    <w:rsid w:val="6EB03039"/>
    <w:rsid w:val="6EB44436"/>
    <w:rsid w:val="6EE175F6"/>
    <w:rsid w:val="6EE3336E"/>
    <w:rsid w:val="6F0155A2"/>
    <w:rsid w:val="6F607BC9"/>
    <w:rsid w:val="6F6607E6"/>
    <w:rsid w:val="6F8F7052"/>
    <w:rsid w:val="6FBE3493"/>
    <w:rsid w:val="6FCD12F8"/>
    <w:rsid w:val="6FD1766A"/>
    <w:rsid w:val="6FDB4045"/>
    <w:rsid w:val="700E68D0"/>
    <w:rsid w:val="70412B49"/>
    <w:rsid w:val="70EB650A"/>
    <w:rsid w:val="71ED1E0E"/>
    <w:rsid w:val="722E00BF"/>
    <w:rsid w:val="723D2D95"/>
    <w:rsid w:val="72C74D55"/>
    <w:rsid w:val="73216213"/>
    <w:rsid w:val="734B7734"/>
    <w:rsid w:val="73C52B0E"/>
    <w:rsid w:val="73E3796C"/>
    <w:rsid w:val="73E7745D"/>
    <w:rsid w:val="73EF00BF"/>
    <w:rsid w:val="74485A21"/>
    <w:rsid w:val="746740F9"/>
    <w:rsid w:val="75105270"/>
    <w:rsid w:val="7554492F"/>
    <w:rsid w:val="756B5E6B"/>
    <w:rsid w:val="75F45E61"/>
    <w:rsid w:val="765D3A06"/>
    <w:rsid w:val="766E0BFE"/>
    <w:rsid w:val="7686785D"/>
    <w:rsid w:val="76DD5829"/>
    <w:rsid w:val="77690189"/>
    <w:rsid w:val="77AF64E3"/>
    <w:rsid w:val="78250553"/>
    <w:rsid w:val="78393FFF"/>
    <w:rsid w:val="786365E0"/>
    <w:rsid w:val="78A21D8D"/>
    <w:rsid w:val="78AE3973"/>
    <w:rsid w:val="791F31F5"/>
    <w:rsid w:val="79951709"/>
    <w:rsid w:val="79FC1788"/>
    <w:rsid w:val="7A4D1FE3"/>
    <w:rsid w:val="7A7C39B1"/>
    <w:rsid w:val="7AA26AD8"/>
    <w:rsid w:val="7ACA7190"/>
    <w:rsid w:val="7B8330AA"/>
    <w:rsid w:val="7B914152"/>
    <w:rsid w:val="7BB05D2A"/>
    <w:rsid w:val="7BDD1298"/>
    <w:rsid w:val="7BFC5A6F"/>
    <w:rsid w:val="7C0C265A"/>
    <w:rsid w:val="7C270A0F"/>
    <w:rsid w:val="7C45096D"/>
    <w:rsid w:val="7C490589"/>
    <w:rsid w:val="7C52568F"/>
    <w:rsid w:val="7C5C650E"/>
    <w:rsid w:val="7C9E08D4"/>
    <w:rsid w:val="7CB974BC"/>
    <w:rsid w:val="7CEF2EDE"/>
    <w:rsid w:val="7D2D1C58"/>
    <w:rsid w:val="7DC154DE"/>
    <w:rsid w:val="7DD141C0"/>
    <w:rsid w:val="7DDC134B"/>
    <w:rsid w:val="7E17093E"/>
    <w:rsid w:val="7E8F2A06"/>
    <w:rsid w:val="7E9B156F"/>
    <w:rsid w:val="7ECB1729"/>
    <w:rsid w:val="7EE342FA"/>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2730</Words>
  <Characters>2946</Characters>
  <Lines>1</Lines>
  <Paragraphs>1</Paragraphs>
  <TotalTime>0</TotalTime>
  <ScaleCrop>false</ScaleCrop>
  <LinksUpToDate>false</LinksUpToDate>
  <CharactersWithSpaces>3183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2025-03-03T00:09:33Z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FA78B348D0634C198F0991A1E73DFD89_13</vt:lpwstr>
  </property>
  <property fmtid="{D5CDD505-2E9C-101B-9397-08002B2CF9AE}" pid="4" name="KSOTemplateDocerSaveRecord">
    <vt:lpwstr>eyJoZGlkIjoiZTQ5YWVjYzdjODE0ZmFhYmI4YTYxNDIwMDkxYjkzMjMiLCJ1c2VySWQiOiIzNzgzMjE3NjkifQ==</vt:lpwstr>
  </property>
</Properties>
</file>