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left="2444" w:leftChars="304" w:hanging="1806" w:hangingChars="5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滁州市第一人民医院心肺复苏机采购项目</w:t>
      </w:r>
    </w:p>
    <w:p w14:paraId="78C20378">
      <w:pPr>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eastAsia="zh-CN" w:bidi="ar"/>
        </w:rPr>
        <w:t>CZYY-2025-</w:t>
      </w:r>
      <w:r>
        <w:rPr>
          <w:rFonts w:hint="eastAsia" w:ascii="宋体" w:hAnsi="宋体" w:eastAsia="宋体"/>
          <w:b/>
          <w:spacing w:val="20"/>
          <w:kern w:val="0"/>
          <w:sz w:val="32"/>
          <w:szCs w:val="32"/>
          <w:u w:val="single"/>
          <w:lang w:val="en-US" w:eastAsia="zh-CN" w:bidi="ar"/>
        </w:rPr>
        <w:t>12</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3</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54</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30F361DC">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滁州市第一人民医院心肺复苏机采购项目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790"/>
      <w:bookmarkEnd w:id="4"/>
      <w:bookmarkStart w:id="5" w:name="_Toc28359002"/>
      <w:bookmarkEnd w:id="5"/>
      <w:bookmarkStart w:id="6" w:name="_Toc58430305"/>
      <w:bookmarkEnd w:id="6"/>
      <w:bookmarkStart w:id="7" w:name="_Toc28359079"/>
      <w:bookmarkEnd w:id="7"/>
      <w:bookmarkStart w:id="8" w:name="_Toc35393621"/>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w:t>
      </w:r>
      <w:r>
        <w:rPr>
          <w:rFonts w:hint="eastAsia" w:ascii="宋体" w:hAnsi="宋体" w:eastAsia="宋体" w:cs="宋体"/>
          <w:color w:val="000000" w:themeColor="text1"/>
          <w:sz w:val="24"/>
          <w:szCs w:val="24"/>
          <w:lang w:val="en-US" w:eastAsia="zh-CN" w:bidi="ar"/>
          <w14:textFill>
            <w14:solidFill>
              <w14:schemeClr w14:val="tx1"/>
            </w14:solidFill>
          </w14:textFill>
        </w:rPr>
        <w:t>12</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滁州市第一人民医院心肺复苏机采购项目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23</w:t>
      </w:r>
      <w:r>
        <w:rPr>
          <w:rFonts w:hint="eastAsia" w:ascii="宋体" w:hAnsi="宋体" w:eastAsia="宋体" w:cs="宋体"/>
          <w:color w:val="000000" w:themeColor="text1"/>
          <w:sz w:val="24"/>
          <w:szCs w:val="24"/>
          <w:lang w:bidi="ar"/>
          <w14:textFill>
            <w14:solidFill>
              <w14:schemeClr w14:val="tx1"/>
            </w14:solidFill>
          </w14:textFill>
        </w:rPr>
        <w:t>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总价最高限价230000元，</w:t>
      </w:r>
      <w:r>
        <w:rPr>
          <w:rFonts w:hint="eastAsia" w:ascii="宋体" w:hAnsi="宋体" w:eastAsia="宋体" w:cs="宋体"/>
          <w:color w:val="000000" w:themeColor="text1"/>
          <w:kern w:val="0"/>
          <w:sz w:val="24"/>
          <w:szCs w:val="24"/>
          <w14:textFill>
            <w14:solidFill>
              <w14:schemeClr w14:val="tx1"/>
            </w14:solidFill>
          </w14:textFill>
        </w:rPr>
        <w:t>投标人投标报价不得高于本项目设置最高限价，否则，按无效投标处理。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采购</w:t>
      </w:r>
      <w:r>
        <w:rPr>
          <w:rFonts w:hint="eastAsia" w:ascii="宋体" w:hAnsi="宋体" w:eastAsia="宋体" w:cs="宋体"/>
          <w:color w:val="000000" w:themeColor="text1"/>
          <w:sz w:val="24"/>
          <w:szCs w:val="24"/>
          <w:lang w:eastAsia="zh-CN" w:bidi="ar"/>
          <w14:textFill>
            <w14:solidFill>
              <w14:schemeClr w14:val="tx1"/>
            </w14:solidFill>
          </w14:textFill>
        </w:rPr>
        <w:t>心肺复苏机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622"/>
      <w:bookmarkEnd w:id="10"/>
      <w:bookmarkStart w:id="11" w:name="_Toc35393791"/>
      <w:bookmarkEnd w:id="11"/>
      <w:bookmarkStart w:id="12" w:name="_Toc28359003"/>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07</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35393793"/>
      <w:bookmarkEnd w:id="21"/>
      <w:bookmarkStart w:id="22" w:name="_Toc28359082"/>
      <w:bookmarkEnd w:id="22"/>
      <w:bookmarkStart w:id="23" w:name="_Toc28359005"/>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625"/>
      <w:bookmarkEnd w:id="25"/>
      <w:bookmarkStart w:id="26" w:name="_Toc28359007"/>
      <w:bookmarkEnd w:id="26"/>
      <w:bookmarkStart w:id="27" w:name="_Toc58430309"/>
      <w:bookmarkEnd w:id="27"/>
      <w:bookmarkStart w:id="28" w:name="_Toc35393794"/>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03</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05</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03</w:t>
            </w:r>
            <w:bookmarkStart w:id="84" w:name="_GoBack"/>
            <w:bookmarkEnd w:id="84"/>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lang w:val="en-US" w:eastAsia="zh-CN"/>
              </w:rPr>
              <w:t>1725</w:t>
            </w:r>
            <w:r>
              <w:rPr>
                <w:rFonts w:hint="eastAsia" w:ascii="宋体" w:hAnsi="宋体" w:eastAsia="宋体"/>
                <w:b w:val="0"/>
                <w:sz w:val="24"/>
                <w:u w:val="single"/>
              </w:rPr>
              <w:t>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val="en-US" w:eastAsia="zh-CN"/>
              </w:rPr>
              <w:t>按</w:t>
            </w:r>
            <w:r>
              <w:rPr>
                <w:rFonts w:hint="eastAsia" w:ascii="宋体" w:hAnsi="宋体" w:eastAsia="宋体" w:cs="宋体"/>
                <w:color w:val="000000"/>
                <w:sz w:val="24"/>
                <w:szCs w:val="24"/>
                <w:u w:val="single"/>
              </w:rPr>
              <w:t>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default" w:ascii="宋体" w:hAnsi="宋体" w:eastAsia="宋体"/>
                <w:sz w:val="24"/>
                <w:szCs w:val="18"/>
                <w:lang w:val="en-US" w:eastAsia="zh-CN"/>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kern w:val="0"/>
                <w:sz w:val="24"/>
                <w:szCs w:val="28"/>
                <w:u w:val="single"/>
                <w:lang w:val="en-US" w:eastAsia="zh-CN"/>
              </w:rPr>
              <w:t>0550-3011399</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24882"/>
      <w:bookmarkStart w:id="36"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2554"/>
      <w:bookmarkStart w:id="46" w:name="_Toc32151"/>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1E5CE8BD">
            <w:pPr>
              <w:kinsoku w:val="0"/>
              <w:overflowPunct w:val="0"/>
              <w:autoSpaceDE w:val="0"/>
              <w:autoSpaceDN w:val="0"/>
              <w:adjustRightInd w:val="0"/>
              <w:snapToGrid w:val="0"/>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4843"/>
            <w:bookmarkStart w:id="48" w:name="_Toc7421"/>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3C8CA4EC">
      <w:pPr>
        <w:spacing w:line="540" w:lineRule="exact"/>
        <w:ind w:firstLine="437"/>
        <w:outlineLvl w:val="1"/>
        <w:rPr>
          <w:rFonts w:hint="eastAsia" w:ascii="宋体" w:hAnsi="宋体" w:eastAsia="宋体" w:cs="宋体"/>
          <w:sz w:val="24"/>
          <w:szCs w:val="24"/>
        </w:rPr>
      </w:pPr>
      <w:r>
        <w:rPr>
          <w:rFonts w:hint="eastAsia" w:ascii="宋体" w:hAnsi="宋体" w:eastAsia="宋体" w:cs="宋体"/>
          <w:b/>
          <w:bCs/>
          <w:sz w:val="24"/>
          <w:szCs w:val="24"/>
        </w:rPr>
        <w:t>采购项目需求概况：</w:t>
      </w:r>
      <w:r>
        <w:rPr>
          <w:rFonts w:hint="eastAsia" w:ascii="宋体" w:hAnsi="宋体" w:eastAsia="宋体" w:cs="宋体"/>
          <w:sz w:val="24"/>
          <w:szCs w:val="24"/>
          <w:lang w:val="en-US" w:eastAsia="zh-CN"/>
        </w:rPr>
        <w:t>符合国际2020版ERC和AHA心肺复苏及心血管急救指南中关于心肺复苏替代技术和辅助装置的相关规范，适用于对心跳呼吸骤停的成年患者进行胸外按压等心肺复苏抢救，按压深度需可调节。标配两块电池。</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19"/>
        <w:gridCol w:w="3431"/>
        <w:gridCol w:w="1393"/>
        <w:gridCol w:w="920"/>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8"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心肺复苏机</w:t>
            </w:r>
          </w:p>
        </w:tc>
        <w:tc>
          <w:tcPr>
            <w:tcW w:w="2108"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lang w:eastAsia="zh-CN"/>
              </w:rPr>
            </w:pPr>
            <w:r>
              <w:rPr>
                <w:rFonts w:hint="eastAsia" w:ascii="宋体" w:hAnsi="宋体" w:eastAsia="宋体" w:cs="宋体"/>
                <w:sz w:val="24"/>
                <w:szCs w:val="24"/>
                <w:highlight w:val="none"/>
                <w:lang w:val="en-US" w:eastAsia="zh-CN"/>
              </w:rPr>
              <w:t>2台</w:t>
            </w:r>
          </w:p>
        </w:tc>
        <w:tc>
          <w:tcPr>
            <w:tcW w:w="563" w:type="pct"/>
            <w:vAlign w:val="center"/>
          </w:tcPr>
          <w:p w14:paraId="110B2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标配两块电池</w:t>
            </w:r>
          </w:p>
        </w:tc>
      </w:tr>
      <w:tr w14:paraId="6D1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0" w:type="pct"/>
            <w:gridSpan w:val="5"/>
            <w:vAlign w:val="center"/>
          </w:tcPr>
          <w:p w14:paraId="1E240588">
            <w:pPr>
              <w:spacing w:line="360" w:lineRule="auto"/>
              <w:jc w:val="left"/>
              <w:rPr>
                <w:rFonts w:hint="eastAsia" w:ascii="宋体" w:hAnsi="宋体" w:eastAsia="宋体" w:cs="宋体"/>
                <w:bCs/>
                <w:sz w:val="24"/>
                <w:szCs w:val="24"/>
              </w:rPr>
            </w:pPr>
            <w:r>
              <w:rPr>
                <w:rFonts w:hint="eastAsia" w:ascii="宋体" w:hAnsi="宋体" w:eastAsia="宋体" w:cs="宋体"/>
                <w:b/>
                <w:bCs/>
                <w:color w:val="000000" w:themeColor="text1"/>
                <w:sz w:val="24"/>
                <w:szCs w:val="24"/>
                <w:lang w:val="en-US" w:eastAsia="zh-CN" w:bidi="ar"/>
                <w14:textFill>
                  <w14:solidFill>
                    <w14:schemeClr w14:val="tx1"/>
                  </w14:solidFill>
                </w14:textFill>
              </w:rPr>
              <w:t>本项目最高限价230000元</w:t>
            </w:r>
            <w:r>
              <w:rPr>
                <w:rFonts w:hint="eastAsia" w:ascii="宋体" w:hAnsi="宋体" w:eastAsia="宋体" w:cs="宋体"/>
                <w:b/>
                <w:bCs/>
                <w:color w:val="000000" w:themeColor="text1"/>
                <w:sz w:val="24"/>
                <w:szCs w:val="24"/>
                <w:lang w:bidi="ar"/>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投标人投标报价不得高于本项目设置最高限价，否则，按无效投标处理。</w:t>
            </w: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（二）技术参数要求</w:t>
      </w:r>
    </w:p>
    <w:p w14:paraId="0698D5EF">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★1.采用单点按压结合胸廓束带方式，通过胸泵和心泵机制、模拟心脏搏动原理的心肺复苏技术；</w:t>
      </w:r>
    </w:p>
    <w:p w14:paraId="32362898">
      <w:pPr>
        <w:pStyle w:val="21"/>
        <w:widowControl/>
        <w:numPr>
          <w:ilvl w:val="0"/>
          <w:numId w:val="0"/>
        </w:numPr>
        <w:spacing w:beforeAutospacing="0" w:after="0" w:afterAutospacing="0" w:line="216" w:lineRule="atLeast"/>
        <w:ind w:left="0" w:leftChars="0" w:right="0" w:righ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2.按压频率：100-120次/分之内</w:t>
      </w:r>
    </w:p>
    <w:p w14:paraId="3DB07232">
      <w:pPr>
        <w:pStyle w:val="21"/>
        <w:widowControl/>
        <w:numPr>
          <w:ilvl w:val="0"/>
          <w:numId w:val="0"/>
        </w:numPr>
        <w:spacing w:beforeAutospacing="0" w:after="0" w:afterAutospacing="0" w:line="216" w:lineRule="atLeast"/>
        <w:ind w:left="0" w:leftChars="0" w:right="0" w:righ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3.按压深度范围≥30-55mm，步进值1mm；</w:t>
      </w:r>
    </w:p>
    <w:p w14:paraId="3B061A0A">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4.按压释放比1:1</w:t>
      </w:r>
    </w:p>
    <w:p w14:paraId="393F6F93">
      <w:pPr>
        <w:pStyle w:val="21"/>
        <w:widowControl/>
        <w:spacing w:beforeAutospacing="0" w:after="0" w:afterAutospacing="0" w:line="17" w:lineRule="atLeast"/>
        <w:ind w:left="0" w:leftChars="0" w:right="0"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▲5.按压通气模式包括： 连续按压模式， 30:2模式， CPR联动/通气模式；</w:t>
      </w:r>
    </w:p>
    <w:p w14:paraId="60FC4D79">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6.30:2模式下， 30次按压后， 2次通气停顿时间≤3秒</w:t>
      </w:r>
    </w:p>
    <w:p w14:paraId="4CD6E3F3">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▲7.主机可实时显示实际按压深度；</w:t>
      </w:r>
    </w:p>
    <w:p w14:paraId="5C2F7CF8">
      <w:pPr>
        <w:pStyle w:val="21"/>
        <w:widowControl/>
        <w:numPr>
          <w:ilvl w:val="0"/>
          <w:numId w:val="0"/>
        </w:numPr>
        <w:spacing w:beforeAutospacing="0" w:after="0" w:afterAutospacing="0" w:line="216" w:lineRule="atLeas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▲8.最大工作倾斜度：≥45°（提供检测证明）</w:t>
      </w:r>
    </w:p>
    <w:p w14:paraId="16E52B56">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★9.驱动方式：电动电控，单块电池最大运行时间≥60分钟</w:t>
      </w:r>
    </w:p>
    <w:p w14:paraId="3FEA7D30">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10.具有电量指示，低电量时报警；</w:t>
      </w:r>
    </w:p>
    <w:p w14:paraId="31985868">
      <w:pPr>
        <w:pStyle w:val="21"/>
        <w:widowControl/>
        <w:spacing w:beforeAutospacing="0" w:after="0" w:afterAutospacing="0" w:line="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11.按压头手动归位：当主机发生错误，能够手动将按压头推回初始位。</w:t>
      </w:r>
    </w:p>
    <w:p w14:paraId="3209D880">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▲12.终端显示屏：可显示按压深度， 按压深度波形，按压频率，按压时间，按压中断时间以及心肺复苏总时间，可显示CCF值；</w:t>
      </w:r>
    </w:p>
    <w:p w14:paraId="794488F6">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13.具有≥16G内存，可储存工作数据；</w:t>
      </w:r>
    </w:p>
    <w:p w14:paraId="48A9513F">
      <w:pPr>
        <w:pStyle w:val="21"/>
        <w:widowControl/>
        <w:spacing w:beforeAutospacing="0" w:after="0" w:afterAutospacing="0" w:line="2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▲14.通过EN1789《医用车辆和其设备道路救护车》标准；（提供第三方检测报告）</w:t>
      </w:r>
    </w:p>
    <w:p w14:paraId="28D7C826">
      <w:pPr>
        <w:pStyle w:val="21"/>
        <w:widowControl/>
        <w:spacing w:beforeAutospacing="0" w:after="0" w:afterAutospacing="0" w:line="16"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15.抗跌落性：提供跌落高度不低于1.5米，6个面各跌落1次的跌落试验报告（提供第三方检测报告）</w:t>
      </w:r>
    </w:p>
    <w:p w14:paraId="33BDC203">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16.防电击保护类型：CF型，防水等级≥IP33</w:t>
      </w:r>
    </w:p>
    <w:p w14:paraId="72462F44">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17.主机（含动力电池）重量≤3.5公斤。</w:t>
      </w:r>
    </w:p>
    <w:p w14:paraId="6C6C7A5C">
      <w:pPr>
        <w:pStyle w:val="21"/>
        <w:widowControl/>
        <w:spacing w:beforeAutospacing="0" w:after="0" w:afterAutospacing="0" w:line="17" w:lineRule="atLeas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r>
        <w:rPr>
          <w:rFonts w:hint="eastAsia" w:ascii="宋体" w:hAnsi="宋体" w:eastAsia="宋体" w:cs="宋体"/>
          <w:kern w:val="2"/>
          <w:sz w:val="24"/>
          <w:szCs w:val="24"/>
          <w:lang w:val="en-US" w:eastAsia="zh-Hans" w:bidi="ar-SA"/>
        </w:rPr>
        <w:t>数据可</w:t>
      </w:r>
      <w:r>
        <w:rPr>
          <w:rFonts w:hint="eastAsia" w:ascii="宋体" w:hAnsi="宋体" w:eastAsia="宋体" w:cs="宋体"/>
          <w:kern w:val="2"/>
          <w:sz w:val="24"/>
          <w:szCs w:val="24"/>
          <w:lang w:val="en-US" w:eastAsia="zh-CN" w:bidi="ar-SA"/>
        </w:rPr>
        <w:t>导出</w:t>
      </w:r>
      <w:r>
        <w:rPr>
          <w:rFonts w:hint="eastAsia" w:ascii="宋体" w:hAnsi="宋体" w:eastAsia="宋体" w:cs="宋体"/>
          <w:kern w:val="2"/>
          <w:sz w:val="24"/>
          <w:szCs w:val="24"/>
          <w:lang w:val="en-US" w:eastAsia="zh-Hans" w:bidi="ar-SA"/>
        </w:rPr>
        <w:t>进行回顾分析。</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w:t>
      </w:r>
      <w:r>
        <w:rPr>
          <w:rFonts w:hint="eastAsia" w:ascii="宋体" w:hAnsi="宋体" w:eastAsia="宋体" w:cs="宋体"/>
          <w:sz w:val="24"/>
          <w:szCs w:val="24"/>
          <w:lang w:val="en-US" w:eastAsia="zh-CN"/>
        </w:rPr>
        <w:t>货物（</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w:t>
      </w:r>
      <w:r>
        <w:rPr>
          <w:rFonts w:hint="eastAsia" w:ascii="宋体" w:hAnsi="宋体" w:eastAsia="宋体" w:cs="宋体"/>
          <w:sz w:val="24"/>
          <w:szCs w:val="24"/>
          <w:lang w:val="en-US" w:eastAsia="zh-CN"/>
        </w:rPr>
        <w:t>格</w:t>
      </w:r>
      <w:r>
        <w:rPr>
          <w:rFonts w:hint="eastAsia" w:ascii="宋体" w:hAnsi="宋体" w:eastAsia="宋体" w:cs="宋体"/>
          <w:sz w:val="24"/>
          <w:szCs w:val="24"/>
        </w:rPr>
        <w:t>。</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22115"/>
      <w:bookmarkStart w:id="53" w:name="_Toc6560"/>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w:t>
            </w:r>
            <w:r>
              <w:rPr>
                <w:rFonts w:hint="eastAsia" w:ascii="宋体" w:hAnsi="宋体" w:eastAsia="宋体" w:cs="宋体"/>
                <w:sz w:val="24"/>
                <w:szCs w:val="24"/>
                <w:lang w:val="en-US" w:eastAsia="zh-CN"/>
              </w:rPr>
              <w:t>招标公告</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7FB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609849">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sz w:val="24"/>
              </w:rPr>
            </w:pPr>
            <w:bookmarkStart w:id="56" w:name="_Hlk16461707"/>
            <w:r>
              <w:rPr>
                <w:rFonts w:hint="eastAsia" w:ascii="宋体" w:hAnsi="宋体" w:eastAsia="宋体"/>
                <w:color w:val="auto"/>
                <w:sz w:val="24"/>
                <w:szCs w:val="20"/>
                <w:highlight w:val="none"/>
                <w:lang w:val="en-US" w:eastAsia="zh-CN"/>
              </w:rPr>
              <w:t>4</w:t>
            </w:r>
          </w:p>
        </w:tc>
        <w:tc>
          <w:tcPr>
            <w:tcW w:w="1651" w:type="dxa"/>
            <w:vAlign w:val="center"/>
          </w:tcPr>
          <w:p w14:paraId="70251A36">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rPr>
            </w:pPr>
            <w:r>
              <w:rPr>
                <w:rFonts w:hint="default" w:ascii="宋体" w:hAnsi="宋体" w:eastAsia="宋体" w:cs="宋体"/>
                <w:spacing w:val="10"/>
                <w:sz w:val="24"/>
                <w:szCs w:val="24"/>
              </w:rPr>
              <w:t>其他特定资格要求</w:t>
            </w:r>
          </w:p>
        </w:tc>
        <w:tc>
          <w:tcPr>
            <w:tcW w:w="4556" w:type="dxa"/>
            <w:vAlign w:val="top"/>
          </w:tcPr>
          <w:p w14:paraId="7D1615A3">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903" w:type="dxa"/>
            <w:vAlign w:val="center"/>
          </w:tcPr>
          <w:p w14:paraId="4210FB3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4E9F592C">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心肺复苏机</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供货业绩，得</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分，本条最高得</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w:t>
            </w:r>
            <w:r>
              <w:rPr>
                <w:rFonts w:hint="eastAsia" w:ascii="宋体" w:hAnsi="宋体" w:eastAsia="宋体" w:cs="宋体"/>
                <w:sz w:val="24"/>
                <w:szCs w:val="24"/>
                <w:lang w:val="en-US" w:bidi="zh-CN"/>
              </w:rPr>
              <w:t>20</w:t>
            </w:r>
            <w:r>
              <w:rPr>
                <w:rFonts w:hint="eastAsia" w:ascii="宋体" w:hAnsi="宋体" w:eastAsia="宋体" w:cs="宋体"/>
                <w:sz w:val="24"/>
                <w:szCs w:val="24"/>
                <w:lang w:bidi="zh-CN"/>
              </w:rPr>
              <w:t>项，</w:t>
            </w:r>
          </w:p>
          <w:p w14:paraId="55B3DB20">
            <w:pPr>
              <w:rPr>
                <w:rFonts w:hint="eastAsia" w:ascii="宋体" w:hAnsi="宋体" w:eastAsia="宋体" w:cs="宋体"/>
                <w:sz w:val="24"/>
                <w:szCs w:val="24"/>
                <w:lang w:val="en-US" w:bidi="zh-CN"/>
              </w:rPr>
            </w:pPr>
            <w:r>
              <w:rPr>
                <w:rFonts w:hint="eastAsia" w:ascii="宋体" w:hAnsi="宋体" w:eastAsia="宋体" w:cs="宋体"/>
                <w:sz w:val="24"/>
                <w:szCs w:val="24"/>
                <w:lang w:bidi="zh-CN"/>
              </w:rPr>
              <w:t>①标注“★”号</w:t>
            </w:r>
            <w:r>
              <w:rPr>
                <w:rFonts w:hint="eastAsia" w:ascii="宋体" w:hAnsi="宋体" w:eastAsia="宋体" w:cs="宋体"/>
                <w:sz w:val="24"/>
                <w:szCs w:val="24"/>
                <w:lang w:val="en-US" w:bidi="zh-CN"/>
              </w:rPr>
              <w:t>的</w:t>
            </w:r>
            <w:r>
              <w:rPr>
                <w:rFonts w:hint="eastAsia" w:ascii="宋体" w:hAnsi="宋体" w:eastAsia="宋体" w:cs="宋体"/>
                <w:sz w:val="24"/>
                <w:szCs w:val="24"/>
                <w:lang w:bidi="zh-CN"/>
              </w:rPr>
              <w:t>为本项目的关键性技术指标，共</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w:t>
            </w:r>
            <w:r>
              <w:rPr>
                <w:rFonts w:hint="eastAsia" w:ascii="宋体" w:hAnsi="宋体" w:eastAsia="宋体" w:cs="宋体"/>
                <w:sz w:val="24"/>
                <w:szCs w:val="24"/>
                <w:lang w:val="en-US" w:bidi="zh-CN"/>
              </w:rPr>
              <w:t>必须满足，否则按无效标处理。</w:t>
            </w:r>
          </w:p>
          <w:p w14:paraId="0F384E75">
            <w:pPr>
              <w:kinsoku w:val="0"/>
              <w:overflowPunct w:val="0"/>
              <w:autoSpaceDE w:val="0"/>
              <w:autoSpaceDN w:val="0"/>
              <w:adjustRightInd w:val="0"/>
              <w:snapToGrid w:val="0"/>
              <w:rPr>
                <w:rFonts w:hint="eastAsia" w:ascii="仿宋" w:hAnsi="仿宋" w:eastAsia="仿宋"/>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sz w:val="24"/>
                <w:szCs w:val="24"/>
                <w:lang w:bidi="zh-CN"/>
              </w:rPr>
              <w:t>标注“▲”的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eastAsia="zh-CN" w:bidi="zh-CN"/>
              </w:rPr>
              <w:t>5</w:t>
            </w:r>
            <w:r>
              <w:rPr>
                <w:rFonts w:hint="eastAsia" w:ascii="宋体" w:hAnsi="宋体" w:eastAsia="宋体" w:cs="宋体"/>
                <w:sz w:val="24"/>
                <w:szCs w:val="24"/>
                <w:lang w:bidi="zh-CN"/>
              </w:rPr>
              <w:t>项，每有1项满足或优于招标要求的</w:t>
            </w:r>
            <w:r>
              <w:rPr>
                <w:rFonts w:hint="eastAsia" w:ascii="宋体" w:hAnsi="宋体" w:eastAsia="宋体" w:cs="宋体"/>
                <w:sz w:val="24"/>
                <w:szCs w:val="24"/>
                <w:lang w:eastAsia="zh-CN" w:bidi="zh-CN"/>
              </w:rPr>
              <w:t>，</w:t>
            </w:r>
            <w:r>
              <w:rPr>
                <w:rFonts w:hint="eastAsia" w:ascii="宋体" w:hAnsi="宋体" w:eastAsia="宋体" w:cs="宋体"/>
                <w:sz w:val="24"/>
                <w:szCs w:val="24"/>
                <w:lang w:bidi="zh-CN"/>
              </w:rPr>
              <w:t>得</w:t>
            </w:r>
            <w:r>
              <w:rPr>
                <w:rFonts w:hint="eastAsia" w:ascii="宋体" w:hAnsi="宋体" w:eastAsia="宋体" w:cs="宋体"/>
                <w:sz w:val="24"/>
                <w:szCs w:val="24"/>
                <w:lang w:val="en-US" w:eastAsia="zh-CN" w:bidi="zh-CN"/>
              </w:rPr>
              <w:t>4</w:t>
            </w:r>
            <w:r>
              <w:rPr>
                <w:rFonts w:hint="eastAsia" w:ascii="宋体" w:hAnsi="宋体" w:eastAsia="宋体" w:cs="宋体"/>
                <w:sz w:val="24"/>
                <w:szCs w:val="24"/>
                <w:lang w:bidi="zh-CN"/>
              </w:rPr>
              <w:t>分，满分</w:t>
            </w:r>
            <w:r>
              <w:rPr>
                <w:rFonts w:hint="eastAsia" w:ascii="宋体" w:hAnsi="宋体" w:eastAsia="宋体" w:cs="宋体"/>
                <w:sz w:val="24"/>
                <w:szCs w:val="24"/>
                <w:lang w:val="en-US" w:eastAsia="zh-CN" w:bidi="zh-CN"/>
              </w:rPr>
              <w:t>20</w:t>
            </w:r>
            <w:r>
              <w:rPr>
                <w:rFonts w:hint="eastAsia" w:ascii="宋体" w:hAnsi="宋体" w:eastAsia="宋体" w:cs="宋体"/>
                <w:sz w:val="24"/>
                <w:szCs w:val="24"/>
                <w:lang w:bidi="zh-CN"/>
              </w:rPr>
              <w:t>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③未标注“★”号</w:t>
            </w:r>
            <w:r>
              <w:rPr>
                <w:rFonts w:hint="eastAsia" w:ascii="宋体" w:hAnsi="宋体" w:eastAsia="宋体" w:cs="宋体"/>
                <w:sz w:val="24"/>
                <w:szCs w:val="24"/>
                <w:lang w:val="en-US" w:bidi="zh-CN"/>
              </w:rPr>
              <w:t>和</w:t>
            </w:r>
            <w:r>
              <w:rPr>
                <w:rFonts w:hint="eastAsia" w:ascii="宋体" w:hAnsi="宋体" w:eastAsia="宋体" w:cs="宋体"/>
                <w:sz w:val="24"/>
                <w:szCs w:val="24"/>
                <w:lang w:bidi="zh-CN"/>
              </w:rPr>
              <w:t>“▲”符号的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13</w:t>
            </w:r>
            <w:r>
              <w:rPr>
                <w:rFonts w:hint="eastAsia" w:ascii="宋体" w:hAnsi="宋体" w:eastAsia="宋体" w:cs="宋体"/>
                <w:sz w:val="24"/>
                <w:szCs w:val="24"/>
                <w:lang w:bidi="zh-CN"/>
              </w:rPr>
              <w:t>项，每有一项满足或优于招标要求的得</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26</w:t>
            </w:r>
            <w:r>
              <w:rPr>
                <w:rFonts w:hint="eastAsia" w:ascii="宋体" w:hAnsi="宋体" w:eastAsia="宋体" w:cs="宋体"/>
                <w:sz w:val="24"/>
                <w:szCs w:val="24"/>
                <w:lang w:bidi="zh-CN"/>
              </w:rPr>
              <w:t>分；</w:t>
            </w:r>
          </w:p>
          <w:p w14:paraId="553CAEB6">
            <w:pPr>
              <w:rPr>
                <w:rFonts w:hint="eastAsia" w:ascii="宋体" w:hAnsi="宋体" w:eastAsia="宋体" w:cs="宋体"/>
                <w:color w:val="0000FF"/>
                <w:sz w:val="24"/>
                <w:szCs w:val="24"/>
                <w:highlight w:val="none"/>
                <w:lang w:val="en-US" w:eastAsia="zh-CN"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b/>
                <w:bCs/>
                <w:color w:val="0000FF"/>
                <w:sz w:val="24"/>
                <w:szCs w:val="24"/>
                <w:highlight w:val="none"/>
                <w:lang w:val="en-US" w:eastAsia="zh-CN" w:bidi="ar-SA"/>
              </w:rPr>
              <w:t>所有采购产品的技术参数要求中如有标注（或注明）所需证明材料的，需按要求提供相对应的证明材料，标注</w:t>
            </w:r>
            <w:r>
              <w:rPr>
                <w:rFonts w:hint="eastAsia" w:ascii="宋体" w:hAnsi="宋体" w:eastAsia="宋体" w:cs="宋体"/>
                <w:color w:val="0000FF"/>
                <w:sz w:val="24"/>
                <w:szCs w:val="24"/>
                <w:lang w:bidi="zh-CN"/>
              </w:rPr>
              <w:t>“★”</w:t>
            </w:r>
            <w:r>
              <w:rPr>
                <w:rFonts w:hint="eastAsia" w:ascii="宋体" w:hAnsi="宋体" w:eastAsia="宋体" w:cs="宋体"/>
                <w:b/>
                <w:bCs/>
                <w:color w:val="0000FF"/>
                <w:sz w:val="24"/>
                <w:szCs w:val="24"/>
                <w:highlight w:val="none"/>
                <w:lang w:val="en-US" w:eastAsia="zh-CN" w:bidi="ar-SA"/>
              </w:rPr>
              <w:t>和“▲”的参数均需提供有效证明材料，包括但不限于与之相关的证明文件或产品技术说明文件或印刷资料或技术白皮书或产品检验（测）报告或注册证明文件等材料。未标注“★”和“▲”的条款，除参数条款中注明要求提供的证明材料，无需提供其他证明材料，但“技术响应表”需明确是否响应，未明确是否响应视为不响应，投标人需审慎填写，验收时将复核参数。</w:t>
            </w:r>
          </w:p>
          <w:p w14:paraId="58E8F7A3">
            <w:pPr>
              <w:rPr>
                <w:rFonts w:hint="eastAsia" w:ascii="宋体" w:hAnsi="宋体" w:eastAsia="宋体" w:cs="宋体"/>
                <w:b/>
                <w:bCs/>
                <w:color w:val="auto"/>
                <w:sz w:val="24"/>
                <w:szCs w:val="24"/>
                <w:highlight w:val="none"/>
                <w:lang w:val="en-US"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b/>
                <w:bCs/>
                <w:color w:val="FF0000"/>
                <w:sz w:val="24"/>
                <w:szCs w:val="24"/>
                <w:highlight w:val="none"/>
                <w:lang w:val="en-US" w:eastAsia="zh-CN" w:bidi="ar-SA"/>
              </w:rPr>
              <w:t>投标人提供的评审（评分）</w:t>
            </w:r>
            <w:r>
              <w:rPr>
                <w:rFonts w:hint="eastAsia" w:ascii="宋体" w:hAnsi="宋体" w:eastAsia="宋体" w:cs="宋体"/>
                <w:b/>
                <w:bCs/>
                <w:color w:val="FF0000"/>
                <w:sz w:val="24"/>
                <w:szCs w:val="24"/>
                <w:highlight w:val="none"/>
                <w:lang w:val="en-US" w:bidi="ar-SA"/>
              </w:rPr>
              <w:t>证明材料必须为中文文本</w:t>
            </w:r>
            <w:r>
              <w:rPr>
                <w:rFonts w:hint="eastAsia" w:ascii="宋体" w:hAnsi="宋体" w:eastAsia="宋体" w:cs="宋体"/>
                <w:b/>
                <w:bCs/>
                <w:color w:val="FF0000"/>
                <w:sz w:val="24"/>
                <w:szCs w:val="24"/>
                <w:highlight w:val="none"/>
                <w:lang w:val="en-US" w:eastAsia="zh-CN" w:bidi="ar-SA"/>
              </w:rPr>
              <w:t>，若存在非中文时，须同时提供中文翻译文本，否则视为不响应；</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10</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10</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60BB454D">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F69FCCA">
            <w:pPr>
              <w:rPr>
                <w:rFonts w:hint="eastAsia" w:ascii="宋体" w:hAnsi="宋体" w:eastAsia="宋体" w:cs="宋体"/>
                <w:sz w:val="24"/>
                <w:szCs w:val="24"/>
                <w:lang w:bidi="zh-CN"/>
              </w:rPr>
            </w:pPr>
            <w:r>
              <w:rPr>
                <w:rFonts w:hint="eastAsia" w:ascii="宋体" w:hAnsi="宋体" w:eastAsia="宋体" w:cs="宋体"/>
                <w:sz w:val="24"/>
                <w:szCs w:val="24"/>
                <w:lang w:bidi="zh-CN"/>
              </w:rPr>
              <w:t>1、包括保修内容与范围、维修响应时间、售后服务等，方案完善可行性强，科学合理，完全满足项目采购需求的得8分；</w:t>
            </w:r>
          </w:p>
          <w:p w14:paraId="56DE5AC8">
            <w:pPr>
              <w:rPr>
                <w:rFonts w:hint="eastAsia" w:ascii="宋体" w:hAnsi="宋体" w:eastAsia="宋体" w:cs="宋体"/>
                <w:sz w:val="24"/>
                <w:szCs w:val="24"/>
                <w:lang w:bidi="zh-CN"/>
              </w:rPr>
            </w:pPr>
            <w:r>
              <w:rPr>
                <w:rFonts w:hint="eastAsia" w:ascii="宋体" w:hAnsi="宋体" w:eastAsia="宋体" w:cs="宋体"/>
                <w:sz w:val="24"/>
                <w:szCs w:val="24"/>
                <w:lang w:bidi="zh-CN"/>
              </w:rPr>
              <w:t>2、包括保修内容与范围、维修响应时间、售后服务等，方案完善可行性较强，无明显逻辑错误，无关键点缺失的得7分；</w:t>
            </w:r>
          </w:p>
          <w:p w14:paraId="2CC59411">
            <w:pPr>
              <w:rPr>
                <w:rFonts w:hint="eastAsia" w:ascii="宋体" w:hAnsi="宋体" w:eastAsia="宋体" w:cs="宋体"/>
                <w:sz w:val="24"/>
                <w:szCs w:val="24"/>
                <w:lang w:bidi="zh-CN"/>
              </w:rPr>
            </w:pPr>
            <w:r>
              <w:rPr>
                <w:rFonts w:hint="eastAsia" w:ascii="宋体" w:hAnsi="宋体" w:eastAsia="宋体" w:cs="宋体"/>
                <w:sz w:val="24"/>
                <w:szCs w:val="24"/>
                <w:lang w:bidi="zh-CN"/>
              </w:rPr>
              <w:t>3、包括保修内容与范围、维修响应时间、售后服务等，方案内容缺失，且出现非专门针对本项目特性内容的得6分；</w:t>
            </w:r>
          </w:p>
          <w:p w14:paraId="4B5AD950">
            <w:pPr>
              <w:rPr>
                <w:rFonts w:hint="default" w:ascii="宋体" w:hAnsi="宋体" w:eastAsia="宋体" w:cs="宋体"/>
                <w:sz w:val="24"/>
                <w:szCs w:val="24"/>
                <w:lang w:val="en-US" w:bidi="zh-CN"/>
              </w:rPr>
            </w:pPr>
            <w:r>
              <w:rPr>
                <w:rFonts w:hint="eastAsia" w:ascii="宋体" w:hAnsi="宋体" w:eastAsia="宋体" w:cs="宋体"/>
                <w:sz w:val="24"/>
                <w:szCs w:val="24"/>
                <w:lang w:bidi="zh-CN"/>
              </w:rPr>
              <w:t>4、方案不能满足项目实施要求或未提供相关内容的不得分</w:t>
            </w:r>
            <w:r>
              <w:rPr>
                <w:rFonts w:hint="eastAsia" w:ascii="宋体" w:hAnsi="宋体" w:eastAsia="宋体" w:cs="宋体"/>
                <w:sz w:val="24"/>
                <w:szCs w:val="24"/>
                <w:lang w:val="en-US" w:bidi="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108F192B">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46C524B">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滁州市第一人民医院心肺复苏机采购项目</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lang w:eastAsia="zh-CN"/>
        </w:rPr>
        <w:t>CZYY-2025-</w:t>
      </w:r>
      <w:r>
        <w:rPr>
          <w:rFonts w:hint="eastAsia" w:ascii="宋体" w:hAnsi="宋体" w:eastAsia="宋体" w:cs="宋体"/>
          <w:color w:val="0000FF"/>
          <w:sz w:val="24"/>
          <w:szCs w:val="24"/>
          <w:u w:val="single"/>
          <w:lang w:val="en-US" w:eastAsia="zh-CN"/>
        </w:rPr>
        <w:t>12</w:t>
      </w:r>
      <w:r>
        <w:rPr>
          <w:rFonts w:hint="eastAsia" w:ascii="宋体" w:hAnsi="宋体" w:eastAsia="宋体" w:cs="宋体"/>
          <w:color w:val="0000FF"/>
          <w:sz w:val="24"/>
          <w:szCs w:val="24"/>
          <w:u w:val="single"/>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28960"/>
      <w:bookmarkStart w:id="63" w:name="_Toc5555"/>
    </w:p>
    <w:p w14:paraId="62B78268">
      <w:pPr>
        <w:rPr>
          <w:rFonts w:hint="eastAsia" w:eastAsia="黑体"/>
          <w:sz w:val="20"/>
        </w:rPr>
      </w:pPr>
    </w:p>
    <w:p w14:paraId="535337D2">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76F9ACCE">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6BCDD446">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22"/>
        <w:gridCol w:w="2626"/>
        <w:gridCol w:w="695"/>
        <w:gridCol w:w="666"/>
        <w:gridCol w:w="930"/>
        <w:gridCol w:w="939"/>
        <w:gridCol w:w="678"/>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r>
              <w:rPr>
                <w:rFonts w:hint="eastAsia" w:ascii="宋体" w:hAnsi="宋体" w:eastAsia="宋体" w:cs="宋体"/>
                <w:b/>
                <w:sz w:val="24"/>
                <w:szCs w:val="24"/>
                <w:lang w:val="en-US" w:eastAsia="zh-CN" w:bidi="ar"/>
              </w:rPr>
              <w:t>/台</w:t>
            </w:r>
            <w:r>
              <w:rPr>
                <w:rFonts w:hint="eastAsia" w:ascii="宋体" w:hAnsi="宋体" w:eastAsia="宋体" w:cs="宋体"/>
                <w:b/>
                <w:sz w:val="24"/>
                <w:szCs w:val="24"/>
                <w:lang w:bidi="ar"/>
              </w:rPr>
              <w:t>）</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jc w:val="center"/>
              <w:rPr>
                <w:rFonts w:hint="eastAsia" w:ascii="宋体" w:hAnsi="宋体" w:eastAsia="宋体"/>
                <w:sz w:val="24"/>
                <w:szCs w:val="24"/>
                <w:lang w:eastAsia="zh-CN"/>
              </w:rPr>
            </w:pPr>
            <w:r>
              <w:rPr>
                <w:rFonts w:hint="eastAsia" w:ascii="宋体" w:hAnsi="宋体" w:eastAsia="宋体" w:cs="宋体"/>
                <w:sz w:val="24"/>
                <w:szCs w:val="24"/>
                <w:lang w:eastAsia="zh-CN" w:bidi="ar"/>
              </w:rPr>
              <w:t>心肺复苏机</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jc w:val="center"/>
              <w:rPr>
                <w:rFonts w:hint="eastAsia" w:ascii="宋体" w:hAnsi="宋体" w:eastAsia="宋体"/>
                <w:sz w:val="24"/>
                <w:szCs w:val="24"/>
                <w:lang w:eastAsia="zh-CN"/>
              </w:rPr>
            </w:pPr>
            <w:r>
              <w:rPr>
                <w:rFonts w:hint="eastAsia" w:ascii="宋体" w:hAnsi="宋体" w:eastAsia="宋体"/>
                <w:sz w:val="24"/>
                <w:szCs w:val="24"/>
                <w:lang w:val="en-US" w:eastAsia="zh-CN"/>
              </w:rPr>
              <w:t>台</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457A8A07">
      <w:pPr>
        <w:spacing w:line="360" w:lineRule="auto"/>
        <w:jc w:val="center"/>
        <w:rPr>
          <w:rFonts w:hint="eastAsia" w:ascii="宋体" w:hAnsi="宋体" w:eastAsia="宋体" w:cs="宋体"/>
          <w:b/>
          <w:sz w:val="24"/>
          <w:szCs w:val="24"/>
          <w:lang w:bidi="ar"/>
        </w:rPr>
      </w:pPr>
    </w:p>
    <w:p w14:paraId="1BBB7E16">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68" w:name="_Toc32633"/>
      <w:bookmarkStart w:id="69" w:name="_Toc268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6435"/>
      <w:bookmarkStart w:id="71" w:name="_Toc18131"/>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159"/>
      <w:bookmarkStart w:id="73" w:name="_Toc2748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1575"/>
      <w:bookmarkStart w:id="77" w:name="_Toc324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9754"/>
      <w:bookmarkStart w:id="83" w:name="_Toc26836"/>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9B1864"/>
    <w:rsid w:val="01E93A1B"/>
    <w:rsid w:val="02110D66"/>
    <w:rsid w:val="0214602E"/>
    <w:rsid w:val="025F774E"/>
    <w:rsid w:val="027A149C"/>
    <w:rsid w:val="027F05A8"/>
    <w:rsid w:val="029A6E6A"/>
    <w:rsid w:val="02D435F7"/>
    <w:rsid w:val="03486B27"/>
    <w:rsid w:val="037454C9"/>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8A673D2"/>
    <w:rsid w:val="195A07CF"/>
    <w:rsid w:val="1A064976"/>
    <w:rsid w:val="1A1A3D57"/>
    <w:rsid w:val="1A3B68AA"/>
    <w:rsid w:val="1A3E1C1E"/>
    <w:rsid w:val="1B6F4F40"/>
    <w:rsid w:val="1C141836"/>
    <w:rsid w:val="1C33473D"/>
    <w:rsid w:val="1C5A786C"/>
    <w:rsid w:val="1C76537D"/>
    <w:rsid w:val="1CB87339"/>
    <w:rsid w:val="1D9C6312"/>
    <w:rsid w:val="1DAA5D34"/>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3325E4"/>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2F11F8"/>
    <w:rsid w:val="37346534"/>
    <w:rsid w:val="379A1012"/>
    <w:rsid w:val="38694EE9"/>
    <w:rsid w:val="38793F33"/>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BA132E"/>
    <w:rsid w:val="3DD338D1"/>
    <w:rsid w:val="3DE86C4C"/>
    <w:rsid w:val="3DF36A6E"/>
    <w:rsid w:val="3EBA1EE9"/>
    <w:rsid w:val="3F792F1E"/>
    <w:rsid w:val="3FD73C07"/>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4E386C"/>
    <w:rsid w:val="46647A66"/>
    <w:rsid w:val="469F0116"/>
    <w:rsid w:val="46F1158D"/>
    <w:rsid w:val="47277B83"/>
    <w:rsid w:val="47441884"/>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BA55688"/>
    <w:rsid w:val="4C0832E5"/>
    <w:rsid w:val="4C3C565C"/>
    <w:rsid w:val="4CCC79C7"/>
    <w:rsid w:val="4D0B5439"/>
    <w:rsid w:val="4D553CBF"/>
    <w:rsid w:val="4D7555C7"/>
    <w:rsid w:val="4DF07D79"/>
    <w:rsid w:val="4DF65A5C"/>
    <w:rsid w:val="4EAE6DA0"/>
    <w:rsid w:val="4EDA7AE3"/>
    <w:rsid w:val="4FE617D9"/>
    <w:rsid w:val="4FE707F9"/>
    <w:rsid w:val="5016514B"/>
    <w:rsid w:val="50BD4DF3"/>
    <w:rsid w:val="50CF0EE9"/>
    <w:rsid w:val="50FC1A26"/>
    <w:rsid w:val="51384BB9"/>
    <w:rsid w:val="513B2CE7"/>
    <w:rsid w:val="51723664"/>
    <w:rsid w:val="51BB7195"/>
    <w:rsid w:val="51CB1C78"/>
    <w:rsid w:val="51CD1DAC"/>
    <w:rsid w:val="51FD6A51"/>
    <w:rsid w:val="52224331"/>
    <w:rsid w:val="5241017D"/>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E30357F"/>
    <w:rsid w:val="5F127819"/>
    <w:rsid w:val="60350ED3"/>
    <w:rsid w:val="60B72AEE"/>
    <w:rsid w:val="60F650B9"/>
    <w:rsid w:val="60F872D1"/>
    <w:rsid w:val="61025188"/>
    <w:rsid w:val="61057D5F"/>
    <w:rsid w:val="614D4977"/>
    <w:rsid w:val="61E33ADD"/>
    <w:rsid w:val="626D25CE"/>
    <w:rsid w:val="62A52424"/>
    <w:rsid w:val="62CE1B77"/>
    <w:rsid w:val="63C60FC0"/>
    <w:rsid w:val="643B4928"/>
    <w:rsid w:val="64874360"/>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266845"/>
    <w:rsid w:val="68E2428E"/>
    <w:rsid w:val="68FE36DD"/>
    <w:rsid w:val="694E60FC"/>
    <w:rsid w:val="6A256904"/>
    <w:rsid w:val="6A2C1D99"/>
    <w:rsid w:val="6AAA163C"/>
    <w:rsid w:val="6B656832"/>
    <w:rsid w:val="6BA22313"/>
    <w:rsid w:val="6C362DA1"/>
    <w:rsid w:val="6C675CE6"/>
    <w:rsid w:val="6D3A4D92"/>
    <w:rsid w:val="6D4F4321"/>
    <w:rsid w:val="6DEB37B2"/>
    <w:rsid w:val="6DF41B82"/>
    <w:rsid w:val="6DFF7360"/>
    <w:rsid w:val="6E7A5F73"/>
    <w:rsid w:val="6EE90F9D"/>
    <w:rsid w:val="6F1D7B64"/>
    <w:rsid w:val="6F2177A4"/>
    <w:rsid w:val="6FB6454A"/>
    <w:rsid w:val="6FD74228"/>
    <w:rsid w:val="7021106F"/>
    <w:rsid w:val="71462F6F"/>
    <w:rsid w:val="71633091"/>
    <w:rsid w:val="71874904"/>
    <w:rsid w:val="71AB116B"/>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607443"/>
    <w:rsid w:val="76BC207F"/>
    <w:rsid w:val="76EB4904"/>
    <w:rsid w:val="77645DCD"/>
    <w:rsid w:val="777378F5"/>
    <w:rsid w:val="777A2D3C"/>
    <w:rsid w:val="7838290E"/>
    <w:rsid w:val="78A715E8"/>
    <w:rsid w:val="79074B81"/>
    <w:rsid w:val="79340B50"/>
    <w:rsid w:val="794F0939"/>
    <w:rsid w:val="79AF0FCA"/>
    <w:rsid w:val="7AF9279C"/>
    <w:rsid w:val="7BCA404B"/>
    <w:rsid w:val="7C8D28F7"/>
    <w:rsid w:val="7CC51958"/>
    <w:rsid w:val="7CD53DF9"/>
    <w:rsid w:val="7D097C86"/>
    <w:rsid w:val="7E2936C3"/>
    <w:rsid w:val="7E6411B9"/>
    <w:rsid w:val="7EA92E9E"/>
    <w:rsid w:val="7EC169E3"/>
    <w:rsid w:val="7F5B2D73"/>
    <w:rsid w:val="7F7846EA"/>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9686</Words>
  <Characters>10286</Characters>
  <Lines>293</Lines>
  <Paragraphs>82</Paragraphs>
  <TotalTime>13</TotalTime>
  <ScaleCrop>false</ScaleCrop>
  <LinksUpToDate>false</LinksUpToDate>
  <CharactersWithSpaces>10485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2025-03-03T00:21:54Z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