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55AB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0305984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62D9A1B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5AE507E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51D9CFE6">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2D398CC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69CAE2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55FC00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C772F8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B9792B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301EDF9">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滁州市第一人民医院南北区污水站在线设备COD、氨氮水质分析仪及视频监控升级采购项目</w:t>
      </w:r>
    </w:p>
    <w:p w14:paraId="5589659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CZYY-2025-</w:t>
      </w:r>
      <w:r>
        <w:rPr>
          <w:rFonts w:hint="eastAsia" w:ascii="宋体" w:hAnsi="宋体" w:eastAsia="宋体"/>
          <w:b/>
          <w:color w:val="auto"/>
          <w:spacing w:val="20"/>
          <w:kern w:val="0"/>
          <w:sz w:val="32"/>
          <w:szCs w:val="32"/>
          <w:highlight w:val="none"/>
          <w:u w:val="single"/>
          <w:lang w:val="en-US" w:eastAsia="zh-CN"/>
        </w:rPr>
        <w:t>11</w:t>
      </w:r>
    </w:p>
    <w:p w14:paraId="4C68B7E2">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0E8C3984">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5A4DFD80">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608B263C">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2025年03月</w:t>
      </w:r>
    </w:p>
    <w:p w14:paraId="1B4F5485">
      <w:pPr>
        <w:rPr>
          <w:rFonts w:hint="eastAsia" w:ascii="宋体" w:hAnsi="宋体" w:eastAsia="宋体"/>
          <w:b/>
          <w:color w:val="auto"/>
          <w:sz w:val="28"/>
          <w:highlight w:val="none"/>
        </w:rPr>
      </w:pPr>
    </w:p>
    <w:p w14:paraId="46FF2416">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25B40E83">
      <w:pPr>
        <w:pStyle w:val="19"/>
        <w:tabs>
          <w:tab w:val="right" w:leader="dot" w:pos="8306"/>
        </w:tabs>
        <w:rPr>
          <w:highlight w:val="none"/>
        </w:rPr>
      </w:pPr>
      <w:r>
        <w:rPr>
          <w:rFonts w:ascii="宋体" w:hAnsi="宋体"/>
          <w:b/>
          <w:color w:val="auto"/>
          <w:sz w:val="24"/>
          <w:szCs w:val="24"/>
          <w:highlight w:val="none"/>
        </w:rPr>
        <w:fldChar w:fldCharType="begin"/>
      </w:r>
      <w:r>
        <w:rPr>
          <w:rFonts w:ascii="宋体" w:hAnsi="宋体"/>
          <w:b/>
          <w:color w:val="auto"/>
          <w:sz w:val="24"/>
          <w:szCs w:val="24"/>
          <w:highlight w:val="none"/>
        </w:rPr>
        <w:instrText xml:space="preserve"> </w:instrText>
      </w:r>
      <w:r>
        <w:rPr>
          <w:rFonts w:hint="eastAsia" w:ascii="宋体" w:hAnsi="宋体"/>
          <w:b/>
          <w:color w:val="auto"/>
          <w:sz w:val="24"/>
          <w:szCs w:val="24"/>
          <w:highlight w:val="none"/>
        </w:rPr>
        <w:instrText xml:space="preserve">TOC \o "1-2" \h \z \u</w:instrText>
      </w:r>
      <w:r>
        <w:rPr>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_Toc23443 </w:instrText>
      </w:r>
      <w:r>
        <w:rPr>
          <w:rFonts w:ascii="宋体" w:hAnsi="宋体" w:eastAsia="宋体"/>
          <w:szCs w:val="24"/>
          <w:highlight w:val="none"/>
        </w:rPr>
        <w:fldChar w:fldCharType="separate"/>
      </w:r>
      <w:r>
        <w:rPr>
          <w:rFonts w:hint="eastAsia" w:ascii="宋体" w:hAnsi="宋体" w:eastAsia="宋体"/>
          <w:highlight w:val="none"/>
        </w:rPr>
        <w:t xml:space="preserve">第一章 </w:t>
      </w:r>
      <w:r>
        <w:rPr>
          <w:rFonts w:ascii="宋体" w:hAnsi="宋体" w:eastAsia="宋体"/>
          <w:highlight w:val="none"/>
        </w:rPr>
        <w:t xml:space="preserve"> 投标邀请</w:t>
      </w:r>
      <w:r>
        <w:rPr>
          <w:highlight w:val="none"/>
        </w:rPr>
        <w:tab/>
      </w:r>
      <w:r>
        <w:rPr>
          <w:highlight w:val="none"/>
        </w:rPr>
        <w:fldChar w:fldCharType="begin"/>
      </w:r>
      <w:r>
        <w:rPr>
          <w:highlight w:val="none"/>
        </w:rPr>
        <w:instrText xml:space="preserve"> PAGEREF _Toc23443 \h </w:instrText>
      </w:r>
      <w:r>
        <w:rPr>
          <w:highlight w:val="none"/>
        </w:rPr>
        <w:fldChar w:fldCharType="separate"/>
      </w:r>
      <w:r>
        <w:rPr>
          <w:highlight w:val="none"/>
        </w:rPr>
        <w:t>1</w:t>
      </w:r>
      <w:r>
        <w:rPr>
          <w:highlight w:val="none"/>
        </w:rPr>
        <w:fldChar w:fldCharType="end"/>
      </w:r>
      <w:r>
        <w:rPr>
          <w:rFonts w:ascii="宋体" w:hAnsi="宋体" w:eastAsia="宋体"/>
          <w:color w:val="auto"/>
          <w:szCs w:val="24"/>
          <w:highlight w:val="none"/>
        </w:rPr>
        <w:fldChar w:fldCharType="end"/>
      </w:r>
    </w:p>
    <w:p w14:paraId="37887505">
      <w:pPr>
        <w:pStyle w:val="19"/>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_Toc31935 </w:instrText>
      </w:r>
      <w:r>
        <w:rPr>
          <w:rFonts w:ascii="宋体" w:hAnsi="宋体" w:eastAsia="宋体"/>
          <w:szCs w:val="24"/>
          <w:highlight w:val="none"/>
        </w:rPr>
        <w:fldChar w:fldCharType="separate"/>
      </w:r>
      <w:r>
        <w:rPr>
          <w:rFonts w:hint="eastAsia" w:ascii="宋体" w:hAnsi="宋体" w:eastAsia="宋体"/>
          <w:highlight w:val="none"/>
        </w:rPr>
        <w:t>第二章</w:t>
      </w:r>
      <w:r>
        <w:rPr>
          <w:rFonts w:ascii="宋体" w:hAnsi="宋体" w:eastAsia="宋体"/>
          <w:highlight w:val="none"/>
        </w:rPr>
        <w:t xml:space="preserve"> </w:t>
      </w:r>
      <w:r>
        <w:rPr>
          <w:rFonts w:hint="eastAsia" w:ascii="宋体" w:hAnsi="宋体" w:eastAsia="宋体"/>
          <w:highlight w:val="none"/>
        </w:rPr>
        <w:t xml:space="preserve"> </w:t>
      </w:r>
      <w:r>
        <w:rPr>
          <w:rFonts w:ascii="宋体" w:hAnsi="宋体" w:eastAsia="宋体"/>
          <w:highlight w:val="none"/>
        </w:rPr>
        <w:t>投标人须知</w:t>
      </w:r>
      <w:r>
        <w:rPr>
          <w:highlight w:val="none"/>
        </w:rPr>
        <w:tab/>
      </w:r>
      <w:r>
        <w:rPr>
          <w:highlight w:val="none"/>
        </w:rPr>
        <w:fldChar w:fldCharType="begin"/>
      </w:r>
      <w:r>
        <w:rPr>
          <w:highlight w:val="none"/>
        </w:rPr>
        <w:instrText xml:space="preserve"> PAGEREF _Toc31935 \h </w:instrText>
      </w:r>
      <w:r>
        <w:rPr>
          <w:highlight w:val="none"/>
        </w:rPr>
        <w:fldChar w:fldCharType="separate"/>
      </w:r>
      <w:r>
        <w:rPr>
          <w:highlight w:val="none"/>
        </w:rPr>
        <w:t>4</w:t>
      </w:r>
      <w:r>
        <w:rPr>
          <w:highlight w:val="none"/>
        </w:rPr>
        <w:fldChar w:fldCharType="end"/>
      </w:r>
      <w:r>
        <w:rPr>
          <w:rFonts w:ascii="宋体" w:hAnsi="宋体" w:eastAsia="宋体"/>
          <w:color w:val="auto"/>
          <w:szCs w:val="24"/>
          <w:highlight w:val="none"/>
        </w:rPr>
        <w:fldChar w:fldCharType="end"/>
      </w:r>
    </w:p>
    <w:p w14:paraId="0BD542EE">
      <w:pPr>
        <w:pStyle w:val="19"/>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_Toc10891 </w:instrText>
      </w:r>
      <w:r>
        <w:rPr>
          <w:rFonts w:ascii="宋体" w:hAnsi="宋体" w:eastAsia="宋体"/>
          <w:szCs w:val="24"/>
          <w:highlight w:val="none"/>
        </w:rPr>
        <w:fldChar w:fldCharType="separate"/>
      </w:r>
      <w:r>
        <w:rPr>
          <w:rFonts w:hint="eastAsia" w:ascii="宋体" w:hAnsi="宋体" w:eastAsia="宋体"/>
          <w:highlight w:val="none"/>
        </w:rPr>
        <w:t>第三章  采购需求</w:t>
      </w:r>
      <w:r>
        <w:rPr>
          <w:highlight w:val="none"/>
        </w:rPr>
        <w:tab/>
      </w:r>
      <w:r>
        <w:rPr>
          <w:highlight w:val="none"/>
        </w:rPr>
        <w:fldChar w:fldCharType="begin"/>
      </w:r>
      <w:r>
        <w:rPr>
          <w:highlight w:val="none"/>
        </w:rPr>
        <w:instrText xml:space="preserve"> PAGEREF _Toc10891 \h </w:instrText>
      </w:r>
      <w:r>
        <w:rPr>
          <w:highlight w:val="none"/>
        </w:rPr>
        <w:fldChar w:fldCharType="separate"/>
      </w:r>
      <w:r>
        <w:rPr>
          <w:highlight w:val="none"/>
        </w:rPr>
        <w:t>18</w:t>
      </w:r>
      <w:r>
        <w:rPr>
          <w:highlight w:val="none"/>
        </w:rPr>
        <w:fldChar w:fldCharType="end"/>
      </w:r>
      <w:r>
        <w:rPr>
          <w:rFonts w:ascii="宋体" w:hAnsi="宋体" w:eastAsia="宋体"/>
          <w:color w:val="auto"/>
          <w:szCs w:val="24"/>
          <w:highlight w:val="none"/>
        </w:rPr>
        <w:fldChar w:fldCharType="end"/>
      </w:r>
    </w:p>
    <w:p w14:paraId="4EA710A4">
      <w:pPr>
        <w:pStyle w:val="19"/>
        <w:tabs>
          <w:tab w:val="right" w:leader="dot" w:pos="8306"/>
        </w:tabs>
        <w:rPr>
          <w:rFonts w:hint="eastAsia" w:eastAsia="宋体"/>
          <w:highlight w:val="none"/>
          <w:lang w:val="en-US" w:eastAsia="zh-CN"/>
        </w:rPr>
      </w:pPr>
      <w:r>
        <w:rPr>
          <w:rFonts w:hint="default" w:eastAsia="宋体" w:asciiTheme="majorAscii" w:hAnsiTheme="majorAscii"/>
          <w:color w:val="auto"/>
          <w:szCs w:val="24"/>
          <w:highlight w:val="none"/>
        </w:rPr>
        <w:fldChar w:fldCharType="begin"/>
      </w:r>
      <w:r>
        <w:rPr>
          <w:rFonts w:hint="default" w:eastAsia="宋体" w:asciiTheme="majorAscii" w:hAnsiTheme="majorAscii"/>
          <w:szCs w:val="24"/>
          <w:highlight w:val="none"/>
        </w:rPr>
        <w:instrText xml:space="preserve"> HYPERLINK \l _Toc16417 </w:instrText>
      </w:r>
      <w:r>
        <w:rPr>
          <w:rFonts w:hint="default" w:eastAsia="宋体" w:asciiTheme="majorAscii" w:hAnsiTheme="majorAscii"/>
          <w:szCs w:val="24"/>
          <w:highlight w:val="none"/>
        </w:rPr>
        <w:fldChar w:fldCharType="separate"/>
      </w:r>
      <w:r>
        <w:rPr>
          <w:rFonts w:hint="default" w:eastAsia="宋体" w:asciiTheme="majorAscii" w:hAnsiTheme="majorAscii"/>
          <w:highlight w:val="none"/>
        </w:rPr>
        <w:t>第四章  评标方法和标准（综合评分法）</w:t>
      </w:r>
      <w:r>
        <w:rPr>
          <w:rFonts w:hint="default" w:asciiTheme="majorAscii" w:hAnsiTheme="majorAscii"/>
          <w:highlight w:val="none"/>
        </w:rPr>
        <w:tab/>
      </w:r>
      <w:r>
        <w:rPr>
          <w:rFonts w:hint="default" w:asciiTheme="majorAscii" w:hAnsiTheme="majorAscii"/>
          <w:highlight w:val="none"/>
          <w:lang w:val="en-US" w:eastAsia="zh-CN"/>
        </w:rPr>
        <w:t>2</w:t>
      </w:r>
      <w:r>
        <w:rPr>
          <w:rFonts w:hint="default" w:eastAsia="宋体" w:asciiTheme="majorAscii" w:hAnsiTheme="majorAscii"/>
          <w:color w:val="auto"/>
          <w:szCs w:val="24"/>
          <w:highlight w:val="none"/>
        </w:rPr>
        <w:fldChar w:fldCharType="end"/>
      </w:r>
      <w:r>
        <w:rPr>
          <w:rFonts w:hint="default" w:asciiTheme="majorAscii" w:hAnsiTheme="majorAscii"/>
          <w:color w:val="auto"/>
          <w:szCs w:val="24"/>
          <w:highlight w:val="none"/>
          <w:lang w:val="en-US" w:eastAsia="zh-CN"/>
        </w:rPr>
        <w:t>3</w:t>
      </w:r>
    </w:p>
    <w:p w14:paraId="194FB6CB">
      <w:pPr>
        <w:pStyle w:val="19"/>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_Toc4682 </w:instrText>
      </w:r>
      <w:r>
        <w:rPr>
          <w:rFonts w:ascii="宋体" w:hAnsi="宋体" w:eastAsia="宋体"/>
          <w:szCs w:val="24"/>
          <w:highlight w:val="none"/>
        </w:rPr>
        <w:fldChar w:fldCharType="separate"/>
      </w:r>
      <w:r>
        <w:rPr>
          <w:rFonts w:hint="eastAsia" w:ascii="宋体" w:hAnsi="宋体" w:eastAsia="宋体"/>
          <w:highlight w:val="none"/>
        </w:rPr>
        <w:t xml:space="preserve">第五章  </w:t>
      </w:r>
      <w:r>
        <w:rPr>
          <w:rFonts w:ascii="宋体" w:hAnsi="宋体" w:eastAsia="宋体"/>
          <w:highlight w:val="none"/>
        </w:rPr>
        <w:t>政府采购合同</w:t>
      </w:r>
      <w:r>
        <w:rPr>
          <w:highlight w:val="none"/>
        </w:rPr>
        <w:tab/>
      </w:r>
      <w:r>
        <w:rPr>
          <w:highlight w:val="none"/>
        </w:rPr>
        <w:fldChar w:fldCharType="begin"/>
      </w:r>
      <w:r>
        <w:rPr>
          <w:highlight w:val="none"/>
        </w:rPr>
        <w:instrText xml:space="preserve"> PAGEREF _Toc4682 \h </w:instrText>
      </w:r>
      <w:r>
        <w:rPr>
          <w:highlight w:val="none"/>
        </w:rPr>
        <w:fldChar w:fldCharType="separate"/>
      </w:r>
      <w:r>
        <w:rPr>
          <w:highlight w:val="none"/>
        </w:rPr>
        <w:t>27</w:t>
      </w:r>
      <w:r>
        <w:rPr>
          <w:highlight w:val="none"/>
        </w:rPr>
        <w:fldChar w:fldCharType="end"/>
      </w:r>
      <w:r>
        <w:rPr>
          <w:rFonts w:ascii="宋体" w:hAnsi="宋体" w:eastAsia="宋体"/>
          <w:color w:val="auto"/>
          <w:szCs w:val="24"/>
          <w:highlight w:val="none"/>
        </w:rPr>
        <w:fldChar w:fldCharType="end"/>
      </w:r>
    </w:p>
    <w:p w14:paraId="35876A4D">
      <w:pPr>
        <w:pStyle w:val="19"/>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_Toc22492 </w:instrText>
      </w:r>
      <w:r>
        <w:rPr>
          <w:rFonts w:ascii="宋体" w:hAnsi="宋体" w:eastAsia="宋体"/>
          <w:szCs w:val="24"/>
          <w:highlight w:val="none"/>
        </w:rPr>
        <w:fldChar w:fldCharType="separate"/>
      </w:r>
      <w:r>
        <w:rPr>
          <w:rFonts w:hint="eastAsia" w:ascii="宋体" w:hAnsi="宋体" w:eastAsia="宋体"/>
          <w:highlight w:val="none"/>
        </w:rPr>
        <w:t>第六章  投标文件格式</w:t>
      </w:r>
      <w:r>
        <w:rPr>
          <w:highlight w:val="none"/>
        </w:rPr>
        <w:tab/>
      </w:r>
      <w:r>
        <w:rPr>
          <w:highlight w:val="none"/>
        </w:rPr>
        <w:fldChar w:fldCharType="begin"/>
      </w:r>
      <w:r>
        <w:rPr>
          <w:highlight w:val="none"/>
        </w:rPr>
        <w:instrText xml:space="preserve"> PAGEREF _Toc22492 \h </w:instrText>
      </w:r>
      <w:r>
        <w:rPr>
          <w:highlight w:val="none"/>
        </w:rPr>
        <w:fldChar w:fldCharType="separate"/>
      </w:r>
      <w:r>
        <w:rPr>
          <w:highlight w:val="none"/>
        </w:rPr>
        <w:t>44</w:t>
      </w:r>
      <w:r>
        <w:rPr>
          <w:highlight w:val="none"/>
        </w:rPr>
        <w:fldChar w:fldCharType="end"/>
      </w:r>
      <w:r>
        <w:rPr>
          <w:rFonts w:ascii="宋体" w:hAnsi="宋体" w:eastAsia="宋体"/>
          <w:color w:val="auto"/>
          <w:szCs w:val="24"/>
          <w:highlight w:val="none"/>
        </w:rPr>
        <w:fldChar w:fldCharType="end"/>
      </w:r>
    </w:p>
    <w:p w14:paraId="4E95476C">
      <w:pPr>
        <w:pStyle w:val="19"/>
        <w:tabs>
          <w:tab w:val="right" w:leader="dot" w:pos="8306"/>
        </w:tabs>
        <w:rPr>
          <w:rFonts w:hint="eastAsia" w:eastAsia="宋体"/>
          <w:highlight w:val="none"/>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_Toc18131 </w:instrText>
      </w:r>
      <w:r>
        <w:rPr>
          <w:rFonts w:ascii="宋体" w:hAnsi="宋体" w:eastAsia="宋体"/>
          <w:szCs w:val="24"/>
          <w:highlight w:val="none"/>
        </w:rPr>
        <w:fldChar w:fldCharType="separate"/>
      </w:r>
      <w:r>
        <w:rPr>
          <w:rFonts w:hint="eastAsia" w:ascii="宋体" w:hAnsi="宋体" w:eastAsia="宋体"/>
          <w:highlight w:val="none"/>
        </w:rPr>
        <w:t>第</w:t>
      </w:r>
      <w:r>
        <w:rPr>
          <w:rFonts w:hint="eastAsia" w:ascii="宋体" w:hAnsi="宋体" w:eastAsia="宋体"/>
          <w:highlight w:val="none"/>
          <w:lang w:val="en-US" w:eastAsia="zh-CN"/>
        </w:rPr>
        <w:t>七</w:t>
      </w:r>
      <w:r>
        <w:rPr>
          <w:rFonts w:hint="eastAsia" w:ascii="宋体" w:hAnsi="宋体" w:eastAsia="宋体"/>
          <w:highlight w:val="none"/>
        </w:rPr>
        <w:t>章</w:t>
      </w:r>
      <w:r>
        <w:rPr>
          <w:rFonts w:hint="eastAsia" w:ascii="宋体" w:hAnsi="宋体" w:eastAsia="宋体"/>
          <w:bCs/>
          <w:highlight w:val="none"/>
        </w:rPr>
        <w:t xml:space="preserve">  政府采购</w:t>
      </w:r>
      <w:r>
        <w:rPr>
          <w:rFonts w:hint="eastAsia" w:ascii="宋体" w:hAnsi="宋体" w:eastAsia="宋体"/>
          <w:highlight w:val="none"/>
        </w:rPr>
        <w:t>供应</w:t>
      </w:r>
      <w:r>
        <w:rPr>
          <w:rFonts w:hint="eastAsia" w:ascii="宋体" w:hAnsi="宋体" w:eastAsia="宋体"/>
          <w:bCs/>
          <w:highlight w:val="none"/>
        </w:rPr>
        <w:t>商询问函和质疑函范本</w:t>
      </w:r>
      <w:r>
        <w:rPr>
          <w:highlight w:val="none"/>
        </w:rPr>
        <w:tab/>
      </w:r>
      <w:r>
        <w:rPr>
          <w:rFonts w:hint="eastAsia"/>
          <w:highlight w:val="none"/>
          <w:lang w:val="en-US" w:eastAsia="zh-CN"/>
        </w:rPr>
        <w:t>5</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8</w:t>
      </w:r>
    </w:p>
    <w:p w14:paraId="0596E4A6">
      <w:pPr>
        <w:spacing w:line="360" w:lineRule="auto"/>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4A9BE27D">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64AF5EA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540380B">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滁州市第一人民医院南北区污水站在线设备COD、氨氮水质分析仪及视频监控升级采购项目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2025</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03</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10</w:t>
      </w:r>
      <w:r>
        <w:rPr>
          <w:rFonts w:hint="eastAsia" w:ascii="宋体" w:hAnsi="宋体" w:eastAsia="宋体"/>
          <w:color w:val="auto"/>
          <w:sz w:val="24"/>
          <w:highlight w:val="none"/>
          <w:u w:val="single"/>
        </w:rPr>
        <w:t>日17点00分</w:t>
      </w:r>
      <w:r>
        <w:rPr>
          <w:rFonts w:hint="eastAsia" w:ascii="宋体" w:hAnsi="宋体" w:eastAsia="宋体"/>
          <w:color w:val="auto"/>
          <w:sz w:val="24"/>
          <w:highlight w:val="none"/>
        </w:rPr>
        <w:t>（北京时间）前递交投标文件。</w:t>
      </w:r>
    </w:p>
    <w:p w14:paraId="21E43607">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43118CDB">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CZYY-2025-11</w:t>
      </w:r>
    </w:p>
    <w:p w14:paraId="1FD922E3">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滁州市第一人民医院南北区污水站在线设备COD、氨氮水质分析仪及视频监控升级采购项目</w:t>
      </w:r>
    </w:p>
    <w:p w14:paraId="48FC7913">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rPr>
        <w:t>27.5万元</w:t>
      </w:r>
    </w:p>
    <w:p w14:paraId="62E2E9AE">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27.5万元，高于高于最高限价及单价最高限价其投标文件按无效投标处理。</w:t>
      </w:r>
    </w:p>
    <w:p w14:paraId="2FB5012B">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eastAsia="zh-CN"/>
        </w:rPr>
        <w:t>采购</w:t>
      </w:r>
      <w:r>
        <w:rPr>
          <w:rFonts w:hint="eastAsia" w:ascii="宋体" w:hAnsi="宋体" w:eastAsia="宋体"/>
          <w:color w:val="auto"/>
          <w:sz w:val="24"/>
          <w:highlight w:val="none"/>
          <w:u w:val="single"/>
          <w:lang w:val="en-US" w:eastAsia="zh-CN"/>
        </w:rPr>
        <w:t>2台</w:t>
      </w:r>
      <w:r>
        <w:rPr>
          <w:rFonts w:hint="eastAsia" w:ascii="宋体" w:hAnsi="宋体" w:eastAsia="宋体" w:cs="宋体"/>
          <w:bCs/>
          <w:color w:val="auto"/>
          <w:sz w:val="24"/>
          <w:szCs w:val="24"/>
          <w:u w:val="single"/>
        </w:rPr>
        <w:t>COD水质在线分析仪</w:t>
      </w:r>
      <w:r>
        <w:rPr>
          <w:rFonts w:hint="eastAsia" w:ascii="宋体" w:hAnsi="宋体" w:eastAsia="宋体" w:cs="宋体"/>
          <w:bCs/>
          <w:color w:val="auto"/>
          <w:sz w:val="24"/>
          <w:szCs w:val="24"/>
          <w:u w:val="single"/>
          <w:lang w:eastAsia="zh-CN"/>
        </w:rPr>
        <w:t>、</w:t>
      </w:r>
      <w:r>
        <w:rPr>
          <w:rFonts w:hint="eastAsia" w:ascii="宋体" w:hAnsi="宋体" w:eastAsia="宋体" w:cs="宋体"/>
          <w:bCs/>
          <w:color w:val="auto"/>
          <w:sz w:val="24"/>
          <w:szCs w:val="24"/>
          <w:u w:val="single"/>
          <w:lang w:val="en-US" w:eastAsia="zh-CN"/>
        </w:rPr>
        <w:t>2台</w:t>
      </w:r>
      <w:r>
        <w:rPr>
          <w:rFonts w:hint="eastAsia" w:ascii="宋体" w:hAnsi="宋体" w:eastAsia="宋体" w:cs="宋体"/>
          <w:bCs/>
          <w:color w:val="auto"/>
          <w:sz w:val="24"/>
          <w:szCs w:val="24"/>
          <w:u w:val="single"/>
          <w:lang w:eastAsia="zh-CN"/>
        </w:rPr>
        <w:t>氨氮水质在线分析仪、</w:t>
      </w:r>
      <w:r>
        <w:rPr>
          <w:rFonts w:hint="eastAsia" w:ascii="宋体" w:hAnsi="宋体" w:eastAsia="宋体" w:cs="宋体"/>
          <w:bCs/>
          <w:color w:val="auto"/>
          <w:sz w:val="24"/>
          <w:szCs w:val="24"/>
          <w:u w:val="single"/>
          <w:lang w:val="en-US" w:eastAsia="zh-CN"/>
        </w:rPr>
        <w:t>2台视频监控系统升级。</w:t>
      </w:r>
    </w:p>
    <w:p w14:paraId="29466E46">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合同履行期限：</w:t>
      </w:r>
      <w:r>
        <w:rPr>
          <w:rFonts w:hint="eastAsia" w:ascii="宋体" w:hAnsi="宋体" w:eastAsia="宋体"/>
          <w:color w:val="auto"/>
          <w:sz w:val="24"/>
          <w:highlight w:val="none"/>
          <w:u w:val="single"/>
          <w:lang w:val="en-US" w:eastAsia="zh-CN"/>
        </w:rPr>
        <w:t>不得高于30个日历天</w:t>
      </w:r>
    </w:p>
    <w:p w14:paraId="20BA7AAB">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4B543F10">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45EF2297">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62F994DB">
      <w:pPr>
        <w:spacing w:line="360" w:lineRule="auto"/>
        <w:ind w:firstLine="435"/>
        <w:outlineLvl w:val="9"/>
        <w:rPr>
          <w:rFonts w:hint="default" w:ascii="宋体" w:hAnsi="宋体" w:eastAsia="宋体"/>
          <w:color w:val="auto"/>
          <w:sz w:val="24"/>
          <w:highlight w:val="none"/>
          <w:lang w:val="en-US"/>
        </w:rPr>
      </w:pPr>
      <w:r>
        <w:rPr>
          <w:rFonts w:hint="eastAsia" w:ascii="宋体" w:hAnsi="宋体" w:eastAsia="宋体"/>
          <w:color w:val="auto"/>
          <w:sz w:val="24"/>
          <w:highlight w:val="none"/>
          <w:lang w:val="en-US" w:eastAsia="zh-CN"/>
        </w:rPr>
        <w:t>2.落实政府采购政策需满足的资格要求：</w:t>
      </w:r>
      <w:r>
        <w:rPr>
          <w:rFonts w:hint="eastAsia" w:ascii="宋体" w:hAnsi="宋体" w:eastAsia="宋体" w:cs="宋体"/>
          <w:color w:val="auto"/>
          <w:sz w:val="24"/>
          <w:szCs w:val="24"/>
          <w:highlight w:val="none"/>
          <w:u w:val="single"/>
          <w:shd w:val="clear" w:color="auto" w:fill="FFFFFF"/>
          <w:lang w:val="en-US" w:eastAsia="zh-CN"/>
        </w:rPr>
        <w:t>按照财政部、工业和信息化部制定的《政府采购促进中小企业发展管理办法》第六条第三款之规定（按照本办法规定预留采购份额无法确保充分供应、充分竞争，或者存在可能影响政府采购目标实现的情形），为非专门面向中小企业采购项目</w:t>
      </w:r>
      <w:r>
        <w:rPr>
          <w:rFonts w:hint="eastAsia" w:ascii="宋体" w:hAnsi="宋体" w:eastAsia="宋体"/>
          <w:color w:val="auto"/>
          <w:sz w:val="24"/>
          <w:highlight w:val="none"/>
          <w:lang w:val="en-US" w:eastAsia="zh-CN"/>
        </w:rPr>
        <w:t>；</w:t>
      </w:r>
    </w:p>
    <w:p w14:paraId="24501810">
      <w:pPr>
        <w:spacing w:line="360" w:lineRule="auto"/>
        <w:ind w:firstLine="435"/>
        <w:outlineLvl w:val="9"/>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3.本项目的特定资格要求：</w:t>
      </w:r>
      <w:r>
        <w:rPr>
          <w:rFonts w:hint="eastAsia" w:ascii="宋体" w:hAnsi="宋体" w:eastAsia="宋体"/>
          <w:color w:val="auto"/>
          <w:sz w:val="24"/>
          <w:highlight w:val="none"/>
          <w:u w:val="single"/>
          <w:lang w:val="en-US" w:eastAsia="zh-CN"/>
        </w:rPr>
        <w:t>无；</w:t>
      </w:r>
    </w:p>
    <w:p w14:paraId="24466328">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4.信誉要求：投标人不得存在以下情形： </w:t>
      </w:r>
    </w:p>
    <w:p w14:paraId="28BC35D0">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0B98225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49B2D60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353B96E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4058B790">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2953AA27">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0217C3D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5.投标人所属分公司、办事处等分支机构存在第 4 款信誉要求①-⑥项 情形之一的，接受投标人参加本项目。 </w:t>
      </w:r>
    </w:p>
    <w:p w14:paraId="13E972E2">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4、5 条按照“关于联合惩戒失信行为加强信用查询管理的通知”查询或承诺。</w:t>
      </w:r>
    </w:p>
    <w:p w14:paraId="30B444D7">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DBE1F1E">
      <w:pPr>
        <w:spacing w:line="360" w:lineRule="auto"/>
        <w:ind w:firstLine="540"/>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03</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03</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03</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none"/>
        </w:rPr>
        <w:t>日</w:t>
      </w:r>
    </w:p>
    <w:p w14:paraId="1910AF6B">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滁州市第一人民医院官网</w:t>
      </w:r>
    </w:p>
    <w:p w14:paraId="1CAE1376">
      <w:pPr>
        <w:spacing w:line="360" w:lineRule="auto"/>
        <w:ind w:firstLine="54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4B5B957B">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3EBB7F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2025</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03</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10</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17</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AB8EC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地点：滁州市第一人民医院南区行政楼五楼西招标办</w:t>
      </w:r>
    </w:p>
    <w:p w14:paraId="0B25BC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07BE945">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27DE3A18">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2F936D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35393795"/>
      <w:bookmarkStart w:id="14" w:name="_Toc35393626"/>
      <w:bookmarkStart w:id="15" w:name="_Toc8807"/>
      <w:r>
        <w:rPr>
          <w:rFonts w:hint="eastAsia" w:ascii="宋体" w:hAnsi="宋体" w:eastAsia="宋体"/>
          <w:b/>
          <w:bCs/>
          <w:color w:val="auto"/>
          <w:sz w:val="24"/>
          <w:szCs w:val="18"/>
          <w:highlight w:val="none"/>
        </w:rPr>
        <w:t>六、其他补充事宜</w:t>
      </w:r>
      <w:bookmarkEnd w:id="13"/>
      <w:bookmarkEnd w:id="14"/>
      <w:bookmarkEnd w:id="15"/>
    </w:p>
    <w:bookmarkEnd w:id="12"/>
    <w:p w14:paraId="6F396BC1">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307696CE">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1BF39235">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61674285">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滁州市第一人民医院</w:t>
      </w:r>
    </w:p>
    <w:p w14:paraId="344F785B">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rPr>
        <w:t>滁州市醉翁西路369号</w:t>
      </w:r>
    </w:p>
    <w:p w14:paraId="1F44B231">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1A40B666">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0550-3526032</w:t>
      </w:r>
    </w:p>
    <w:p w14:paraId="305FE730">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5F29BC5E">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356B2934">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highlight w:val="none"/>
          <w:u w:val="single"/>
          <w:shd w:val="clear" w:color="auto" w:fill="FFFFFF"/>
        </w:rPr>
        <w:t>滁州市世贸大厦A座18楼1818</w:t>
      </w:r>
    </w:p>
    <w:p w14:paraId="65051D28">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17C5524">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p>
    <w:p w14:paraId="068ED586">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0B448C86">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288A3ECB">
      <w:pPr>
        <w:spacing w:line="360" w:lineRule="auto"/>
        <w:jc w:val="center"/>
        <w:outlineLvl w:val="1"/>
        <w:rPr>
          <w:rFonts w:ascii="宋体" w:hAnsi="宋体" w:eastAsia="宋体"/>
          <w:b/>
          <w:color w:val="auto"/>
          <w:sz w:val="24"/>
          <w:highlight w:val="none"/>
        </w:rPr>
      </w:pPr>
      <w:bookmarkStart w:id="19" w:name="_Toc3114"/>
      <w:bookmarkStart w:id="20"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48E12D8A">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381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76CF368">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63F76DC6">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7D25D5A5">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743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D48C68">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0DCD90C9">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61128D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2A18DD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252749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0E395B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317B77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20863809">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3D2B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CCB32F2">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174" w:type="pct"/>
            <w:vAlign w:val="center"/>
          </w:tcPr>
          <w:p w14:paraId="41954780">
            <w:pPr>
              <w:pStyle w:val="34"/>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55EEA16A">
            <w:pPr>
              <w:pStyle w:val="34"/>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2025</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03</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06</w:t>
            </w:r>
            <w:bookmarkStart w:id="86" w:name="_GoBack"/>
            <w:bookmarkEnd w:id="86"/>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1D93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1896D6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174" w:type="pct"/>
            <w:vAlign w:val="center"/>
          </w:tcPr>
          <w:p w14:paraId="14316D89">
            <w:pPr>
              <w:pStyle w:val="34"/>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50F00E0D">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  个包</w:t>
            </w:r>
          </w:p>
          <w:p w14:paraId="6983D91D">
            <w:pPr>
              <w:pStyle w:val="34"/>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default" w:ascii="宋体" w:hAnsi="宋体" w:eastAsia="宋体"/>
                <w:b w:val="0"/>
                <w:bCs w:val="0"/>
                <w:color w:val="auto"/>
                <w:sz w:val="24"/>
                <w:szCs w:val="18"/>
                <w:highlight w:val="none"/>
                <w:u w:val="single"/>
              </w:rPr>
              <w:t xml:space="preserve">       </w:t>
            </w:r>
          </w:p>
        </w:tc>
      </w:tr>
      <w:tr w14:paraId="4C35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4A0BA75D">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174" w:type="pct"/>
            <w:vAlign w:val="center"/>
          </w:tcPr>
          <w:p w14:paraId="321EECD1">
            <w:pPr>
              <w:pStyle w:val="34"/>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17002D21">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6ECD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0A64EE">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174" w:type="pct"/>
            <w:vAlign w:val="center"/>
          </w:tcPr>
          <w:p w14:paraId="1B8E151A">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123B1E98">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2D5B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1F4909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785A8F56">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1575F362">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4FDD4DD8">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7C18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D5AB0E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174" w:type="pct"/>
            <w:vAlign w:val="center"/>
          </w:tcPr>
          <w:p w14:paraId="5403DB66">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1204D66C">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77AFBED8">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18BF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E198C4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.3</w:t>
            </w:r>
          </w:p>
        </w:tc>
        <w:tc>
          <w:tcPr>
            <w:tcW w:w="1174" w:type="pct"/>
            <w:vAlign w:val="center"/>
          </w:tcPr>
          <w:p w14:paraId="6751DE8A">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报价扣除</w:t>
            </w:r>
          </w:p>
          <w:p w14:paraId="7310A14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7E22563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（1）</w:t>
            </w:r>
            <w:r>
              <w:rPr>
                <w:rFonts w:hint="default"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10%      </w:t>
            </w:r>
            <w:r>
              <w:rPr>
                <w:rFonts w:hint="eastAsia" w:ascii="宋体" w:hAnsi="宋体" w:eastAsia="宋体"/>
                <w:b w:val="0"/>
                <w:color w:val="auto"/>
                <w:sz w:val="24"/>
                <w:highlight w:val="none"/>
              </w:rPr>
              <w:t>。</w:t>
            </w:r>
          </w:p>
          <w:p w14:paraId="7C7D7C62">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hint="default"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5A955399">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hint="default"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54282C3A">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4052C547">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szCs w:val="24"/>
                <w:highlight w:val="none"/>
                <w:u w:val="none"/>
                <w:lang w:eastAsia="zh-CN"/>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8BE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8C0F6C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235FE373">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21F74472">
            <w:pPr>
              <w:keepNext w:val="0"/>
              <w:keepLines w:val="0"/>
              <w:widowControl/>
              <w:suppressLineNumbers w:val="0"/>
              <w:spacing w:before="0" w:beforeAutospacing="0" w:after="0" w:afterAutospacing="0"/>
              <w:ind w:left="0" w:right="0"/>
              <w:jc w:val="left"/>
              <w:rPr>
                <w:rFonts w:hint="default" w:ascii="宋体" w:hAnsi="宋体" w:eastAsia="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 3 名中标候选人</w:t>
            </w:r>
          </w:p>
        </w:tc>
      </w:tr>
      <w:tr w14:paraId="4488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6E0538D">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53875805">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59F420BB">
            <w:pPr>
              <w:keepNext w:val="0"/>
              <w:keepLines w:val="0"/>
              <w:suppressLineNumbers w:val="0"/>
              <w:spacing w:before="0" w:beforeAutospacing="0" w:after="0" w:afterAutospacing="0" w:line="360" w:lineRule="auto"/>
              <w:ind w:left="0" w:right="0"/>
              <w:rPr>
                <w:rFonts w:hint="default"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51FC2BD5">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7806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E99E4F0">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default"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hint="default" w:ascii="宋体" w:hAnsi="宋体" w:eastAsia="宋体"/>
                <w:bCs/>
                <w:color w:val="auto"/>
                <w:kern w:val="2"/>
                <w:highlight w:val="none"/>
              </w:rPr>
              <w:t>.3</w:t>
            </w:r>
          </w:p>
        </w:tc>
        <w:tc>
          <w:tcPr>
            <w:tcW w:w="1174" w:type="pct"/>
            <w:vAlign w:val="center"/>
          </w:tcPr>
          <w:p w14:paraId="60B97E2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230921A3">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（1）中小企业声明函；（如有） </w:t>
            </w:r>
          </w:p>
          <w:p w14:paraId="65E97D1B">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（2）残疾人福利性单位声明函；（如有） </w:t>
            </w:r>
          </w:p>
          <w:p w14:paraId="1EB46592">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（3）中标（成交）供应商的评审总得分（适用综合 </w:t>
            </w:r>
          </w:p>
          <w:p w14:paraId="43CC615D">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评分法） </w:t>
            </w:r>
          </w:p>
          <w:p w14:paraId="4E7466B6">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（4）投标人业绩；（如有） </w:t>
            </w:r>
          </w:p>
          <w:p w14:paraId="7FE0D466">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0"/>
                <w:sz w:val="24"/>
                <w:szCs w:val="24"/>
                <w:highlight w:val="none"/>
                <w:lang w:val="en-US" w:eastAsia="zh-CN"/>
              </w:rPr>
            </w:pPr>
            <w:r>
              <w:rPr>
                <w:rFonts w:hint="eastAsia" w:ascii="宋体" w:hAnsi="宋体" w:eastAsia="宋体"/>
                <w:b w:val="0"/>
                <w:color w:val="auto"/>
                <w:sz w:val="24"/>
                <w:highlight w:val="none"/>
                <w:u w:val="none"/>
                <w:lang w:val="en-US" w:eastAsia="zh-CN"/>
              </w:rPr>
              <w:t xml:space="preserve">（5）招标文件中规定进行公示的其他内容； </w:t>
            </w:r>
          </w:p>
        </w:tc>
      </w:tr>
      <w:tr w14:paraId="0633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96F79D6">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174" w:type="pct"/>
            <w:vAlign w:val="center"/>
          </w:tcPr>
          <w:p w14:paraId="7A9B6A33">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46A928E3">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67F4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E161FDE">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174" w:type="pct"/>
            <w:vAlign w:val="center"/>
          </w:tcPr>
          <w:p w14:paraId="6C0303B8">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3E7EC8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5A43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0ECFC7D2">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174" w:type="pct"/>
            <w:vAlign w:val="center"/>
          </w:tcPr>
          <w:p w14:paraId="5BC57E1E">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2CD4793A">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43BD0769">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1F9C4AF0">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26E6C740">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5C4994A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548312FB">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5656D237">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5F2D7B4F">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23D0E6A6">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p>
          <w:p w14:paraId="6532378C">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01308B6B">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2F4F706C">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6A64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33D33B2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174" w:type="pct"/>
            <w:vAlign w:val="center"/>
          </w:tcPr>
          <w:p w14:paraId="636556D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34B92C53">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BF1B81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42F6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68FF80">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174" w:type="pct"/>
            <w:vAlign w:val="center"/>
          </w:tcPr>
          <w:p w14:paraId="2D12D556">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244" w:type="pct"/>
            <w:vAlign w:val="center"/>
          </w:tcPr>
          <w:p w14:paraId="40F53A52">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spacing w:val="14"/>
                <w:sz w:val="24"/>
                <w:szCs w:val="24"/>
                <w:highlight w:val="none"/>
              </w:rPr>
              <w:t>中标人</w:t>
            </w:r>
          </w:p>
          <w:p w14:paraId="5B695144">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6E84836A">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sz w:val="24"/>
                <w:szCs w:val="24"/>
                <w:highlight w:val="none"/>
                <w:u w:val="single" w:color="auto"/>
                <w:lang w:val="en-US" w:eastAsia="zh-CN"/>
              </w:rPr>
              <w:t>2100元</w:t>
            </w:r>
            <w:r>
              <w:rPr>
                <w:rFonts w:hint="default" w:ascii="宋体" w:hAnsi="宋体" w:cs="宋体"/>
                <w:sz w:val="24"/>
                <w:szCs w:val="24"/>
                <w:highlight w:val="none"/>
                <w:u w:val="single" w:color="auto"/>
                <w:lang w:val="en-US" w:eastAsia="zh-CN"/>
              </w:rPr>
              <w:t>（</w:t>
            </w:r>
            <w:r>
              <w:rPr>
                <w:rFonts w:hint="default" w:ascii="宋体" w:hAnsi="宋体" w:eastAsia="宋体" w:cs="宋体"/>
                <w:b w:val="0"/>
                <w:bCs w:val="0"/>
                <w:kern w:val="2"/>
                <w:sz w:val="24"/>
                <w:szCs w:val="24"/>
                <w:highlight w:val="none"/>
                <w:u w:val="single"/>
                <w:lang w:val="en-US" w:eastAsia="zh-CN" w:bidi="ar-SA"/>
              </w:rPr>
              <w:t>评审费另计，以实际发生为准）</w:t>
            </w:r>
            <w:r>
              <w:rPr>
                <w:rFonts w:hint="eastAsia" w:ascii="宋体" w:hAnsi="宋体" w:eastAsia="宋体" w:cs="宋体"/>
                <w:b w:val="0"/>
                <w:bCs w:val="0"/>
                <w:kern w:val="2"/>
                <w:sz w:val="24"/>
                <w:szCs w:val="24"/>
                <w:highlight w:val="none"/>
                <w:u w:val="single"/>
                <w:lang w:val="en-US" w:eastAsia="zh-CN" w:bidi="ar-SA"/>
              </w:rPr>
              <w:t xml:space="preserve"> </w:t>
            </w:r>
          </w:p>
        </w:tc>
      </w:tr>
      <w:tr w14:paraId="4821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D44B2C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2963F895">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58534070">
            <w:pPr>
              <w:keepNext w:val="0"/>
              <w:keepLines w:val="0"/>
              <w:widowControl/>
              <w:suppressLineNumbers w:val="0"/>
              <w:spacing w:before="0" w:beforeAutospacing="0" w:after="0" w:afterAutospacing="0"/>
              <w:ind w:left="0" w:right="0"/>
              <w:jc w:val="left"/>
              <w:rPr>
                <w:rFonts w:hint="default"/>
                <w:b w:val="0"/>
                <w:bCs w:val="0"/>
                <w:szCs w:val="20"/>
                <w:highlight w:val="none"/>
                <w:u w:val="single"/>
              </w:rPr>
            </w:pPr>
            <w:r>
              <w:rPr>
                <w:rFonts w:hint="eastAsia" w:ascii="宋体" w:hAnsi="宋体" w:eastAsia="宋体"/>
                <w:b w:val="0"/>
                <w:color w:val="auto"/>
                <w:sz w:val="24"/>
                <w:szCs w:val="20"/>
                <w:highlight w:val="none"/>
              </w:rPr>
              <w:t>递交方式：</w:t>
            </w:r>
            <w:r>
              <w:rPr>
                <w:rFonts w:hint="eastAsia" w:ascii="宋体" w:hAnsi="宋体" w:eastAsia="宋体" w:cs="宋体"/>
                <w:b w:val="0"/>
                <w:bCs w:val="0"/>
                <w:color w:val="000000"/>
                <w:kern w:val="0"/>
                <w:sz w:val="24"/>
                <w:szCs w:val="24"/>
                <w:highlight w:val="none"/>
                <w:u w:val="single"/>
                <w:lang w:val="en-US" w:eastAsia="zh-CN"/>
              </w:rPr>
              <w:t xml:space="preserve">投标人通过书面形式提出，一份质疑函只能针对一个项目提出质疑，且针对同一采购程序 </w:t>
            </w:r>
          </w:p>
          <w:p w14:paraId="1FB5F718">
            <w:pPr>
              <w:keepNext w:val="0"/>
              <w:keepLines w:val="0"/>
              <w:widowControl/>
              <w:suppressLineNumbers w:val="0"/>
              <w:spacing w:before="0" w:beforeAutospacing="0" w:after="0" w:afterAutospacing="0"/>
              <w:ind w:left="0" w:right="0"/>
              <w:jc w:val="left"/>
              <w:rPr>
                <w:rFonts w:hint="default"/>
                <w:b w:val="0"/>
                <w:bCs w:val="0"/>
                <w:szCs w:val="20"/>
                <w:highlight w:val="none"/>
                <w:u w:val="single"/>
              </w:rPr>
            </w:pPr>
            <w:r>
              <w:rPr>
                <w:rFonts w:hint="eastAsia" w:ascii="宋体" w:hAnsi="宋体" w:eastAsia="宋体" w:cs="宋体"/>
                <w:b w:val="0"/>
                <w:bCs w:val="0"/>
                <w:color w:val="000000"/>
                <w:kern w:val="0"/>
                <w:sz w:val="24"/>
                <w:szCs w:val="24"/>
                <w:highlight w:val="none"/>
                <w:u w:val="single"/>
                <w:lang w:val="en-US" w:eastAsia="zh-CN"/>
              </w:rPr>
              <w:t>环节的质疑应当一次性提出。</w:t>
            </w:r>
          </w:p>
          <w:p w14:paraId="0119F261">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1D2B15D9">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w:t>
            </w:r>
          </w:p>
          <w:p w14:paraId="3863251C">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滁州市醉翁西路369号或滁州市世贸大厦A座18楼1818</w:t>
            </w:r>
          </w:p>
        </w:tc>
      </w:tr>
      <w:tr w14:paraId="5B82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A1C5FE0">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1257769B">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62A4D00B">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2F576B8E">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0E66B082">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39671379">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2AB3BBAC">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2E586AB1">
            <w:pPr>
              <w:pStyle w:val="34"/>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仿宋_GB2312"/>
                <w:b w:val="0"/>
                <w:bCs/>
                <w:color w:val="auto"/>
                <w:kern w:val="2"/>
                <w:sz w:val="24"/>
                <w:szCs w:val="24"/>
                <w:highlight w:val="none"/>
                <w:lang w:val="en-US" w:eastAsia="zh-CN" w:bidi="ar-SA"/>
              </w:rPr>
            </w:pPr>
            <w:r>
              <w:rPr>
                <w:rFonts w:hint="eastAsia" w:ascii="宋体" w:hAnsi="宋体" w:eastAsia="宋体" w:cs="@仿宋_GB2312"/>
                <w:b w:val="0"/>
                <w:bCs/>
                <w:color w:val="auto"/>
                <w:kern w:val="2"/>
                <w:sz w:val="24"/>
                <w:szCs w:val="24"/>
                <w:highlight w:val="none"/>
                <w:lang w:val="en-US" w:eastAsia="zh-CN" w:bidi="ar-SA"/>
              </w:rPr>
              <w:t>（5）</w:t>
            </w:r>
            <w:r>
              <w:rPr>
                <w:rFonts w:hint="default" w:ascii="宋体" w:hAnsi="宋体" w:eastAsia="宋体" w:cs="@仿宋_GB2312"/>
                <w:b w:val="0"/>
                <w:bCs/>
                <w:color w:val="auto"/>
                <w:kern w:val="2"/>
                <w:sz w:val="24"/>
                <w:szCs w:val="24"/>
                <w:highlight w:val="none"/>
                <w:lang w:val="en-US" w:eastAsia="zh-CN" w:bidi="ar-SA"/>
              </w:rPr>
              <w:t>按本款前述规定仍不能形成结论的，由</w:t>
            </w:r>
            <w:r>
              <w:rPr>
                <w:rFonts w:hint="eastAsia" w:ascii="宋体" w:hAnsi="宋体" w:eastAsia="宋体" w:cs="@仿宋_GB2312"/>
                <w:b w:val="0"/>
                <w:bCs/>
                <w:color w:val="auto"/>
                <w:kern w:val="2"/>
                <w:sz w:val="24"/>
                <w:szCs w:val="24"/>
                <w:highlight w:val="none"/>
                <w:lang w:val="en-US" w:eastAsia="zh-CN" w:bidi="ar-SA"/>
              </w:rPr>
              <w:t>采购</w:t>
            </w:r>
            <w:r>
              <w:rPr>
                <w:rFonts w:hint="default" w:ascii="宋体" w:hAnsi="宋体" w:eastAsia="宋体" w:cs="@仿宋_GB2312"/>
                <w:b w:val="0"/>
                <w:bCs/>
                <w:color w:val="auto"/>
                <w:kern w:val="2"/>
                <w:sz w:val="24"/>
                <w:szCs w:val="24"/>
                <w:highlight w:val="none"/>
                <w:lang w:val="en-US" w:eastAsia="zh-CN" w:bidi="ar-SA"/>
              </w:rPr>
              <w:t>人负责解释。</w:t>
            </w:r>
          </w:p>
          <w:p w14:paraId="3AEA41CE">
            <w:pPr>
              <w:pStyle w:val="34"/>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4D7C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E0D23ED">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2033" w:type="dxa"/>
            <w:vAlign w:val="center"/>
          </w:tcPr>
          <w:p w14:paraId="5E61D60E">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5618" w:type="dxa"/>
            <w:vAlign w:val="center"/>
          </w:tcPr>
          <w:p w14:paraId="1D66322A">
            <w:pPr>
              <w:keepNext w:val="0"/>
              <w:keepLines w:val="0"/>
              <w:suppressLineNumbers w:val="0"/>
              <w:spacing w:before="0" w:beforeAutospacing="0" w:after="0" w:afterAutospacing="0" w:line="360" w:lineRule="auto"/>
              <w:ind w:left="0" w:right="0"/>
              <w:rPr>
                <w:rFonts w:hint="eastAsia" w:ascii="宋体" w:hAnsi="宋体" w:eastAsia="宋体" w:cs="@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7DD5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FE71D8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2033" w:type="dxa"/>
            <w:vAlign w:val="center"/>
          </w:tcPr>
          <w:p w14:paraId="43C3A94A">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5618" w:type="dxa"/>
            <w:vAlign w:val="center"/>
          </w:tcPr>
          <w:p w14:paraId="006E5D9B">
            <w:pPr>
              <w:keepNext w:val="0"/>
              <w:keepLines w:val="0"/>
              <w:suppressLineNumbers w:val="0"/>
              <w:spacing w:before="0" w:beforeAutospacing="0" w:after="0" w:afterAutospacing="0" w:line="360" w:lineRule="auto"/>
              <w:ind w:left="0" w:right="0"/>
              <w:rPr>
                <w:rFonts w:hint="eastAsia" w:ascii="宋体" w:hAnsi="宋体" w:eastAsia="宋体" w:cs="@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0FBA4D3D">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24882"/>
      <w:bookmarkStart w:id="22" w:name="_Toc14880"/>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7F00168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7F8CD4A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02C2BC7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4605CAE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3AAB90D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343B4B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124E23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01198B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774F45A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6A54FBB4">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5254C7D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1E15FB18">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6E9C3F4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464F0B74">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087B79F3">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552865E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35843D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01F58CD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5F389ABF">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4A463281">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2CDFA31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24FE3B8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78E8BDDE">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63D1EB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51BC2DE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09D05DE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38E191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4DFFE8B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滁州市第一人民医院官网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71379C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C3898E5">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01C549B9">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021571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5AFC28D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52E9622">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69BA59B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DFFA97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2734F3E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18CE29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2E27982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7368F37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0435D6D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5F6727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279816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791FB48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BADF8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4BC1258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21686E6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5F11E2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04B66C3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5AEA24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DB2385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0916347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019ECE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60F2F8A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132F598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26F98CF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1553D8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2D9FEC7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54AD288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6BC76409">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088AB9E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40679897">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1A374F7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73627A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61F98EE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5A8B77AC">
      <w:pPr>
        <w:spacing w:line="360" w:lineRule="auto"/>
        <w:ind w:firstLine="435"/>
        <w:rPr>
          <w:rFonts w:ascii="宋体" w:hAnsi="宋体" w:eastAsia="宋体"/>
          <w:b/>
          <w:bCs/>
          <w:color w:val="auto"/>
          <w:sz w:val="24"/>
          <w:highlight w:val="none"/>
        </w:rPr>
      </w:pPr>
      <w:r>
        <w:rPr>
          <w:rFonts w:hint="eastAsia" w:ascii="宋体" w:hAnsi="宋体" w:eastAsia="宋体"/>
          <w:b/>
          <w:bCs/>
          <w:color w:val="auto"/>
          <w:sz w:val="24"/>
          <w:highlight w:val="none"/>
          <w:lang w:val="en-US" w:eastAsia="zh-CN"/>
        </w:rPr>
        <w:t>15</w:t>
      </w:r>
      <w:r>
        <w:rPr>
          <w:rFonts w:ascii="宋体" w:hAnsi="宋体" w:eastAsia="宋体"/>
          <w:b/>
          <w:bCs/>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b/>
          <w:bCs/>
          <w:color w:val="auto"/>
          <w:sz w:val="24"/>
          <w:highlight w:val="none"/>
        </w:rPr>
        <w:t>方</w:t>
      </w:r>
      <w:r>
        <w:rPr>
          <w:rFonts w:ascii="宋体" w:hAnsi="宋体" w:eastAsia="宋体"/>
          <w:b/>
          <w:bCs/>
          <w:color w:val="auto"/>
          <w:sz w:val="24"/>
          <w:highlight w:val="none"/>
        </w:rPr>
        <w:t>法</w:t>
      </w:r>
      <w:r>
        <w:rPr>
          <w:rFonts w:hint="eastAsia" w:ascii="宋体" w:hAnsi="宋体" w:eastAsia="宋体"/>
          <w:b/>
          <w:bCs/>
          <w:color w:val="auto"/>
          <w:sz w:val="24"/>
          <w:highlight w:val="none"/>
        </w:rPr>
        <w:t>和标准</w:t>
      </w:r>
      <w:r>
        <w:rPr>
          <w:rFonts w:ascii="宋体" w:hAnsi="宋体" w:eastAsia="宋体"/>
          <w:b/>
          <w:bCs/>
          <w:color w:val="auto"/>
          <w:sz w:val="24"/>
          <w:highlight w:val="none"/>
        </w:rPr>
        <w:t>规定的方式确定一个投标人获得中标人推荐资格；未规定的采取随机抽取方式确定，其他同品牌投标人不作为中标候选人。</w:t>
      </w:r>
    </w:p>
    <w:p w14:paraId="3C21C5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2D728D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381158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0019AB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112C5AC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1CFD457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4C447DC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444D0D0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A15131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7C7E69A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2110428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DE31C11">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6CB7999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5BD1D13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05FBB9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7573CF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3AC44A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20540A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4EA1E52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33D8857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03D799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007B890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13F232C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745C660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6E33A2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077694A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74B86FD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A678D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78799A7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11BB55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7D9CB4B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41FC93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5CA2E1F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5666D67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34FF0E4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20EF445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21D1A0A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244418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444084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1435B90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8D29C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3C74E68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9839F66">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28F9C91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7F0E8AD7">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6F8D407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6EFC307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05CE028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094B87C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647AB796">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368F661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EA7314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2DCFC55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378EB7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滁州市第一人民医院官网</w:t>
      </w:r>
      <w:r>
        <w:rPr>
          <w:rFonts w:hint="eastAsia" w:ascii="宋体" w:hAnsi="宋体" w:eastAsia="宋体"/>
          <w:color w:val="auto"/>
          <w:sz w:val="24"/>
          <w:szCs w:val="18"/>
          <w:highlight w:val="none"/>
        </w:rPr>
        <w:t>（http://www.czdyrmyy.com/index.asp）上发布中标结果公告。</w:t>
      </w:r>
    </w:p>
    <w:p w14:paraId="53F073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2A66874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5594475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41B7BBC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272A64E3">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08A9895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795D85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37676951">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53A69F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1C76A696">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5904BFB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1013E47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440D8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5BD591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10079D2">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069BE238">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4A7DE8E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2DDEAB5A">
      <w:pPr>
        <w:spacing w:line="360" w:lineRule="auto"/>
        <w:ind w:firstLine="437"/>
        <w:outlineLvl w:val="2"/>
        <w:rPr>
          <w:rFonts w:ascii="宋体" w:hAnsi="宋体" w:eastAsia="宋体"/>
          <w:b/>
          <w:color w:val="auto"/>
          <w:sz w:val="24"/>
          <w:highlight w:val="none"/>
        </w:rPr>
      </w:pPr>
      <w:bookmarkStart w:id="25" w:name="_Toc2583661"/>
      <w:bookmarkStart w:id="26" w:name="_Toc518923100"/>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2349BE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77C167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7D4BC872">
      <w:pPr>
        <w:spacing w:line="360" w:lineRule="auto"/>
        <w:ind w:firstLine="437"/>
        <w:outlineLvl w:val="2"/>
        <w:rPr>
          <w:rFonts w:ascii="宋体" w:hAnsi="宋体" w:eastAsia="宋体"/>
          <w:b/>
          <w:color w:val="auto"/>
          <w:sz w:val="24"/>
          <w:highlight w:val="none"/>
        </w:rPr>
      </w:pPr>
      <w:bookmarkStart w:id="27" w:name="_Toc2583662"/>
      <w:bookmarkStart w:id="28" w:name="_Toc518923101"/>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11254348">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1542B37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673380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30DEFAD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E9C326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565F9433">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08C1F48B">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6FCFBF84">
      <w:pPr>
        <w:spacing w:line="360" w:lineRule="auto"/>
        <w:ind w:firstLine="437"/>
        <w:outlineLvl w:val="1"/>
        <w:rPr>
          <w:rFonts w:hint="eastAsia" w:ascii="宋体" w:hAnsi="宋体" w:eastAsia="宋体"/>
          <w:b/>
          <w:color w:val="auto"/>
          <w:sz w:val="24"/>
          <w:szCs w:val="18"/>
          <w:highlight w:val="none"/>
        </w:rPr>
      </w:pPr>
      <w:bookmarkStart w:id="30" w:name="_Toc32151"/>
      <w:bookmarkStart w:id="31" w:name="_Toc2554"/>
      <w:r>
        <w:rPr>
          <w:rFonts w:hint="eastAsia" w:ascii="宋体" w:hAnsi="宋体" w:eastAsia="宋体"/>
          <w:b/>
          <w:color w:val="auto"/>
          <w:sz w:val="24"/>
          <w:szCs w:val="18"/>
          <w:highlight w:val="none"/>
        </w:rPr>
        <w:t>一、采购需求前附表</w:t>
      </w:r>
      <w:bookmarkEnd w:id="30"/>
      <w:bookmarkEnd w:id="31"/>
    </w:p>
    <w:p w14:paraId="3D28AD67">
      <w:pPr>
        <w:keepNext w:val="0"/>
        <w:keepLines w:val="0"/>
        <w:widowControl/>
        <w:suppressLineNumbers w:val="0"/>
        <w:ind w:firstLine="241" w:firstLineChars="100"/>
        <w:jc w:val="left"/>
        <w:rPr>
          <w:rFonts w:hint="eastAsia" w:ascii="宋体" w:hAnsi="宋体" w:eastAsia="宋体"/>
          <w:b/>
          <w:color w:val="auto"/>
          <w:sz w:val="24"/>
          <w:szCs w:val="18"/>
          <w:highlight w:val="none"/>
        </w:rPr>
      </w:pPr>
      <w:r>
        <w:rPr>
          <w:rFonts w:hint="eastAsia" w:ascii="宋体" w:hAnsi="宋体" w:eastAsia="宋体" w:cs="宋体"/>
          <w:b/>
          <w:bCs/>
          <w:color w:val="000000"/>
          <w:kern w:val="0"/>
          <w:sz w:val="24"/>
          <w:szCs w:val="24"/>
          <w:highlight w:val="none"/>
          <w:lang w:val="en-US" w:eastAsia="zh-CN" w:bidi="ar"/>
        </w:rPr>
        <w:t>采购标的对应的中小企业划分标准所属行业：工业。</w:t>
      </w:r>
    </w:p>
    <w:tbl>
      <w:tblPr>
        <w:tblStyle w:val="26"/>
        <w:tblW w:w="52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895"/>
      </w:tblGrid>
      <w:tr w14:paraId="4180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7AFFAA22">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137" w:type="pct"/>
            <w:vAlign w:val="center"/>
          </w:tcPr>
          <w:p w14:paraId="1FAFD39E">
            <w:pPr>
              <w:pStyle w:val="34"/>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99" w:type="pct"/>
            <w:vAlign w:val="center"/>
          </w:tcPr>
          <w:p w14:paraId="21356BB2">
            <w:pPr>
              <w:pStyle w:val="34"/>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3D22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1F3D8658">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yellow"/>
              </w:rPr>
            </w:pPr>
            <w:r>
              <w:rPr>
                <w:rFonts w:hint="eastAsia" w:ascii="宋体" w:hAnsi="宋体" w:eastAsia="宋体"/>
                <w:bCs/>
                <w:color w:val="auto"/>
                <w:kern w:val="2"/>
                <w:highlight w:val="yellow"/>
              </w:rPr>
              <w:t>1</w:t>
            </w:r>
          </w:p>
        </w:tc>
        <w:tc>
          <w:tcPr>
            <w:tcW w:w="1137" w:type="pct"/>
            <w:vAlign w:val="center"/>
          </w:tcPr>
          <w:p w14:paraId="17BF015A">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yellow"/>
              </w:rPr>
            </w:pPr>
            <w:r>
              <w:rPr>
                <w:rFonts w:hint="eastAsia" w:ascii="宋体" w:hAnsi="宋体" w:eastAsia="宋体"/>
                <w:b w:val="0"/>
                <w:color w:val="auto"/>
                <w:sz w:val="24"/>
                <w:highlight w:val="yellow"/>
              </w:rPr>
              <w:t>付款方式</w:t>
            </w:r>
          </w:p>
        </w:tc>
        <w:tc>
          <w:tcPr>
            <w:tcW w:w="3299" w:type="pct"/>
            <w:vAlign w:val="center"/>
          </w:tcPr>
          <w:p w14:paraId="02E766B0">
            <w:pPr>
              <w:keepNext w:val="0"/>
              <w:keepLines w:val="0"/>
              <w:suppressLineNumbers w:val="0"/>
              <w:spacing w:before="0" w:beforeAutospacing="0" w:after="0" w:afterAutospacing="0"/>
              <w:ind w:left="0" w:right="0"/>
              <w:rPr>
                <w:rFonts w:hint="default" w:ascii="宋体" w:hAnsi="宋体" w:eastAsia="宋体"/>
                <w:b w:val="0"/>
                <w:color w:val="auto"/>
                <w:sz w:val="24"/>
                <w:szCs w:val="20"/>
                <w:highlight w:val="yellow"/>
                <w:u w:val="single"/>
              </w:rPr>
            </w:pPr>
            <w:r>
              <w:rPr>
                <w:rFonts w:hint="eastAsia" w:ascii="宋体" w:hAnsi="宋体" w:eastAsia="宋体" w:cs="@仿宋_GB2312"/>
                <w:b w:val="0"/>
                <w:bCs/>
                <w:color w:val="auto"/>
                <w:kern w:val="0"/>
                <w:sz w:val="24"/>
                <w:szCs w:val="28"/>
                <w:highlight w:val="yellow"/>
                <w:u w:val="single"/>
                <w:lang w:val="en-US" w:eastAsia="zh-CN" w:bidi="ar-SA"/>
              </w:rPr>
              <w:t>合同签订、货物到场后付至合同价款的30%，安装调试并正常使用后付至合同价款的90%，环保验收合格后付至合同价款的100%。</w:t>
            </w:r>
          </w:p>
        </w:tc>
      </w:tr>
      <w:tr w14:paraId="78F9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3ACE7F67">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137" w:type="pct"/>
            <w:vAlign w:val="center"/>
          </w:tcPr>
          <w:p w14:paraId="28B9001B">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99" w:type="pct"/>
            <w:vAlign w:val="center"/>
          </w:tcPr>
          <w:p w14:paraId="480A9637">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7917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0839FE3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yellow"/>
              </w:rPr>
            </w:pPr>
            <w:r>
              <w:rPr>
                <w:rFonts w:hint="eastAsia" w:ascii="宋体" w:hAnsi="宋体" w:eastAsia="宋体"/>
                <w:bCs/>
                <w:color w:val="auto"/>
                <w:kern w:val="2"/>
                <w:highlight w:val="yellow"/>
              </w:rPr>
              <w:t>3</w:t>
            </w:r>
          </w:p>
        </w:tc>
        <w:tc>
          <w:tcPr>
            <w:tcW w:w="1137" w:type="pct"/>
            <w:vAlign w:val="center"/>
          </w:tcPr>
          <w:p w14:paraId="65E5C10A">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yellow"/>
              </w:rPr>
            </w:pPr>
            <w:r>
              <w:rPr>
                <w:rFonts w:hint="eastAsia" w:ascii="宋体" w:hAnsi="宋体" w:eastAsia="宋体"/>
                <w:b w:val="0"/>
                <w:color w:val="auto"/>
                <w:sz w:val="24"/>
                <w:highlight w:val="yellow"/>
              </w:rPr>
              <w:t>供货及安装期限</w:t>
            </w:r>
          </w:p>
        </w:tc>
        <w:tc>
          <w:tcPr>
            <w:tcW w:w="3299" w:type="pct"/>
            <w:vAlign w:val="center"/>
          </w:tcPr>
          <w:p w14:paraId="2A03DE77">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yellow"/>
                <w:lang w:val="en-US" w:eastAsia="zh-CN"/>
              </w:rPr>
            </w:pPr>
            <w:r>
              <w:rPr>
                <w:rFonts w:hint="eastAsia" w:ascii="宋体" w:hAnsi="宋体" w:eastAsia="宋体"/>
                <w:b w:val="0"/>
                <w:color w:val="auto"/>
                <w:sz w:val="24"/>
                <w:highlight w:val="yellow"/>
                <w:u w:val="single"/>
                <w:lang w:val="en-US" w:eastAsia="zh-CN"/>
              </w:rPr>
              <w:t>不得高于30个日历天</w:t>
            </w:r>
          </w:p>
        </w:tc>
      </w:tr>
      <w:tr w14:paraId="16E6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23CD3282">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yellow"/>
              </w:rPr>
            </w:pPr>
            <w:r>
              <w:rPr>
                <w:rFonts w:hint="eastAsia" w:ascii="宋体" w:hAnsi="宋体" w:eastAsia="宋体"/>
                <w:bCs/>
                <w:color w:val="auto"/>
                <w:kern w:val="2"/>
                <w:highlight w:val="yellow"/>
              </w:rPr>
              <w:t>4</w:t>
            </w:r>
          </w:p>
        </w:tc>
        <w:tc>
          <w:tcPr>
            <w:tcW w:w="1137" w:type="pct"/>
            <w:vAlign w:val="center"/>
          </w:tcPr>
          <w:p w14:paraId="5D605226">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yellow"/>
              </w:rPr>
            </w:pPr>
            <w:r>
              <w:rPr>
                <w:rFonts w:hint="eastAsia" w:ascii="宋体" w:hAnsi="宋体" w:eastAsia="宋体"/>
                <w:b w:val="0"/>
                <w:color w:val="auto"/>
                <w:sz w:val="24"/>
                <w:highlight w:val="yellow"/>
              </w:rPr>
              <w:t>免费质保期</w:t>
            </w:r>
          </w:p>
        </w:tc>
        <w:tc>
          <w:tcPr>
            <w:tcW w:w="3299" w:type="pct"/>
            <w:vAlign w:val="center"/>
          </w:tcPr>
          <w:p w14:paraId="4036685B">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yellow"/>
                <w:lang w:val="en-US" w:eastAsia="zh-CN"/>
              </w:rPr>
            </w:pPr>
            <w:r>
              <w:rPr>
                <w:rFonts w:hint="eastAsia" w:ascii="宋体" w:hAnsi="宋体" w:eastAsia="宋体"/>
                <w:b w:val="0"/>
                <w:color w:val="auto"/>
                <w:sz w:val="24"/>
                <w:highlight w:val="yellow"/>
                <w:u w:val="single"/>
              </w:rPr>
              <w:t xml:space="preserve"> </w:t>
            </w:r>
            <w:r>
              <w:rPr>
                <w:rFonts w:hint="eastAsia" w:ascii="宋体" w:hAnsi="宋体" w:eastAsia="宋体"/>
                <w:b w:val="0"/>
                <w:color w:val="auto"/>
                <w:sz w:val="24"/>
                <w:highlight w:val="yellow"/>
                <w:u w:val="single"/>
                <w:lang w:val="en-US" w:eastAsia="zh-CN"/>
              </w:rPr>
              <w:t>不少于二年</w:t>
            </w:r>
          </w:p>
        </w:tc>
      </w:tr>
    </w:tbl>
    <w:p w14:paraId="5C8AF61B">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kern w:val="0"/>
          <w:sz w:val="24"/>
          <w:szCs w:val="24"/>
        </w:rPr>
      </w:pPr>
      <w:bookmarkStart w:id="32" w:name="_Toc16417"/>
      <w:r>
        <w:rPr>
          <w:rFonts w:hint="eastAsia" w:ascii="宋体" w:hAnsi="宋体" w:eastAsia="宋体" w:cs="宋体"/>
          <w:b/>
          <w:bCs w:val="0"/>
          <w:snapToGrid/>
          <w:kern w:val="0"/>
          <w:sz w:val="24"/>
          <w:szCs w:val="24"/>
          <w:lang w:val="en-US" w:eastAsia="zh-CN" w:bidi="ar"/>
        </w:rPr>
        <w:t>（一）采购需求清单</w:t>
      </w:r>
    </w:p>
    <w:tbl>
      <w:tblPr>
        <w:tblStyle w:val="27"/>
        <w:tblW w:w="49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517"/>
        <w:gridCol w:w="1800"/>
        <w:gridCol w:w="800"/>
        <w:gridCol w:w="812"/>
        <w:gridCol w:w="2486"/>
      </w:tblGrid>
      <w:tr w14:paraId="2190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6" w:hRule="atLeast"/>
        </w:trPr>
        <w:tc>
          <w:tcPr>
            <w:tcW w:w="1495" w:type="pct"/>
            <w:tcBorders>
              <w:top w:val="single" w:color="auto" w:sz="4" w:space="0"/>
              <w:left w:val="single" w:color="auto" w:sz="4" w:space="0"/>
              <w:bottom w:val="single" w:color="auto" w:sz="4" w:space="0"/>
              <w:right w:val="single" w:color="auto" w:sz="4" w:space="0"/>
            </w:tcBorders>
            <w:shd w:val="clear" w:color="auto" w:fill="auto"/>
            <w:vAlign w:val="center"/>
          </w:tcPr>
          <w:p w14:paraId="00DE2A68">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宋体" w:hAnsi="宋体" w:eastAsia="宋体" w:cs="宋体"/>
                <w:b/>
                <w:bCs/>
                <w:kern w:val="0"/>
                <w:sz w:val="24"/>
                <w:szCs w:val="24"/>
              </w:rPr>
            </w:pPr>
            <w:r>
              <w:rPr>
                <w:rFonts w:hint="eastAsia" w:ascii="宋体" w:hAnsi="宋体" w:eastAsia="宋体" w:cs="宋体"/>
                <w:b/>
                <w:bCs/>
                <w:snapToGrid/>
                <w:kern w:val="0"/>
                <w:sz w:val="24"/>
                <w:szCs w:val="24"/>
                <w:lang w:val="en-US" w:eastAsia="zh-CN" w:bidi="ar"/>
              </w:rPr>
              <w:t>货物名称</w:t>
            </w:r>
          </w:p>
        </w:tc>
        <w:tc>
          <w:tcPr>
            <w:tcW w:w="1069" w:type="pct"/>
            <w:tcBorders>
              <w:top w:val="single" w:color="auto" w:sz="4" w:space="0"/>
              <w:left w:val="single" w:color="auto" w:sz="4" w:space="0"/>
              <w:bottom w:val="single" w:color="auto" w:sz="4" w:space="0"/>
              <w:right w:val="single" w:color="auto" w:sz="4" w:space="0"/>
            </w:tcBorders>
            <w:shd w:val="clear" w:color="auto" w:fill="auto"/>
            <w:vAlign w:val="center"/>
          </w:tcPr>
          <w:p w14:paraId="56A7DAF1">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宋体" w:hAnsi="宋体" w:eastAsia="宋体" w:cs="宋体"/>
                <w:b/>
                <w:bCs/>
                <w:kern w:val="0"/>
                <w:sz w:val="24"/>
                <w:szCs w:val="24"/>
              </w:rPr>
            </w:pPr>
            <w:r>
              <w:rPr>
                <w:rFonts w:hint="eastAsia" w:ascii="宋体" w:hAnsi="宋体" w:eastAsia="宋体" w:cs="宋体"/>
                <w:b/>
                <w:bCs/>
                <w:snapToGrid/>
                <w:kern w:val="0"/>
                <w:sz w:val="24"/>
                <w:szCs w:val="24"/>
                <w:lang w:val="en-US" w:eastAsia="zh-CN" w:bidi="ar"/>
              </w:rPr>
              <w:t>规格参数</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651540CC">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宋体" w:hAnsi="宋体" w:eastAsia="宋体" w:cs="宋体"/>
                <w:b/>
                <w:bCs/>
                <w:kern w:val="0"/>
                <w:sz w:val="24"/>
                <w:szCs w:val="24"/>
              </w:rPr>
            </w:pPr>
            <w:r>
              <w:rPr>
                <w:rFonts w:hint="eastAsia" w:ascii="宋体" w:hAnsi="宋体" w:eastAsia="宋体" w:cs="宋体"/>
                <w:b/>
                <w:bCs/>
                <w:snapToGrid/>
                <w:kern w:val="0"/>
                <w:sz w:val="24"/>
                <w:szCs w:val="24"/>
                <w:lang w:val="en-US" w:eastAsia="zh-CN" w:bidi="ar"/>
              </w:rPr>
              <w:t>单位</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1F16ACA6">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宋体" w:hAnsi="宋体" w:eastAsia="宋体" w:cs="宋体"/>
                <w:b/>
                <w:bCs/>
                <w:kern w:val="0"/>
                <w:sz w:val="24"/>
                <w:szCs w:val="24"/>
              </w:rPr>
            </w:pPr>
            <w:r>
              <w:rPr>
                <w:rFonts w:hint="eastAsia" w:ascii="宋体" w:hAnsi="宋体" w:eastAsia="宋体" w:cs="宋体"/>
                <w:b/>
                <w:bCs/>
                <w:snapToGrid/>
                <w:kern w:val="0"/>
                <w:sz w:val="24"/>
                <w:szCs w:val="24"/>
                <w:lang w:val="en-US" w:eastAsia="zh-CN" w:bidi="ar"/>
              </w:rPr>
              <w:t>数量</w:t>
            </w:r>
          </w:p>
        </w:tc>
        <w:tc>
          <w:tcPr>
            <w:tcW w:w="1476" w:type="pct"/>
            <w:tcBorders>
              <w:top w:val="single" w:color="auto" w:sz="4" w:space="0"/>
              <w:left w:val="single" w:color="auto" w:sz="4" w:space="0"/>
              <w:bottom w:val="single" w:color="auto" w:sz="4" w:space="0"/>
              <w:right w:val="single" w:color="auto" w:sz="4" w:space="0"/>
            </w:tcBorders>
            <w:shd w:val="clear" w:color="auto" w:fill="auto"/>
            <w:vAlign w:val="center"/>
          </w:tcPr>
          <w:p w14:paraId="450A8CCB">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宋体" w:hAnsi="宋体" w:eastAsia="宋体" w:cs="宋体"/>
                <w:b/>
                <w:bCs/>
                <w:kern w:val="0"/>
                <w:sz w:val="24"/>
                <w:szCs w:val="24"/>
              </w:rPr>
            </w:pPr>
            <w:r>
              <w:rPr>
                <w:rFonts w:hint="eastAsia" w:ascii="宋体" w:hAnsi="宋体" w:eastAsia="宋体" w:cs="宋体"/>
                <w:b/>
                <w:bCs/>
                <w:snapToGrid/>
                <w:kern w:val="0"/>
                <w:sz w:val="24"/>
                <w:szCs w:val="24"/>
                <w:lang w:val="en-US" w:eastAsia="zh-CN" w:bidi="ar"/>
              </w:rPr>
              <w:t>备注</w:t>
            </w:r>
          </w:p>
        </w:tc>
      </w:tr>
      <w:tr w14:paraId="19C0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6" w:hRule="atLeast"/>
        </w:trPr>
        <w:tc>
          <w:tcPr>
            <w:tcW w:w="1495" w:type="pct"/>
            <w:tcBorders>
              <w:top w:val="single" w:color="auto" w:sz="4" w:space="0"/>
              <w:left w:val="single" w:color="auto" w:sz="4" w:space="0"/>
              <w:bottom w:val="single" w:color="auto" w:sz="4" w:space="0"/>
              <w:right w:val="single" w:color="auto" w:sz="4" w:space="0"/>
            </w:tcBorders>
            <w:shd w:val="clear" w:color="auto" w:fill="auto"/>
            <w:vAlign w:val="center"/>
          </w:tcPr>
          <w:p w14:paraId="099B0FA8">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宋体" w:hAnsi="宋体" w:eastAsia="宋体" w:cs="宋体"/>
                <w:bCs/>
                <w:kern w:val="0"/>
                <w:sz w:val="24"/>
                <w:szCs w:val="24"/>
              </w:rPr>
            </w:pPr>
            <w:r>
              <w:rPr>
                <w:rFonts w:hint="eastAsia" w:ascii="宋体" w:hAnsi="宋体" w:eastAsia="宋体" w:cs="宋体"/>
                <w:bCs/>
                <w:snapToGrid/>
                <w:kern w:val="0"/>
                <w:sz w:val="24"/>
                <w:szCs w:val="24"/>
                <w:lang w:val="en-US" w:eastAsia="zh-CN" w:bidi="ar"/>
              </w:rPr>
              <w:t>COD水质在线分析仪</w:t>
            </w:r>
          </w:p>
        </w:tc>
        <w:tc>
          <w:tcPr>
            <w:tcW w:w="1069" w:type="pct"/>
            <w:tcBorders>
              <w:top w:val="single" w:color="auto" w:sz="4" w:space="0"/>
              <w:left w:val="single" w:color="auto" w:sz="4" w:space="0"/>
              <w:bottom w:val="single" w:color="auto" w:sz="4" w:space="0"/>
              <w:right w:val="single" w:color="auto" w:sz="4" w:space="0"/>
            </w:tcBorders>
            <w:shd w:val="clear" w:color="auto" w:fill="auto"/>
            <w:vAlign w:val="center"/>
          </w:tcPr>
          <w:p w14:paraId="5C1B025D">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both"/>
              <w:rPr>
                <w:rFonts w:hint="eastAsia" w:ascii="宋体" w:hAnsi="宋体" w:eastAsia="宋体" w:cs="宋体"/>
                <w:bCs/>
                <w:kern w:val="0"/>
                <w:sz w:val="24"/>
                <w:szCs w:val="24"/>
              </w:rPr>
            </w:pPr>
            <w:r>
              <w:rPr>
                <w:rFonts w:hint="eastAsia" w:ascii="宋体" w:hAnsi="宋体" w:eastAsia="宋体" w:cs="宋体"/>
                <w:bCs/>
                <w:snapToGrid/>
                <w:kern w:val="0"/>
                <w:sz w:val="24"/>
                <w:szCs w:val="24"/>
                <w:lang w:val="en-US" w:eastAsia="zh-CN" w:bidi="ar"/>
              </w:rPr>
              <w:t>详见技术规格</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071CC4CE">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宋体" w:hAnsi="宋体" w:eastAsia="宋体" w:cs="宋体"/>
                <w:bCs/>
                <w:kern w:val="0"/>
                <w:sz w:val="24"/>
                <w:szCs w:val="24"/>
              </w:rPr>
            </w:pPr>
            <w:r>
              <w:rPr>
                <w:rFonts w:hint="eastAsia" w:ascii="宋体" w:hAnsi="宋体" w:eastAsia="宋体" w:cs="宋体"/>
                <w:bCs/>
                <w:snapToGrid/>
                <w:kern w:val="0"/>
                <w:sz w:val="24"/>
                <w:szCs w:val="24"/>
                <w:lang w:val="en-US" w:eastAsia="zh-CN" w:bidi="ar"/>
              </w:rPr>
              <w:t>台</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0FC997C1">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宋体" w:hAnsi="宋体" w:eastAsia="宋体" w:cs="宋体"/>
                <w:bCs/>
                <w:kern w:val="0"/>
                <w:sz w:val="24"/>
                <w:szCs w:val="24"/>
              </w:rPr>
            </w:pPr>
            <w:r>
              <w:rPr>
                <w:rFonts w:hint="eastAsia" w:ascii="宋体" w:hAnsi="宋体" w:eastAsia="宋体" w:cs="宋体"/>
                <w:bCs/>
                <w:snapToGrid/>
                <w:kern w:val="0"/>
                <w:sz w:val="24"/>
                <w:szCs w:val="24"/>
                <w:lang w:val="en-US" w:eastAsia="zh-CN" w:bidi="ar"/>
              </w:rPr>
              <w:t>2</w:t>
            </w:r>
          </w:p>
        </w:tc>
        <w:tc>
          <w:tcPr>
            <w:tcW w:w="1476" w:type="pct"/>
            <w:vMerge w:val="restart"/>
            <w:tcBorders>
              <w:top w:val="nil"/>
              <w:left w:val="single" w:color="auto" w:sz="4" w:space="0"/>
              <w:bottom w:val="single" w:color="auto" w:sz="4" w:space="0"/>
              <w:right w:val="single" w:color="auto" w:sz="4" w:space="0"/>
            </w:tcBorders>
            <w:shd w:val="clear" w:color="auto" w:fill="auto"/>
            <w:vAlign w:val="center"/>
          </w:tcPr>
          <w:p w14:paraId="10544895">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宋体" w:hAnsi="宋体" w:eastAsia="宋体" w:cs="宋体"/>
                <w:bCs/>
                <w:kern w:val="0"/>
                <w:sz w:val="24"/>
                <w:szCs w:val="24"/>
              </w:rPr>
            </w:pPr>
            <w:r>
              <w:rPr>
                <w:rFonts w:hint="eastAsia" w:ascii="宋体" w:hAnsi="宋体" w:eastAsia="宋体" w:cs="宋体"/>
                <w:bCs/>
                <w:snapToGrid/>
                <w:kern w:val="0"/>
                <w:sz w:val="24"/>
                <w:szCs w:val="24"/>
                <w:lang w:val="en-US" w:eastAsia="zh-CN" w:bidi="ar"/>
              </w:rPr>
              <w:t>南院区和北院区各一台，包含在线设备的环保验收工作。</w:t>
            </w:r>
          </w:p>
        </w:tc>
      </w:tr>
      <w:tr w14:paraId="5B8F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6" w:hRule="atLeast"/>
        </w:trPr>
        <w:tc>
          <w:tcPr>
            <w:tcW w:w="1495" w:type="pct"/>
            <w:tcBorders>
              <w:top w:val="single" w:color="auto" w:sz="4" w:space="0"/>
              <w:left w:val="single" w:color="auto" w:sz="4" w:space="0"/>
              <w:bottom w:val="single" w:color="auto" w:sz="4" w:space="0"/>
              <w:right w:val="single" w:color="auto" w:sz="4" w:space="0"/>
            </w:tcBorders>
            <w:shd w:val="clear" w:color="auto" w:fill="auto"/>
            <w:vAlign w:val="center"/>
          </w:tcPr>
          <w:p w14:paraId="0808CBB0">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宋体" w:hAnsi="宋体" w:eastAsia="宋体" w:cs="宋体"/>
                <w:bCs/>
                <w:kern w:val="0"/>
                <w:sz w:val="24"/>
                <w:szCs w:val="24"/>
              </w:rPr>
            </w:pPr>
            <w:bookmarkStart w:id="33" w:name="_Hlk150329395"/>
            <w:r>
              <w:rPr>
                <w:rFonts w:hint="eastAsia" w:ascii="宋体" w:hAnsi="宋体" w:eastAsia="宋体" w:cs="宋体"/>
                <w:bCs/>
                <w:snapToGrid/>
                <w:kern w:val="0"/>
                <w:sz w:val="24"/>
                <w:szCs w:val="24"/>
                <w:lang w:val="en-US" w:eastAsia="zh-CN" w:bidi="ar"/>
              </w:rPr>
              <w:t>氨氮水质在线分析仪</w:t>
            </w:r>
            <w:bookmarkEnd w:id="33"/>
          </w:p>
        </w:tc>
        <w:tc>
          <w:tcPr>
            <w:tcW w:w="1069" w:type="pct"/>
            <w:tcBorders>
              <w:top w:val="single" w:color="auto" w:sz="4" w:space="0"/>
              <w:left w:val="single" w:color="auto" w:sz="4" w:space="0"/>
              <w:bottom w:val="single" w:color="auto" w:sz="4" w:space="0"/>
              <w:right w:val="single" w:color="auto" w:sz="4" w:space="0"/>
            </w:tcBorders>
            <w:shd w:val="clear" w:color="auto" w:fill="auto"/>
            <w:vAlign w:val="center"/>
          </w:tcPr>
          <w:p w14:paraId="2DE66F66">
            <w:pPr>
              <w:keepNext w:val="0"/>
              <w:keepLines w:val="0"/>
              <w:widowControl w:val="0"/>
              <w:suppressLineNumbers w:val="0"/>
              <w:autoSpaceDE w:val="0"/>
              <w:autoSpaceDN/>
              <w:adjustRightInd w:val="0"/>
              <w:snapToGrid w:val="0"/>
              <w:spacing w:before="0" w:beforeAutospacing="0" w:after="0" w:afterAutospacing="0" w:line="360" w:lineRule="auto"/>
              <w:ind w:left="0" w:right="0"/>
              <w:jc w:val="both"/>
              <w:rPr>
                <w:rFonts w:hint="eastAsia" w:ascii="宋体" w:hAnsi="宋体" w:eastAsia="宋体" w:cs="宋体"/>
                <w:bCs/>
                <w:kern w:val="0"/>
                <w:sz w:val="24"/>
                <w:szCs w:val="24"/>
              </w:rPr>
            </w:pPr>
            <w:r>
              <w:rPr>
                <w:rFonts w:hint="eastAsia" w:ascii="宋体" w:hAnsi="宋体" w:eastAsia="宋体" w:cs="宋体"/>
                <w:bCs/>
                <w:snapToGrid/>
                <w:kern w:val="0"/>
                <w:sz w:val="24"/>
                <w:szCs w:val="24"/>
                <w:lang w:val="en-US" w:eastAsia="zh-CN" w:bidi="ar"/>
              </w:rPr>
              <w:t>详见技术规格</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75BAEA5B">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宋体" w:hAnsi="宋体" w:eastAsia="宋体" w:cs="宋体"/>
                <w:bCs/>
                <w:kern w:val="0"/>
                <w:sz w:val="24"/>
                <w:szCs w:val="24"/>
              </w:rPr>
            </w:pPr>
            <w:r>
              <w:rPr>
                <w:rFonts w:hint="eastAsia" w:ascii="宋体" w:hAnsi="宋体" w:eastAsia="宋体" w:cs="宋体"/>
                <w:bCs/>
                <w:snapToGrid/>
                <w:kern w:val="0"/>
                <w:sz w:val="24"/>
                <w:szCs w:val="24"/>
                <w:lang w:val="en-US" w:eastAsia="zh-CN" w:bidi="ar"/>
              </w:rPr>
              <w:t>台</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04CD2246">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宋体" w:hAnsi="宋体" w:eastAsia="宋体" w:cs="宋体"/>
                <w:bCs/>
                <w:kern w:val="0"/>
                <w:sz w:val="24"/>
                <w:szCs w:val="24"/>
              </w:rPr>
            </w:pPr>
            <w:r>
              <w:rPr>
                <w:rFonts w:hint="eastAsia" w:ascii="宋体" w:hAnsi="宋体" w:eastAsia="宋体" w:cs="宋体"/>
                <w:bCs/>
                <w:snapToGrid/>
                <w:kern w:val="0"/>
                <w:sz w:val="24"/>
                <w:szCs w:val="24"/>
                <w:lang w:val="en-US" w:eastAsia="zh-CN" w:bidi="ar"/>
              </w:rPr>
              <w:t>2</w:t>
            </w:r>
          </w:p>
        </w:tc>
        <w:tc>
          <w:tcPr>
            <w:tcW w:w="1476" w:type="pct"/>
            <w:vMerge w:val="continue"/>
            <w:tcBorders>
              <w:top w:val="nil"/>
              <w:left w:val="single" w:color="auto" w:sz="4" w:space="0"/>
              <w:bottom w:val="single" w:color="auto" w:sz="4" w:space="0"/>
              <w:right w:val="single" w:color="auto" w:sz="4" w:space="0"/>
            </w:tcBorders>
            <w:shd w:val="clear" w:color="auto" w:fill="auto"/>
            <w:vAlign w:val="center"/>
          </w:tcPr>
          <w:p w14:paraId="1148DD1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3E9A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6" w:hRule="atLeast"/>
        </w:trPr>
        <w:tc>
          <w:tcPr>
            <w:tcW w:w="1495" w:type="pct"/>
            <w:tcBorders>
              <w:top w:val="single" w:color="auto" w:sz="4" w:space="0"/>
              <w:left w:val="single" w:color="auto" w:sz="4" w:space="0"/>
              <w:bottom w:val="single" w:color="auto" w:sz="4" w:space="0"/>
              <w:right w:val="single" w:color="auto" w:sz="4" w:space="0"/>
            </w:tcBorders>
            <w:shd w:val="clear" w:color="auto" w:fill="auto"/>
            <w:vAlign w:val="center"/>
          </w:tcPr>
          <w:p w14:paraId="13F78B2A">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宋体" w:hAnsi="宋体" w:eastAsia="宋体" w:cs="宋体"/>
                <w:bCs/>
                <w:kern w:val="0"/>
                <w:sz w:val="24"/>
                <w:szCs w:val="24"/>
              </w:rPr>
            </w:pPr>
            <w:r>
              <w:rPr>
                <w:rFonts w:hint="eastAsia" w:ascii="宋体" w:hAnsi="宋体" w:eastAsia="宋体" w:cs="宋体"/>
                <w:bCs/>
                <w:snapToGrid/>
                <w:kern w:val="0"/>
                <w:sz w:val="24"/>
                <w:szCs w:val="24"/>
                <w:lang w:val="en-US" w:eastAsia="zh-CN" w:bidi="ar"/>
              </w:rPr>
              <w:t>视频监控系统升级</w:t>
            </w:r>
          </w:p>
        </w:tc>
        <w:tc>
          <w:tcPr>
            <w:tcW w:w="1069" w:type="pct"/>
            <w:tcBorders>
              <w:top w:val="single" w:color="auto" w:sz="4" w:space="0"/>
              <w:left w:val="single" w:color="auto" w:sz="4" w:space="0"/>
              <w:bottom w:val="single" w:color="auto" w:sz="4" w:space="0"/>
              <w:right w:val="single" w:color="auto" w:sz="4" w:space="0"/>
            </w:tcBorders>
            <w:shd w:val="clear" w:color="auto" w:fill="auto"/>
            <w:vAlign w:val="center"/>
          </w:tcPr>
          <w:p w14:paraId="16820374">
            <w:pPr>
              <w:keepNext w:val="0"/>
              <w:keepLines w:val="0"/>
              <w:widowControl w:val="0"/>
              <w:suppressLineNumbers w:val="0"/>
              <w:autoSpaceDE w:val="0"/>
              <w:autoSpaceDN/>
              <w:adjustRightInd w:val="0"/>
              <w:snapToGrid w:val="0"/>
              <w:spacing w:before="0" w:beforeAutospacing="0" w:after="0" w:afterAutospacing="0" w:line="360" w:lineRule="auto"/>
              <w:ind w:left="0" w:right="0"/>
              <w:jc w:val="both"/>
              <w:rPr>
                <w:rFonts w:hint="eastAsia" w:ascii="宋体" w:hAnsi="宋体" w:eastAsia="宋体" w:cs="宋体"/>
                <w:bCs/>
                <w:kern w:val="2"/>
                <w:sz w:val="24"/>
                <w:szCs w:val="24"/>
              </w:rPr>
            </w:pPr>
            <w:r>
              <w:rPr>
                <w:rFonts w:hint="eastAsia" w:ascii="宋体" w:hAnsi="宋体" w:eastAsia="宋体" w:cs="宋体"/>
                <w:bCs/>
                <w:snapToGrid/>
                <w:kern w:val="2"/>
                <w:sz w:val="24"/>
                <w:szCs w:val="24"/>
                <w:lang w:val="en-US" w:eastAsia="zh-CN" w:bidi="ar"/>
              </w:rPr>
              <w:t>详见技术规格</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4DA5B708">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宋体" w:hAnsi="宋体" w:eastAsia="宋体" w:cs="宋体"/>
                <w:bCs/>
                <w:kern w:val="2"/>
                <w:sz w:val="24"/>
                <w:szCs w:val="24"/>
              </w:rPr>
            </w:pPr>
            <w:r>
              <w:rPr>
                <w:rFonts w:hint="eastAsia" w:ascii="宋体" w:hAnsi="宋体" w:eastAsia="宋体" w:cs="宋体"/>
                <w:bCs/>
                <w:snapToGrid/>
                <w:kern w:val="2"/>
                <w:sz w:val="24"/>
                <w:szCs w:val="24"/>
                <w:lang w:val="en-US" w:eastAsia="zh-CN" w:bidi="ar"/>
              </w:rPr>
              <w:t>台</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7A2C05CA">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宋体" w:hAnsi="宋体" w:eastAsia="宋体" w:cs="宋体"/>
                <w:bCs/>
                <w:kern w:val="2"/>
                <w:sz w:val="24"/>
                <w:szCs w:val="24"/>
              </w:rPr>
            </w:pPr>
            <w:r>
              <w:rPr>
                <w:rFonts w:hint="eastAsia" w:ascii="宋体" w:hAnsi="宋体" w:eastAsia="宋体" w:cs="宋体"/>
                <w:bCs/>
                <w:snapToGrid/>
                <w:kern w:val="2"/>
                <w:sz w:val="24"/>
                <w:szCs w:val="24"/>
                <w:lang w:val="en-US" w:eastAsia="zh-CN" w:bidi="ar"/>
              </w:rPr>
              <w:t>2</w:t>
            </w:r>
          </w:p>
        </w:tc>
        <w:tc>
          <w:tcPr>
            <w:tcW w:w="1476" w:type="pct"/>
            <w:vMerge w:val="continue"/>
            <w:tcBorders>
              <w:top w:val="nil"/>
              <w:left w:val="single" w:color="auto" w:sz="4" w:space="0"/>
              <w:bottom w:val="single" w:color="auto" w:sz="4" w:space="0"/>
              <w:right w:val="single" w:color="auto" w:sz="4" w:space="0"/>
            </w:tcBorders>
            <w:shd w:val="clear" w:color="auto" w:fill="auto"/>
            <w:vAlign w:val="center"/>
          </w:tcPr>
          <w:p w14:paraId="6160F12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bl>
    <w:p w14:paraId="692604FD">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kern w:val="0"/>
          <w:sz w:val="24"/>
          <w:szCs w:val="24"/>
        </w:rPr>
      </w:pPr>
      <w:r>
        <w:rPr>
          <w:rFonts w:hint="eastAsia" w:ascii="宋体" w:hAnsi="宋体" w:eastAsia="宋体" w:cs="宋体"/>
          <w:b/>
          <w:bCs w:val="0"/>
          <w:snapToGrid/>
          <w:kern w:val="0"/>
          <w:sz w:val="24"/>
          <w:szCs w:val="24"/>
          <w:lang w:val="en-US" w:eastAsia="zh-CN" w:bidi="ar"/>
        </w:rPr>
        <w:t>（二）相关标准规范</w:t>
      </w:r>
    </w:p>
    <w:p w14:paraId="461A29FD">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《中华人民共和国环境保护法》</w:t>
      </w:r>
    </w:p>
    <w:p w14:paraId="3F0013DD">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《中华人民共和国水污染防治法》</w:t>
      </w:r>
    </w:p>
    <w:p w14:paraId="0B580384">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《水和废水监测分析方法》（2002年第四版）</w:t>
      </w:r>
    </w:p>
    <w:p w14:paraId="10ACCB48">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《污水综合排放标准》（GB 8978-1996）</w:t>
      </w:r>
    </w:p>
    <w:p w14:paraId="18BB10D5">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《环境污染源自动监控信息传输、交换技术规范（试行）》（HJ/T 352-2007）</w:t>
      </w:r>
    </w:p>
    <w:p w14:paraId="21B66B65">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《污染源在线自动监控(监测)系统数据传输标准》（HJ/T 212-2017）</w:t>
      </w:r>
    </w:p>
    <w:p w14:paraId="156DD20D">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《水污染源在线监测系统（CODCr、NH3-N等）安装技术规范》（HJ/T 353-2019）</w:t>
      </w:r>
    </w:p>
    <w:p w14:paraId="38DE9D94">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《水污染源在线监测系统（CODCr、NH3-N等）验收技术规范》（HJ/T 354-2019）</w:t>
      </w:r>
    </w:p>
    <w:p w14:paraId="3011B72D">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《水污染源在线监测系统（CODCr、NH3-N等）运行技术规范》（HJ/T 355-2019）</w:t>
      </w:r>
    </w:p>
    <w:p w14:paraId="2061A5D0">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《水污染源在线监测系统（CODCr、NH3-N等）数据有效性判别技术规范》（HJ 356-2019）</w:t>
      </w:r>
    </w:p>
    <w:p w14:paraId="1318FEBD">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《化学需氧量（CODCr）水质在线自动监测仪技术要求及检测方法》（HJ 377-2019）</w:t>
      </w:r>
    </w:p>
    <w:p w14:paraId="5395A2A8">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《氨氮水质在线自动监测仪技术要求及检测方法》（HJ 101-2019）</w:t>
      </w:r>
    </w:p>
    <w:p w14:paraId="0AD25AD1">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《总磷水质在线自动监测仪技术要求》（HJ/T 103-2003）</w:t>
      </w:r>
    </w:p>
    <w:p w14:paraId="5A3C863C">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《总氮水质在线自动监测仪技术要求》（HJ/T 102-2003）</w:t>
      </w:r>
    </w:p>
    <w:p w14:paraId="1717A489">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《水质自动采样器技术要求及检测方法》（HJ/T 372-2007）</w:t>
      </w:r>
    </w:p>
    <w:p w14:paraId="3BB0D5ED">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kern w:val="0"/>
          <w:sz w:val="24"/>
          <w:szCs w:val="24"/>
        </w:rPr>
      </w:pPr>
      <w:r>
        <w:rPr>
          <w:rFonts w:hint="eastAsia" w:ascii="宋体" w:hAnsi="宋体" w:eastAsia="宋体" w:cs="宋体"/>
          <w:b/>
          <w:bCs/>
          <w:snapToGrid/>
          <w:kern w:val="0"/>
          <w:sz w:val="24"/>
          <w:szCs w:val="24"/>
          <w:lang w:val="en-US" w:eastAsia="zh-CN" w:bidi="ar"/>
        </w:rPr>
        <w:t>（三）</w:t>
      </w:r>
      <w:r>
        <w:rPr>
          <w:rFonts w:hint="eastAsia" w:ascii="宋体" w:hAnsi="宋体" w:eastAsia="宋体" w:cs="宋体"/>
          <w:b/>
          <w:bCs w:val="0"/>
          <w:snapToGrid/>
          <w:kern w:val="0"/>
          <w:sz w:val="24"/>
          <w:szCs w:val="24"/>
          <w:lang w:val="en-US" w:eastAsia="zh-CN" w:bidi="ar"/>
        </w:rPr>
        <w:t>设备</w:t>
      </w:r>
      <w:r>
        <w:rPr>
          <w:rFonts w:hint="eastAsia" w:ascii="宋体" w:hAnsi="宋体" w:eastAsia="宋体" w:cs="宋体"/>
          <w:b/>
          <w:bCs/>
          <w:snapToGrid/>
          <w:kern w:val="0"/>
          <w:sz w:val="24"/>
          <w:szCs w:val="24"/>
          <w:lang w:val="en-US" w:eastAsia="zh-CN" w:bidi="ar"/>
        </w:rPr>
        <w:t>技术规格</w:t>
      </w:r>
    </w:p>
    <w:p w14:paraId="34C124CA">
      <w:pPr>
        <w:keepNext w:val="0"/>
        <w:keepLines w:val="0"/>
        <w:widowControl w:val="0"/>
        <w:suppressLineNumbers w:val="0"/>
        <w:adjustRightInd w:val="0"/>
        <w:snapToGrid w:val="0"/>
        <w:spacing w:before="0" w:beforeAutospacing="0" w:after="120" w:afterAutospacing="0" w:line="400" w:lineRule="exact"/>
        <w:ind w:left="0" w:right="0" w:firstLine="482" w:firstLineChars="200"/>
        <w:jc w:val="left"/>
        <w:outlineLvl w:val="2"/>
        <w:rPr>
          <w:rFonts w:hint="eastAsia" w:ascii="宋体" w:hAnsi="宋体" w:eastAsia="宋体" w:cs="宋体"/>
          <w:b/>
          <w:bCs w:val="0"/>
          <w:kern w:val="0"/>
          <w:sz w:val="24"/>
          <w:szCs w:val="24"/>
        </w:rPr>
      </w:pPr>
      <w:r>
        <w:rPr>
          <w:rFonts w:hint="eastAsia" w:ascii="宋体" w:hAnsi="宋体" w:eastAsia="宋体" w:cs="宋体"/>
          <w:b/>
          <w:bCs w:val="0"/>
          <w:snapToGrid/>
          <w:kern w:val="0"/>
          <w:sz w:val="24"/>
          <w:szCs w:val="24"/>
          <w:lang w:val="en-US" w:eastAsia="zh-CN" w:bidi="ar"/>
        </w:rPr>
        <w:t>1、在线设备总体功能要求：</w:t>
      </w:r>
    </w:p>
    <w:p w14:paraId="1108B7CB">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（1）设备应具有仪器基本参数贮存、断电保护与来电自动恢复功能；</w:t>
      </w:r>
    </w:p>
    <w:p w14:paraId="380C0DD7">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（2）应具有时间设置功能，可根据需要任意设定监测频次；</w:t>
      </w:r>
    </w:p>
    <w:p w14:paraId="1656C35C">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（3）应具有仪器故障自动报警、异常值自动报警、试剂余量不足提示等功能；</w:t>
      </w:r>
    </w:p>
    <w:p w14:paraId="23F49310">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（4）应具有自动清洗或反吹功能；</w:t>
      </w:r>
    </w:p>
    <w:p w14:paraId="5D912EAD">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（5）应具有定期自动校准功能；</w:t>
      </w:r>
    </w:p>
    <w:p w14:paraId="30D751DD">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（6）应具有密封防护箱体及防潮功能；</w:t>
      </w:r>
    </w:p>
    <w:p w14:paraId="24D7020C">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（7）应具有双向数据及信号传输功能；</w:t>
      </w:r>
    </w:p>
    <w:p w14:paraId="7171FEBC">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（8）输出信号采用4-20mA或RS485/RS232C标准接口，并提供接口协议。</w:t>
      </w:r>
    </w:p>
    <w:p w14:paraId="6574C136">
      <w:pPr>
        <w:keepNext w:val="0"/>
        <w:keepLines w:val="0"/>
        <w:widowControl w:val="0"/>
        <w:suppressLineNumbers w:val="0"/>
        <w:adjustRightInd w:val="0"/>
        <w:snapToGrid w:val="0"/>
        <w:spacing w:before="0" w:beforeAutospacing="0" w:after="120" w:afterAutospacing="0" w:line="400" w:lineRule="exact"/>
        <w:ind w:left="0" w:right="0" w:firstLine="482" w:firstLineChars="200"/>
        <w:jc w:val="left"/>
        <w:outlineLvl w:val="2"/>
        <w:rPr>
          <w:rFonts w:hint="eastAsia" w:ascii="宋体" w:hAnsi="宋体" w:eastAsia="宋体" w:cs="宋体"/>
          <w:b/>
          <w:bCs w:val="0"/>
          <w:kern w:val="0"/>
          <w:sz w:val="24"/>
          <w:szCs w:val="24"/>
        </w:rPr>
      </w:pPr>
      <w:r>
        <w:rPr>
          <w:rFonts w:hint="eastAsia" w:ascii="宋体" w:hAnsi="宋体" w:eastAsia="宋体" w:cs="宋体"/>
          <w:b/>
          <w:bCs w:val="0"/>
          <w:snapToGrid/>
          <w:kern w:val="0"/>
          <w:sz w:val="24"/>
          <w:szCs w:val="24"/>
          <w:lang w:val="en-US" w:eastAsia="zh-CN" w:bidi="ar"/>
        </w:rPr>
        <w:t>2、COD水质在线分析仪</w:t>
      </w:r>
    </w:p>
    <w:p w14:paraId="5FE50D79">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1）设备用途：</w:t>
      </w:r>
    </w:p>
    <w:p w14:paraId="39AAEAA6">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用于测量化学需氧量（COD）的在线分析仪，产品工作原理符合《HJ/T 399-2007 水质化学需氧量的测定-快速消解分光光度法》的技术要求。</w:t>
      </w:r>
    </w:p>
    <w:p w14:paraId="70DDE17B">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2）产品性能：</w:t>
      </w:r>
    </w:p>
    <w:p w14:paraId="0FB58DE7">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仪器定量方式应具备精度高、可靠性强等特点。</w:t>
      </w:r>
    </w:p>
    <w:p w14:paraId="124E1EFA">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仪器应具备多档量程，可根据水样COD含量自动调整量程。</w:t>
      </w:r>
    </w:p>
    <w:p w14:paraId="46DF0FE5">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应具备自动实现校准、清洗等功能。</w:t>
      </w:r>
    </w:p>
    <w:p w14:paraId="02D2655D">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出现故障时，应具备自我检查和维护功能，确保人身安全和设备安全。</w:t>
      </w:r>
    </w:p>
    <w:p w14:paraId="58D1B298">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应具备漏液检测报警功能。</w:t>
      </w:r>
    </w:p>
    <w:p w14:paraId="3D044E25">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所有故障信息应能在显示终端处予以记录。</w:t>
      </w:r>
    </w:p>
    <w:p w14:paraId="62DFDE12">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显示终端采用触摸屏，分辨率不低于800*480，尺寸不小于7英寸。</w:t>
      </w:r>
    </w:p>
    <w:p w14:paraId="2AF6BFF3">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仪表应具备现场使用的各种接口（（4~20）mA输入、输出/RS232或RS485通讯/开关量输入、输出等）。</w:t>
      </w:r>
    </w:p>
    <w:p w14:paraId="0C1F28F5">
      <w:pPr>
        <w:pStyle w:val="25"/>
        <w:widowControl/>
        <w:spacing w:before="0" w:beforeAutospacing="1" w:line="400" w:lineRule="exact"/>
        <w:ind w:leftChars="200" w:right="0" w:firstLine="560"/>
        <w:rPr>
          <w:rFonts w:hint="eastAsia" w:ascii="宋体" w:hAnsi="宋体" w:eastAsia="宋体" w:cs="宋体"/>
          <w:kern w:val="0"/>
          <w:sz w:val="24"/>
          <w:szCs w:val="24"/>
        </w:rPr>
      </w:pPr>
      <w:r>
        <w:rPr>
          <w:rFonts w:hint="eastAsia" w:ascii="宋体" w:hAnsi="宋体" w:eastAsia="宋体" w:cs="宋体"/>
          <w:kern w:val="0"/>
          <w:sz w:val="24"/>
          <w:szCs w:val="24"/>
        </w:rPr>
        <w:t>3）技术规格</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34"/>
        <w:gridCol w:w="6288"/>
      </w:tblGrid>
      <w:tr w14:paraId="2DCF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6" w:hRule="atLeast"/>
          <w:jc w:val="center"/>
        </w:trPr>
        <w:tc>
          <w:tcPr>
            <w:tcW w:w="1311" w:type="pct"/>
            <w:tcBorders>
              <w:top w:val="single" w:color="auto" w:sz="4" w:space="0"/>
              <w:left w:val="single" w:color="auto" w:sz="4" w:space="0"/>
              <w:bottom w:val="single" w:color="auto" w:sz="4" w:space="0"/>
              <w:right w:val="single" w:color="auto" w:sz="4" w:space="0"/>
            </w:tcBorders>
            <w:shd w:val="clear" w:color="auto" w:fill="auto"/>
            <w:vAlign w:val="center"/>
          </w:tcPr>
          <w:p w14:paraId="27C1124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bCs w:val="0"/>
                <w:kern w:val="0"/>
                <w:sz w:val="24"/>
                <w:szCs w:val="24"/>
              </w:rPr>
            </w:pPr>
            <w:r>
              <w:rPr>
                <w:rFonts w:hint="eastAsia" w:ascii="宋体" w:hAnsi="宋体" w:eastAsia="宋体" w:cs="宋体"/>
                <w:b/>
                <w:bCs w:val="0"/>
                <w:snapToGrid/>
                <w:kern w:val="0"/>
                <w:sz w:val="24"/>
                <w:szCs w:val="24"/>
                <w:lang w:val="en-US" w:eastAsia="zh-CN" w:bidi="ar"/>
              </w:rPr>
              <w:t>名称</w:t>
            </w:r>
          </w:p>
        </w:tc>
        <w:tc>
          <w:tcPr>
            <w:tcW w:w="3689" w:type="pct"/>
            <w:tcBorders>
              <w:top w:val="single" w:color="auto" w:sz="4" w:space="0"/>
              <w:left w:val="single" w:color="auto" w:sz="4" w:space="0"/>
              <w:bottom w:val="single" w:color="auto" w:sz="4" w:space="0"/>
              <w:right w:val="single" w:color="auto" w:sz="4" w:space="0"/>
            </w:tcBorders>
            <w:shd w:val="clear" w:color="auto" w:fill="auto"/>
            <w:vAlign w:val="center"/>
          </w:tcPr>
          <w:p w14:paraId="02356CE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bCs w:val="0"/>
                <w:kern w:val="0"/>
                <w:sz w:val="24"/>
                <w:szCs w:val="24"/>
              </w:rPr>
            </w:pPr>
            <w:r>
              <w:rPr>
                <w:rFonts w:hint="eastAsia" w:ascii="宋体" w:hAnsi="宋体" w:eastAsia="宋体" w:cs="宋体"/>
                <w:b/>
                <w:bCs w:val="0"/>
                <w:snapToGrid/>
                <w:kern w:val="0"/>
                <w:sz w:val="24"/>
                <w:szCs w:val="24"/>
                <w:lang w:val="en-US" w:eastAsia="zh-CN" w:bidi="ar"/>
              </w:rPr>
              <w:t>技术参数</w:t>
            </w:r>
          </w:p>
        </w:tc>
      </w:tr>
      <w:tr w14:paraId="4E00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jc w:val="center"/>
        </w:trPr>
        <w:tc>
          <w:tcPr>
            <w:tcW w:w="1311" w:type="pct"/>
            <w:tcBorders>
              <w:top w:val="single" w:color="auto" w:sz="4" w:space="0"/>
              <w:left w:val="single" w:color="auto" w:sz="4" w:space="0"/>
              <w:bottom w:val="single" w:color="auto" w:sz="4" w:space="0"/>
              <w:right w:val="single" w:color="auto" w:sz="4" w:space="0"/>
            </w:tcBorders>
            <w:shd w:val="clear" w:color="auto" w:fill="auto"/>
            <w:vAlign w:val="center"/>
          </w:tcPr>
          <w:p w14:paraId="0A82BBE9">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COD水质在线分析仪</w:t>
            </w:r>
          </w:p>
        </w:tc>
        <w:tc>
          <w:tcPr>
            <w:tcW w:w="3689" w:type="pct"/>
            <w:tcBorders>
              <w:top w:val="single" w:color="auto" w:sz="4" w:space="0"/>
              <w:left w:val="single" w:color="auto" w:sz="4" w:space="0"/>
              <w:bottom w:val="single" w:color="auto" w:sz="4" w:space="0"/>
              <w:right w:val="single" w:color="auto" w:sz="4" w:space="0"/>
            </w:tcBorders>
            <w:shd w:val="clear" w:color="auto" w:fill="auto"/>
            <w:vAlign w:val="center"/>
          </w:tcPr>
          <w:p w14:paraId="4871E038">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1.测量方法：重铬酸钾氧化分光光度法；</w:t>
            </w:r>
          </w:p>
          <w:p w14:paraId="2A9416FE">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2.测量范围：15-200mg/L，可扩展；</w:t>
            </w:r>
          </w:p>
          <w:p w14:paraId="29A91ABF">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3.重复性：≤5.0%；</w:t>
            </w:r>
          </w:p>
          <w:p w14:paraId="11412978">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4.24h低浓度漂移：±2.0mg/L；</w:t>
            </w:r>
          </w:p>
          <w:p w14:paraId="2F8FE7F4">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5.▲24h高浓度漂移：≤0.5%；</w:t>
            </w:r>
          </w:p>
          <w:p w14:paraId="1290A2FB">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6.▲示值误差：</w:t>
            </w:r>
          </w:p>
          <w:p w14:paraId="0A1E80B1">
            <w:pPr>
              <w:keepNext w:val="0"/>
              <w:keepLines w:val="0"/>
              <w:widowControl w:val="0"/>
              <w:suppressLineNumbers w:val="0"/>
              <w:adjustRightInd w:val="0"/>
              <w:snapToGrid w:val="0"/>
              <w:spacing w:before="0" w:beforeAutospacing="0" w:after="0" w:afterAutospacing="0"/>
              <w:ind w:left="0" w:right="0" w:firstLine="480"/>
              <w:jc w:val="left"/>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20%量程点，±1.5%；</w:t>
            </w:r>
          </w:p>
          <w:p w14:paraId="6C336D85">
            <w:pPr>
              <w:keepNext w:val="0"/>
              <w:keepLines w:val="0"/>
              <w:widowControl w:val="0"/>
              <w:suppressLineNumbers w:val="0"/>
              <w:adjustRightInd w:val="0"/>
              <w:snapToGrid w:val="0"/>
              <w:spacing w:before="0" w:beforeAutospacing="0" w:after="0" w:afterAutospacing="0"/>
              <w:ind w:left="0" w:right="0" w:firstLine="480"/>
              <w:jc w:val="left"/>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50%量程点，±1.0%；</w:t>
            </w:r>
          </w:p>
          <w:p w14:paraId="47687580">
            <w:pPr>
              <w:keepNext w:val="0"/>
              <w:keepLines w:val="0"/>
              <w:widowControl w:val="0"/>
              <w:suppressLineNumbers w:val="0"/>
              <w:adjustRightInd w:val="0"/>
              <w:snapToGrid w:val="0"/>
              <w:spacing w:before="0" w:beforeAutospacing="0" w:after="0" w:afterAutospacing="0"/>
              <w:ind w:left="0" w:right="0" w:firstLine="480"/>
              <w:jc w:val="left"/>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80%量程点，±1.0%。</w:t>
            </w:r>
          </w:p>
          <w:p w14:paraId="2E3B58BB">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7.定量下限：≤15mg/L；</w:t>
            </w:r>
          </w:p>
          <w:p w14:paraId="5F2334C3">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8.记忆效应：</w:t>
            </w:r>
          </w:p>
          <w:p w14:paraId="7C944810">
            <w:pPr>
              <w:keepNext w:val="0"/>
              <w:keepLines w:val="0"/>
              <w:widowControl w:val="0"/>
              <w:suppressLineNumbers w:val="0"/>
              <w:adjustRightInd w:val="0"/>
              <w:snapToGrid w:val="0"/>
              <w:spacing w:before="0" w:beforeAutospacing="0" w:after="0" w:afterAutospacing="0"/>
              <w:ind w:left="0" w:right="0" w:firstLine="48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80%*→20%*时，±5mg/L；</w:t>
            </w:r>
          </w:p>
          <w:p w14:paraId="0E5AAB6B">
            <w:pPr>
              <w:keepNext w:val="0"/>
              <w:keepLines w:val="0"/>
              <w:widowControl w:val="0"/>
              <w:suppressLineNumbers w:val="0"/>
              <w:adjustRightInd w:val="0"/>
              <w:snapToGrid w:val="0"/>
              <w:spacing w:before="0" w:beforeAutospacing="0" w:after="0" w:afterAutospacing="0"/>
              <w:ind w:left="0" w:right="0" w:firstLine="48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20%*→80%*时，±5mg/L；</w:t>
            </w:r>
          </w:p>
          <w:p w14:paraId="0B839E3D">
            <w:pPr>
              <w:keepNext w:val="0"/>
              <w:keepLines w:val="0"/>
              <w:widowControl w:val="0"/>
              <w:suppressLineNumbers w:val="0"/>
              <w:adjustRightInd w:val="0"/>
              <w:snapToGrid w:val="0"/>
              <w:spacing w:before="0" w:beforeAutospacing="0" w:after="0" w:afterAutospacing="0"/>
              <w:ind w:left="0" w:right="0" w:firstLine="48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*：测试溶液浓度相对于检测范围的百分比。</w:t>
            </w:r>
          </w:p>
          <w:p w14:paraId="5673EF00">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9.电压影响：±5.0%；</w:t>
            </w:r>
          </w:p>
          <w:p w14:paraId="193F9F24">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10.环境温度影响：±5%</w:t>
            </w:r>
          </w:p>
          <w:p w14:paraId="5C4EB687">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11.▲氯离子影响：±1.5%；</w:t>
            </w:r>
          </w:p>
          <w:p w14:paraId="032E5C0E">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12.实际水样比对试验：</w:t>
            </w:r>
          </w:p>
          <w:p w14:paraId="051F4579">
            <w:pPr>
              <w:keepNext w:val="0"/>
              <w:keepLines w:val="0"/>
              <w:widowControl w:val="0"/>
              <w:suppressLineNumbers w:val="0"/>
              <w:adjustRightInd w:val="0"/>
              <w:snapToGrid w:val="0"/>
              <w:spacing w:before="0" w:beforeAutospacing="0" w:after="0" w:afterAutospacing="0"/>
              <w:ind w:left="0" w:right="0" w:firstLine="48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COD＜50mg/L，绝对误差≤5mg/L；</w:t>
            </w:r>
          </w:p>
          <w:p w14:paraId="63F37CB4">
            <w:pPr>
              <w:keepNext w:val="0"/>
              <w:keepLines w:val="0"/>
              <w:widowControl w:val="0"/>
              <w:suppressLineNumbers w:val="0"/>
              <w:adjustRightInd w:val="0"/>
              <w:snapToGrid w:val="0"/>
              <w:spacing w:before="0" w:beforeAutospacing="0" w:after="0" w:afterAutospacing="0"/>
              <w:ind w:left="0" w:right="0" w:firstLine="48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COD≥50mg/L，相对误差≤10%。</w:t>
            </w:r>
          </w:p>
          <w:p w14:paraId="03FFDBA6">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13.最小维护周期：≥168h；</w:t>
            </w:r>
          </w:p>
          <w:p w14:paraId="4F908927">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14.数据有效率：≥95%</w:t>
            </w:r>
          </w:p>
          <w:p w14:paraId="5F9DBDA5">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15.▲一致性：≥99%；</w:t>
            </w:r>
          </w:p>
          <w:p w14:paraId="6E8BFECF">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16.电源要求：（220±22）VAC；（50±1)Hz；</w:t>
            </w:r>
          </w:p>
          <w:p w14:paraId="1C016023">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17.▲设备具备仪器健康诊断功能与耗材寿命管理及报警功能。</w:t>
            </w:r>
          </w:p>
          <w:p w14:paraId="6E30B47B">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18.▲设备具备适用不同盐度水样测量功能。</w:t>
            </w:r>
          </w:p>
          <w:p w14:paraId="09D72E87">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19.▲设备具备漏电保护和过载保护功能。</w:t>
            </w:r>
          </w:p>
          <w:p w14:paraId="467065BB">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20.▲设备具备自动扣除色度、浊度影响功能。</w:t>
            </w:r>
          </w:p>
          <w:p w14:paraId="361B6C61">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21.▲设备具备安全门锁功能与安全监测功能。</w:t>
            </w:r>
          </w:p>
        </w:tc>
      </w:tr>
    </w:tbl>
    <w:p w14:paraId="02544621">
      <w:pPr>
        <w:keepNext w:val="0"/>
        <w:keepLines w:val="0"/>
        <w:widowControl w:val="0"/>
        <w:suppressLineNumbers w:val="0"/>
        <w:adjustRightInd w:val="0"/>
        <w:snapToGrid w:val="0"/>
        <w:spacing w:before="0" w:beforeAutospacing="0" w:after="120" w:afterAutospacing="0" w:line="400" w:lineRule="exact"/>
        <w:ind w:left="0" w:right="0" w:firstLine="482" w:firstLineChars="200"/>
        <w:jc w:val="left"/>
        <w:outlineLvl w:val="2"/>
        <w:rPr>
          <w:rFonts w:hint="eastAsia" w:ascii="宋体" w:hAnsi="宋体" w:eastAsia="宋体" w:cs="宋体"/>
          <w:b/>
          <w:bCs w:val="0"/>
          <w:kern w:val="0"/>
          <w:sz w:val="24"/>
          <w:szCs w:val="24"/>
        </w:rPr>
      </w:pPr>
      <w:r>
        <w:rPr>
          <w:rFonts w:hint="eastAsia" w:ascii="宋体" w:hAnsi="宋体" w:eastAsia="宋体" w:cs="宋体"/>
          <w:b/>
          <w:bCs w:val="0"/>
          <w:snapToGrid/>
          <w:kern w:val="0"/>
          <w:sz w:val="24"/>
          <w:szCs w:val="24"/>
          <w:lang w:val="en-US" w:eastAsia="zh-CN" w:bidi="ar"/>
        </w:rPr>
        <w:t>3、氨氮水质在线自动分析仪</w:t>
      </w:r>
    </w:p>
    <w:p w14:paraId="5617B391">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1）设备用途</w:t>
      </w:r>
    </w:p>
    <w:p w14:paraId="34BDF0D7">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用于实现精度、检出限、稳定性和维护量的氨氮自动在线监测设备，工作原理符合《HJ 536-2009 水质氨氮的测定水杨酸分光光度法》的技术要求。</w:t>
      </w:r>
    </w:p>
    <w:p w14:paraId="5D922156">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outlineLvl w:val="2"/>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2）产品性能</w:t>
      </w:r>
    </w:p>
    <w:p w14:paraId="0A925EAF">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显色系统应具备完善的保护功能，防止可能出现的漏液等情况。</w:t>
      </w:r>
    </w:p>
    <w:p w14:paraId="7182D26D">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仪器应具备可以调节显色温度及时间，确保反充分。</w:t>
      </w:r>
    </w:p>
    <w:p w14:paraId="6319EE5E">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仪器应具备内置多档量程，仪器可根据水样氨氮含量自动调整量程。</w:t>
      </w:r>
    </w:p>
    <w:p w14:paraId="70647235">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仪器可自动实现校准、清洗等功能。</w:t>
      </w:r>
    </w:p>
    <w:p w14:paraId="17009110">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仪器出现故障时，应具备自我检查和维护功能，确保人身安全和设备安全。</w:t>
      </w:r>
    </w:p>
    <w:p w14:paraId="2F512326">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仪器应具备漏液检测报警功能。</w:t>
      </w:r>
    </w:p>
    <w:p w14:paraId="765E7090">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所有故障信息应能在显示终端处予以记录。</w:t>
      </w:r>
    </w:p>
    <w:p w14:paraId="1D8FC9EF">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显示终端采用触摸屏，分辨率不低于800*480，尺寸不小于7英寸。</w:t>
      </w:r>
    </w:p>
    <w:p w14:paraId="7464EAC9">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outlineLvl w:val="2"/>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仪表应具备现场使用的各种接口（（4~20）mA输入、输出/RS232或RS485通讯/开关量输入、输出等）。</w:t>
      </w:r>
    </w:p>
    <w:p w14:paraId="55D3F4F7">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outlineLvl w:val="2"/>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3）技术规格</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34"/>
        <w:gridCol w:w="6288"/>
      </w:tblGrid>
      <w:tr w14:paraId="49E4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6" w:hRule="atLeast"/>
          <w:jc w:val="center"/>
        </w:trPr>
        <w:tc>
          <w:tcPr>
            <w:tcW w:w="1311" w:type="pct"/>
            <w:tcBorders>
              <w:top w:val="single" w:color="auto" w:sz="4" w:space="0"/>
              <w:left w:val="single" w:color="auto" w:sz="4" w:space="0"/>
              <w:bottom w:val="single" w:color="auto" w:sz="4" w:space="0"/>
              <w:right w:val="single" w:color="auto" w:sz="4" w:space="0"/>
            </w:tcBorders>
            <w:shd w:val="clear" w:color="auto" w:fill="auto"/>
            <w:vAlign w:val="center"/>
          </w:tcPr>
          <w:p w14:paraId="3B0F9A7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bCs w:val="0"/>
                <w:kern w:val="0"/>
                <w:sz w:val="24"/>
                <w:szCs w:val="24"/>
              </w:rPr>
            </w:pPr>
            <w:r>
              <w:rPr>
                <w:rFonts w:hint="eastAsia" w:ascii="宋体" w:hAnsi="宋体" w:eastAsia="宋体" w:cs="宋体"/>
                <w:b/>
                <w:bCs w:val="0"/>
                <w:snapToGrid/>
                <w:kern w:val="0"/>
                <w:sz w:val="24"/>
                <w:szCs w:val="24"/>
                <w:lang w:val="en-US" w:eastAsia="zh-CN" w:bidi="ar"/>
              </w:rPr>
              <w:t>名称</w:t>
            </w:r>
          </w:p>
        </w:tc>
        <w:tc>
          <w:tcPr>
            <w:tcW w:w="3689" w:type="pct"/>
            <w:tcBorders>
              <w:top w:val="single" w:color="auto" w:sz="4" w:space="0"/>
              <w:left w:val="single" w:color="auto" w:sz="4" w:space="0"/>
              <w:bottom w:val="single" w:color="auto" w:sz="4" w:space="0"/>
              <w:right w:val="single" w:color="auto" w:sz="4" w:space="0"/>
            </w:tcBorders>
            <w:shd w:val="clear" w:color="auto" w:fill="auto"/>
            <w:vAlign w:val="center"/>
          </w:tcPr>
          <w:p w14:paraId="37195BE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bCs w:val="0"/>
                <w:kern w:val="0"/>
                <w:sz w:val="24"/>
                <w:szCs w:val="24"/>
              </w:rPr>
            </w:pPr>
            <w:r>
              <w:rPr>
                <w:rFonts w:hint="eastAsia" w:ascii="宋体" w:hAnsi="宋体" w:eastAsia="宋体" w:cs="宋体"/>
                <w:b/>
                <w:bCs w:val="0"/>
                <w:snapToGrid/>
                <w:kern w:val="0"/>
                <w:sz w:val="24"/>
                <w:szCs w:val="24"/>
                <w:lang w:val="en-US" w:eastAsia="zh-CN" w:bidi="ar"/>
              </w:rPr>
              <w:t>技术参数</w:t>
            </w:r>
          </w:p>
        </w:tc>
      </w:tr>
      <w:tr w14:paraId="3780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jc w:val="center"/>
        </w:trPr>
        <w:tc>
          <w:tcPr>
            <w:tcW w:w="1311" w:type="pct"/>
            <w:tcBorders>
              <w:top w:val="single" w:color="auto" w:sz="4" w:space="0"/>
              <w:left w:val="single" w:color="auto" w:sz="4" w:space="0"/>
              <w:bottom w:val="single" w:color="auto" w:sz="4" w:space="0"/>
              <w:right w:val="single" w:color="auto" w:sz="4" w:space="0"/>
            </w:tcBorders>
            <w:shd w:val="clear" w:color="auto" w:fill="auto"/>
            <w:vAlign w:val="center"/>
          </w:tcPr>
          <w:p w14:paraId="6C62A2B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氨氮水质在线分析仪</w:t>
            </w:r>
          </w:p>
        </w:tc>
        <w:tc>
          <w:tcPr>
            <w:tcW w:w="3689" w:type="pct"/>
            <w:tcBorders>
              <w:top w:val="single" w:color="auto" w:sz="4" w:space="0"/>
              <w:left w:val="single" w:color="auto" w:sz="4" w:space="0"/>
              <w:bottom w:val="single" w:color="auto" w:sz="4" w:space="0"/>
              <w:right w:val="single" w:color="auto" w:sz="4" w:space="0"/>
            </w:tcBorders>
            <w:shd w:val="clear" w:color="auto" w:fill="auto"/>
            <w:vAlign w:val="center"/>
          </w:tcPr>
          <w:p w14:paraId="60739AC4">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1.测量方法：水杨酸分光光度法；</w:t>
            </w:r>
          </w:p>
          <w:p w14:paraId="4249B960">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2.测量范围：0.1～10mg/L，可扩展；</w:t>
            </w:r>
          </w:p>
          <w:p w14:paraId="015A48EE">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3.重复性：≤2%；</w:t>
            </w:r>
          </w:p>
          <w:p w14:paraId="324F5532">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4.▲24h低浓度漂移：≤0.005mg/L；</w:t>
            </w:r>
          </w:p>
          <w:p w14:paraId="0A7C6BBB">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5.▲24h高浓度漂移：≤0.5%；</w:t>
            </w:r>
          </w:p>
          <w:p w14:paraId="0C863FB3">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6.定量下限：≤0.15mg/L（示值误差±30%）；</w:t>
            </w:r>
          </w:p>
          <w:p w14:paraId="1AAE5C1E">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7.▲示值误差：</w:t>
            </w:r>
          </w:p>
          <w:p w14:paraId="63A3B4B3">
            <w:pPr>
              <w:keepNext w:val="0"/>
              <w:keepLines w:val="0"/>
              <w:widowControl w:val="0"/>
              <w:suppressLineNumbers w:val="0"/>
              <w:adjustRightInd w:val="0"/>
              <w:snapToGrid w:val="0"/>
              <w:spacing w:before="0" w:beforeAutospacing="0" w:after="0" w:afterAutospacing="0"/>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20%量程点，±1.5%；</w:t>
            </w:r>
          </w:p>
          <w:p w14:paraId="1F42AAF5">
            <w:pPr>
              <w:keepNext w:val="0"/>
              <w:keepLines w:val="0"/>
              <w:widowControl w:val="0"/>
              <w:suppressLineNumbers w:val="0"/>
              <w:adjustRightInd w:val="0"/>
              <w:snapToGrid w:val="0"/>
              <w:spacing w:before="0" w:beforeAutospacing="0" w:after="0" w:afterAutospacing="0"/>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50%量程点，±1.0%；</w:t>
            </w:r>
          </w:p>
          <w:p w14:paraId="51254B3E">
            <w:pPr>
              <w:keepNext w:val="0"/>
              <w:keepLines w:val="0"/>
              <w:widowControl w:val="0"/>
              <w:suppressLineNumbers w:val="0"/>
              <w:adjustRightInd w:val="0"/>
              <w:snapToGrid w:val="0"/>
              <w:spacing w:before="0" w:beforeAutospacing="0" w:after="0" w:afterAutospacing="0"/>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80%量程点，±1.0%；</w:t>
            </w:r>
          </w:p>
          <w:p w14:paraId="31C05202">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8.▲环境温度影响：±1.0%；</w:t>
            </w:r>
          </w:p>
          <w:p w14:paraId="6C30BC8E">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9.检出限：≤0.05mg/L；</w:t>
            </w:r>
          </w:p>
          <w:p w14:paraId="6A094D6A">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10.实际水样比对试验：</w:t>
            </w:r>
          </w:p>
          <w:p w14:paraId="1ABA0D75">
            <w:pPr>
              <w:keepNext w:val="0"/>
              <w:keepLines w:val="0"/>
              <w:widowControl w:val="0"/>
              <w:suppressLineNumbers w:val="0"/>
              <w:adjustRightInd w:val="0"/>
              <w:snapToGrid w:val="0"/>
              <w:spacing w:before="0" w:beforeAutospacing="0" w:after="0" w:afterAutospacing="0"/>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氨氮≥2mg/L，相对误差≤10%；</w:t>
            </w:r>
          </w:p>
          <w:p w14:paraId="725AC1E3">
            <w:pPr>
              <w:keepNext w:val="0"/>
              <w:keepLines w:val="0"/>
              <w:widowControl w:val="0"/>
              <w:suppressLineNumbers w:val="0"/>
              <w:adjustRightInd w:val="0"/>
              <w:snapToGrid w:val="0"/>
              <w:spacing w:before="0" w:beforeAutospacing="0" w:after="0" w:afterAutospacing="0"/>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氨氮＜2mg/L，绝对误差≤0.2mg/L。</w:t>
            </w:r>
          </w:p>
          <w:p w14:paraId="029F8E67">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11.最小维护周期：≥168h；</w:t>
            </w:r>
          </w:p>
          <w:p w14:paraId="2CFB5AC6">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12.数据有效率：≥90%；</w:t>
            </w:r>
          </w:p>
          <w:p w14:paraId="71A1B5BB">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13.▲一致性：≥99%；</w:t>
            </w:r>
          </w:p>
          <w:p w14:paraId="21C6C602">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14.通讯方式：数字输出：RS232/RS485/4-20mA；</w:t>
            </w:r>
          </w:p>
          <w:p w14:paraId="0223077C">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15.电源要求：（220±22）VAC；（50±1)Hz；</w:t>
            </w:r>
          </w:p>
          <w:p w14:paraId="5B634E2D">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16.工作环境温度：(5~45)℃；</w:t>
            </w:r>
          </w:p>
          <w:p w14:paraId="63FBD26B">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17.▲设备具备试剂冷藏功能；</w:t>
            </w:r>
          </w:p>
          <w:p w14:paraId="574911EC">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18.▲设备具备仪器健康诊断功能与耗材寿命管理及报警功能；</w:t>
            </w:r>
          </w:p>
          <w:p w14:paraId="060DBA7E">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19.▲设备具备适用不同盐度水样测量功能；</w:t>
            </w:r>
          </w:p>
          <w:p w14:paraId="379174F2">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20.▲设备具备漏电保护和过载保护功能；</w:t>
            </w:r>
          </w:p>
          <w:p w14:paraId="08609B73">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21.▲设备具备自动扣除色度、浊度影响功能；</w:t>
            </w:r>
          </w:p>
          <w:p w14:paraId="621E98D5">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22.具有仪器运行周期（连续、间歇、周期、手动）设置功能；</w:t>
            </w:r>
          </w:p>
          <w:p w14:paraId="1404436E">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23.具有废液分离功能，做样时根据废液性质不同分别排放；</w:t>
            </w:r>
          </w:p>
          <w:p w14:paraId="56F1112D">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24.存储、查询至少1年以上历史数据；</w:t>
            </w:r>
          </w:p>
        </w:tc>
      </w:tr>
    </w:tbl>
    <w:p w14:paraId="35C7574B">
      <w:pPr>
        <w:keepNext w:val="0"/>
        <w:keepLines w:val="0"/>
        <w:widowControl w:val="0"/>
        <w:suppressLineNumbers w:val="0"/>
        <w:adjustRightInd w:val="0"/>
        <w:snapToGrid w:val="0"/>
        <w:spacing w:before="0" w:beforeAutospacing="0" w:after="120" w:afterAutospacing="0" w:line="400" w:lineRule="exact"/>
        <w:ind w:left="0" w:right="0" w:firstLine="482" w:firstLineChars="200"/>
        <w:jc w:val="left"/>
        <w:outlineLvl w:val="2"/>
        <w:rPr>
          <w:rFonts w:hint="eastAsia" w:ascii="宋体" w:hAnsi="宋体" w:eastAsia="宋体" w:cs="宋体"/>
          <w:b/>
          <w:bCs w:val="0"/>
          <w:kern w:val="0"/>
          <w:sz w:val="24"/>
          <w:szCs w:val="24"/>
        </w:rPr>
      </w:pPr>
      <w:r>
        <w:rPr>
          <w:rFonts w:hint="eastAsia" w:ascii="宋体" w:hAnsi="宋体" w:eastAsia="宋体" w:cs="宋体"/>
          <w:b/>
          <w:bCs w:val="0"/>
          <w:snapToGrid/>
          <w:kern w:val="0"/>
          <w:sz w:val="24"/>
          <w:szCs w:val="24"/>
          <w:lang w:val="en-US" w:eastAsia="zh-CN" w:bidi="ar"/>
        </w:rPr>
        <w:t>4、视频监控系统升级</w:t>
      </w:r>
    </w:p>
    <w:p w14:paraId="4634E24C">
      <w:pPr>
        <w:keepNext w:val="0"/>
        <w:keepLines w:val="0"/>
        <w:widowControl/>
        <w:suppressLineNumbers w:val="0"/>
        <w:autoSpaceDE w:val="0"/>
        <w:autoSpaceDN/>
        <w:adjustRightInd w:val="0"/>
        <w:snapToGrid w:val="0"/>
        <w:spacing w:before="0" w:beforeAutospacing="0" w:after="0" w:afterAutospacing="0" w:line="360" w:lineRule="auto"/>
        <w:ind w:left="0" w:right="0" w:firstLine="360" w:firstLineChars="150"/>
        <w:jc w:val="left"/>
        <w:rPr>
          <w:rFonts w:hint="default" w:ascii="宋体" w:hAnsi="宋体" w:eastAsia="宋体" w:cs="宋体"/>
          <w:snapToGrid/>
          <w:color w:val="000000"/>
          <w:kern w:val="0"/>
          <w:sz w:val="24"/>
          <w:szCs w:val="24"/>
          <w:lang w:val="en-US" w:eastAsia="zh-CN" w:bidi="ar"/>
        </w:rPr>
      </w:pPr>
      <w:r>
        <w:rPr>
          <w:rFonts w:hint="default" w:ascii="宋体" w:hAnsi="宋体" w:eastAsia="宋体" w:cs="宋体"/>
          <w:snapToGrid/>
          <w:color w:val="000000"/>
          <w:kern w:val="0"/>
          <w:sz w:val="24"/>
          <w:szCs w:val="24"/>
          <w:lang w:val="en-US" w:eastAsia="zh-CN" w:bidi="ar"/>
        </w:rPr>
        <w:t>两座污水站现有的视频监控系统，分别各有1080P摄像头四个，视频存储回放不满足一年，需进行升级。升级后满足《关于加强技术防控提升排污单位自行监测质量的通知》附录二中的要求。具体要求如下（满足不限于）：</w:t>
      </w:r>
    </w:p>
    <w:p w14:paraId="4B00A1B1">
      <w:pPr>
        <w:keepNext w:val="0"/>
        <w:keepLines w:val="0"/>
        <w:widowControl/>
        <w:suppressLineNumbers w:val="0"/>
        <w:autoSpaceDE w:val="0"/>
        <w:autoSpaceDN/>
        <w:adjustRightInd w:val="0"/>
        <w:snapToGrid w:val="0"/>
        <w:spacing w:before="0" w:beforeAutospacing="0" w:after="0" w:afterAutospacing="0" w:line="360" w:lineRule="auto"/>
        <w:ind w:left="0" w:right="0" w:firstLine="360" w:firstLineChars="150"/>
        <w:jc w:val="left"/>
        <w:rPr>
          <w:rFonts w:hint="default"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1.</w:t>
      </w:r>
      <w:r>
        <w:rPr>
          <w:rFonts w:hint="default" w:ascii="宋体" w:hAnsi="宋体" w:eastAsia="宋体" w:cs="宋体"/>
          <w:snapToGrid/>
          <w:color w:val="000000"/>
          <w:kern w:val="0"/>
          <w:sz w:val="24"/>
          <w:szCs w:val="24"/>
          <w:lang w:val="en-US" w:eastAsia="zh-CN" w:bidi="ar"/>
        </w:rPr>
        <w:t>视频数据分别存储于两座污水站现场的硬盘录像机中，存储时限不少于1年（每个硬盘录像机容量不小于64TB）。</w:t>
      </w:r>
    </w:p>
    <w:p w14:paraId="0BD10EAD">
      <w:pPr>
        <w:keepNext w:val="0"/>
        <w:keepLines w:val="0"/>
        <w:widowControl/>
        <w:suppressLineNumbers w:val="0"/>
        <w:autoSpaceDE w:val="0"/>
        <w:autoSpaceDN/>
        <w:adjustRightInd w:val="0"/>
        <w:snapToGrid w:val="0"/>
        <w:spacing w:before="0" w:beforeAutospacing="0" w:after="0" w:afterAutospacing="0" w:line="360" w:lineRule="auto"/>
        <w:ind w:left="0" w:right="0" w:firstLine="360" w:firstLineChars="150"/>
        <w:jc w:val="left"/>
        <w:rPr>
          <w:rFonts w:hint="default"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2.</w:t>
      </w:r>
      <w:r>
        <w:rPr>
          <w:rFonts w:hint="default" w:ascii="宋体" w:hAnsi="宋体" w:eastAsia="宋体" w:cs="宋体"/>
          <w:snapToGrid/>
          <w:color w:val="000000"/>
          <w:kern w:val="0"/>
          <w:sz w:val="24"/>
          <w:szCs w:val="24"/>
          <w:lang w:val="en-US" w:eastAsia="zh-CN" w:bidi="ar"/>
        </w:rPr>
        <w:t>硬盘录像机应支持H.264、H.265、Smart264、Smart265 等视频解码格式，具有录像、浏览、检索、回放、下载、录像标记、录像锁定等功能。</w:t>
      </w:r>
    </w:p>
    <w:p w14:paraId="3246FA1B">
      <w:pPr>
        <w:keepNext w:val="0"/>
        <w:keepLines w:val="0"/>
        <w:widowControl/>
        <w:suppressLineNumbers w:val="0"/>
        <w:autoSpaceDE w:val="0"/>
        <w:autoSpaceDN/>
        <w:adjustRightInd w:val="0"/>
        <w:snapToGrid w:val="0"/>
        <w:spacing w:before="0" w:beforeAutospacing="0" w:after="0" w:afterAutospacing="0" w:line="360" w:lineRule="auto"/>
        <w:ind w:left="0" w:right="0" w:firstLine="360" w:firstLineChars="150"/>
        <w:jc w:val="left"/>
        <w:rPr>
          <w:rFonts w:hint="default"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3.</w:t>
      </w:r>
      <w:r>
        <w:rPr>
          <w:rFonts w:hint="default" w:ascii="宋体" w:hAnsi="宋体" w:eastAsia="宋体" w:cs="宋体"/>
          <w:snapToGrid/>
          <w:color w:val="000000"/>
          <w:kern w:val="0"/>
          <w:sz w:val="24"/>
          <w:szCs w:val="24"/>
          <w:lang w:val="en-US" w:eastAsia="zh-CN" w:bidi="ar"/>
        </w:rPr>
        <w:t>不少于2个百兆以太网口，不少于1路 HDMI、1 路 VGA 输出支持 1920x1080 以上分辨率视频输出显示。</w:t>
      </w:r>
    </w:p>
    <w:p w14:paraId="59ADE46D">
      <w:pPr>
        <w:keepNext w:val="0"/>
        <w:keepLines w:val="0"/>
        <w:widowControl w:val="0"/>
        <w:suppressLineNumbers w:val="0"/>
        <w:adjustRightInd w:val="0"/>
        <w:snapToGrid w:val="0"/>
        <w:spacing w:before="0" w:beforeAutospacing="0" w:after="120" w:afterAutospacing="0" w:line="400" w:lineRule="exact"/>
        <w:ind w:left="0" w:right="0" w:firstLine="482" w:firstLineChars="200"/>
        <w:jc w:val="left"/>
        <w:outlineLvl w:val="2"/>
        <w:rPr>
          <w:rFonts w:hint="eastAsia" w:ascii="宋体" w:hAnsi="宋体" w:eastAsia="宋体" w:cs="宋体"/>
          <w:b/>
          <w:bCs w:val="0"/>
          <w:snapToGrid/>
          <w:kern w:val="0"/>
          <w:sz w:val="24"/>
          <w:szCs w:val="24"/>
          <w:lang w:val="en-US" w:eastAsia="zh-CN" w:bidi="ar"/>
        </w:rPr>
      </w:pPr>
      <w:r>
        <w:rPr>
          <w:rFonts w:hint="eastAsia" w:ascii="宋体" w:hAnsi="宋体" w:eastAsia="宋体" w:cs="宋体"/>
          <w:b/>
          <w:bCs w:val="0"/>
          <w:snapToGrid/>
          <w:kern w:val="0"/>
          <w:sz w:val="24"/>
          <w:szCs w:val="24"/>
          <w:lang w:val="en-US" w:eastAsia="zh-CN" w:bidi="ar"/>
        </w:rPr>
        <w:t>三、报价要求</w:t>
      </w:r>
    </w:p>
    <w:p w14:paraId="3DB4617D">
      <w:pPr>
        <w:keepNext w:val="0"/>
        <w:keepLines w:val="0"/>
        <w:widowControl/>
        <w:suppressLineNumbers w:val="0"/>
        <w:autoSpaceDE w:val="0"/>
        <w:autoSpaceDN/>
        <w:adjustRightInd w:val="0"/>
        <w:snapToGrid w:val="0"/>
        <w:spacing w:before="0" w:beforeAutospacing="0" w:after="0" w:afterAutospacing="0" w:line="360" w:lineRule="auto"/>
        <w:ind w:left="0" w:right="0" w:firstLine="360" w:firstLineChars="150"/>
        <w:jc w:val="left"/>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1.总价</w:t>
      </w:r>
      <w:r>
        <w:rPr>
          <w:rFonts w:hint="eastAsia" w:ascii="宋体" w:hAnsi="宋体" w:eastAsia="宋体" w:cs="宋体"/>
          <w:snapToGrid/>
          <w:kern w:val="0"/>
          <w:sz w:val="24"/>
          <w:szCs w:val="24"/>
          <w:u w:val="single"/>
          <w:lang w:val="en-US" w:eastAsia="zh-CN" w:bidi="ar"/>
        </w:rPr>
        <w:t>27.5万元</w:t>
      </w:r>
      <w:r>
        <w:rPr>
          <w:rFonts w:hint="eastAsia" w:ascii="宋体" w:hAnsi="宋体" w:eastAsia="宋体" w:cs="宋体"/>
          <w:snapToGrid/>
          <w:color w:val="000000"/>
          <w:kern w:val="0"/>
          <w:sz w:val="24"/>
          <w:szCs w:val="24"/>
          <w:lang w:val="en-US" w:eastAsia="zh-CN" w:bidi="ar"/>
        </w:rPr>
        <w:t>，投标报价不得高于最高限价及单价最高限价。</w:t>
      </w:r>
    </w:p>
    <w:p w14:paraId="3B5F98B9">
      <w:pPr>
        <w:keepNext w:val="0"/>
        <w:keepLines w:val="0"/>
        <w:widowControl/>
        <w:suppressLineNumbers w:val="0"/>
        <w:autoSpaceDE w:val="0"/>
        <w:autoSpaceDN/>
        <w:adjustRightInd w:val="0"/>
        <w:snapToGrid w:val="0"/>
        <w:spacing w:before="0" w:beforeAutospacing="0" w:after="0" w:afterAutospacing="0" w:line="360" w:lineRule="auto"/>
        <w:ind w:left="0" w:right="0" w:firstLine="360" w:firstLineChars="150"/>
        <w:jc w:val="left"/>
        <w:rPr>
          <w:rFonts w:eastAsia="宋体"/>
          <w:kern w:val="0"/>
          <w:sz w:val="24"/>
          <w:szCs w:val="24"/>
        </w:rPr>
      </w:pPr>
      <w:r>
        <w:rPr>
          <w:rFonts w:hint="eastAsia" w:ascii="宋体" w:hAnsi="宋体" w:eastAsia="宋体" w:cs="宋体"/>
          <w:snapToGrid/>
          <w:color w:val="000000"/>
          <w:kern w:val="0"/>
          <w:sz w:val="24"/>
          <w:szCs w:val="24"/>
          <w:lang w:val="en-US" w:eastAsia="zh-CN" w:bidi="ar"/>
        </w:rPr>
        <w:t xml:space="preserve">2.中标人中标后需要按投标承诺及投标方案提供培训及售后服务，需按时提供本项目售后服务方案、培训方案，所需费用均包含在投标报价中。 </w:t>
      </w:r>
    </w:p>
    <w:p w14:paraId="029F2BA2">
      <w:pPr>
        <w:keepNext w:val="0"/>
        <w:keepLines w:val="0"/>
        <w:widowControl/>
        <w:suppressLineNumbers w:val="0"/>
        <w:autoSpaceDE w:val="0"/>
        <w:autoSpaceDN/>
        <w:adjustRightInd w:val="0"/>
        <w:snapToGrid w:val="0"/>
        <w:spacing w:before="0" w:beforeAutospacing="0" w:after="0" w:afterAutospacing="0" w:line="360" w:lineRule="auto"/>
        <w:ind w:left="0" w:right="0" w:firstLine="360" w:firstLineChars="150"/>
        <w:jc w:val="left"/>
        <w:rPr>
          <w:rFonts w:eastAsia="宋体"/>
          <w:kern w:val="0"/>
          <w:sz w:val="24"/>
          <w:szCs w:val="24"/>
        </w:rPr>
      </w:pPr>
      <w:r>
        <w:rPr>
          <w:rFonts w:hint="eastAsia" w:ascii="宋体" w:hAnsi="宋体" w:eastAsia="宋体" w:cs="宋体"/>
          <w:snapToGrid/>
          <w:color w:val="000000"/>
          <w:kern w:val="0"/>
          <w:sz w:val="24"/>
          <w:szCs w:val="24"/>
          <w:lang w:val="en-US" w:eastAsia="zh-CN" w:bidi="ar"/>
        </w:rPr>
        <w:t xml:space="preserve">3.本项目涉及设备调试费用均已包含在各项单价中，投标人报价时可勘察现场后自行考虑此项费用，结算时不予调整； </w:t>
      </w:r>
    </w:p>
    <w:p w14:paraId="0DCDA871">
      <w:pPr>
        <w:keepNext w:val="0"/>
        <w:keepLines w:val="0"/>
        <w:widowControl/>
        <w:suppressLineNumbers w:val="0"/>
        <w:autoSpaceDE w:val="0"/>
        <w:autoSpaceDN/>
        <w:adjustRightInd w:val="0"/>
        <w:snapToGrid w:val="0"/>
        <w:spacing w:before="0" w:beforeAutospacing="0" w:after="0" w:afterAutospacing="0" w:line="360" w:lineRule="auto"/>
        <w:ind w:left="0" w:right="0" w:firstLine="360" w:firstLineChars="150"/>
        <w:jc w:val="left"/>
        <w:rPr>
          <w:rFonts w:eastAsia="宋体"/>
          <w:kern w:val="0"/>
          <w:sz w:val="24"/>
          <w:szCs w:val="24"/>
        </w:rPr>
      </w:pPr>
      <w:r>
        <w:rPr>
          <w:rFonts w:hint="eastAsia" w:ascii="宋体" w:hAnsi="宋体" w:eastAsia="宋体" w:cs="宋体"/>
          <w:snapToGrid/>
          <w:color w:val="000000"/>
          <w:kern w:val="0"/>
          <w:sz w:val="24"/>
          <w:szCs w:val="24"/>
          <w:lang w:val="en-US" w:eastAsia="zh-CN" w:bidi="ar"/>
        </w:rPr>
        <w:t xml:space="preserve">4.项目涉及到安装过程的配套实施内容，此项费用综合考虑，包含在投标报价中，投标人可自行前往医院勘查现场后考虑报价，结算不予调整。 </w:t>
      </w:r>
    </w:p>
    <w:p w14:paraId="77EF6B09">
      <w:pPr>
        <w:keepNext w:val="0"/>
        <w:keepLines w:val="0"/>
        <w:widowControl/>
        <w:suppressLineNumbers w:val="0"/>
        <w:autoSpaceDE w:val="0"/>
        <w:autoSpaceDN/>
        <w:adjustRightInd w:val="0"/>
        <w:snapToGrid w:val="0"/>
        <w:spacing w:before="0" w:beforeAutospacing="0" w:after="0" w:afterAutospacing="0" w:line="360" w:lineRule="auto"/>
        <w:ind w:left="0" w:right="0" w:firstLine="360" w:firstLineChars="150"/>
        <w:jc w:val="left"/>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5.综合单价包括：设备费、运输费、实施过程中所需产生的第三方检测等费用、管理费、利润、风险费用、调试、培训及后期服务及国家对中标单位征收的各种税费等所有一切费用，综合单价今后将不作任何调整。</w:t>
      </w:r>
    </w:p>
    <w:p w14:paraId="5F40E95D">
      <w:pPr>
        <w:keepNext w:val="0"/>
        <w:keepLines w:val="0"/>
        <w:widowControl w:val="0"/>
        <w:suppressLineNumbers w:val="0"/>
        <w:adjustRightInd w:val="0"/>
        <w:snapToGrid w:val="0"/>
        <w:spacing w:before="0" w:beforeAutospacing="0" w:after="120" w:afterAutospacing="0" w:line="400" w:lineRule="exact"/>
        <w:ind w:left="0" w:right="0" w:firstLine="482" w:firstLineChars="200"/>
        <w:jc w:val="left"/>
        <w:outlineLvl w:val="2"/>
        <w:rPr>
          <w:rFonts w:hint="eastAsia" w:ascii="宋体" w:hAnsi="宋体" w:eastAsia="宋体" w:cs="宋体"/>
          <w:b/>
          <w:bCs w:val="0"/>
          <w:snapToGrid/>
          <w:kern w:val="0"/>
          <w:sz w:val="24"/>
          <w:szCs w:val="24"/>
          <w:lang w:val="en-US" w:eastAsia="zh-CN" w:bidi="ar"/>
        </w:rPr>
      </w:pPr>
      <w:r>
        <w:rPr>
          <w:rFonts w:hint="eastAsia" w:ascii="宋体" w:hAnsi="宋体" w:eastAsia="宋体" w:cs="宋体"/>
          <w:b/>
          <w:bCs w:val="0"/>
          <w:snapToGrid/>
          <w:kern w:val="0"/>
          <w:sz w:val="24"/>
          <w:szCs w:val="24"/>
          <w:lang w:val="en-US" w:eastAsia="zh-CN" w:bidi="ar"/>
        </w:rPr>
        <w:t>四、其他要求</w:t>
      </w:r>
    </w:p>
    <w:p w14:paraId="4931AF1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水质在线监测仪参考品牌：碧水、皖仪、聚光；供应商可选择其他品牌，但是必须满足相关技术要求。</w:t>
      </w:r>
    </w:p>
    <w:p w14:paraId="09DA02D1">
      <w:pPr>
        <w:spacing w:line="360" w:lineRule="auto"/>
        <w:jc w:val="center"/>
        <w:outlineLvl w:val="0"/>
        <w:rPr>
          <w:rFonts w:hint="eastAsia" w:ascii="宋体" w:hAnsi="宋体" w:eastAsia="宋体"/>
          <w:b/>
          <w:color w:val="auto"/>
          <w:sz w:val="28"/>
          <w:highlight w:val="none"/>
        </w:rPr>
      </w:pPr>
    </w:p>
    <w:p w14:paraId="7913B1CF">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第四章  评标方法和标准（综合评分法）</w:t>
      </w:r>
      <w:bookmarkEnd w:id="32"/>
    </w:p>
    <w:p w14:paraId="4A3564FA">
      <w:pPr>
        <w:spacing w:line="360" w:lineRule="auto"/>
        <w:ind w:firstLine="437"/>
        <w:outlineLvl w:val="1"/>
        <w:rPr>
          <w:rFonts w:ascii="宋体" w:hAnsi="宋体" w:eastAsia="宋体"/>
          <w:b/>
          <w:color w:val="auto"/>
          <w:sz w:val="24"/>
          <w:highlight w:val="none"/>
        </w:rPr>
      </w:pPr>
      <w:bookmarkStart w:id="34" w:name="_Toc1246"/>
      <w:bookmarkStart w:id="35" w:name="_Toc11823"/>
      <w:r>
        <w:rPr>
          <w:rFonts w:hint="eastAsia" w:ascii="宋体" w:hAnsi="宋体" w:eastAsia="宋体"/>
          <w:b/>
          <w:color w:val="auto"/>
          <w:sz w:val="24"/>
          <w:highlight w:val="none"/>
        </w:rPr>
        <w:t>一、总则</w:t>
      </w:r>
      <w:bookmarkEnd w:id="34"/>
      <w:bookmarkEnd w:id="35"/>
    </w:p>
    <w:p w14:paraId="42A4A2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39674257">
      <w:pPr>
        <w:spacing w:line="360" w:lineRule="auto"/>
        <w:ind w:firstLine="437"/>
        <w:outlineLvl w:val="1"/>
        <w:rPr>
          <w:rFonts w:ascii="宋体" w:hAnsi="宋体" w:eastAsia="宋体"/>
          <w:b/>
          <w:color w:val="auto"/>
          <w:sz w:val="24"/>
          <w:highlight w:val="none"/>
        </w:rPr>
      </w:pPr>
      <w:bookmarkStart w:id="36" w:name="_Toc13117"/>
      <w:bookmarkStart w:id="37" w:name="_Toc31871"/>
      <w:r>
        <w:rPr>
          <w:rFonts w:hint="eastAsia" w:ascii="宋体" w:hAnsi="宋体" w:eastAsia="宋体"/>
          <w:b/>
          <w:color w:val="auto"/>
          <w:sz w:val="24"/>
          <w:highlight w:val="none"/>
        </w:rPr>
        <w:t>二、评标方法</w:t>
      </w:r>
      <w:bookmarkEnd w:id="36"/>
      <w:bookmarkEnd w:id="37"/>
    </w:p>
    <w:p w14:paraId="7E502A62">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647"/>
        <w:gridCol w:w="4552"/>
        <w:gridCol w:w="1905"/>
      </w:tblGrid>
      <w:tr w14:paraId="5E64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29C01C18">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5C9B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24A0712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40" w:type="pct"/>
            <w:tcBorders>
              <w:bottom w:val="single" w:color="auto" w:sz="4" w:space="0"/>
            </w:tcBorders>
            <w:vAlign w:val="center"/>
          </w:tcPr>
          <w:p w14:paraId="26E27842">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598" w:type="pct"/>
            <w:tcBorders>
              <w:bottom w:val="single" w:color="auto" w:sz="4" w:space="0"/>
            </w:tcBorders>
            <w:vAlign w:val="center"/>
          </w:tcPr>
          <w:p w14:paraId="338D1EB4">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84" w:type="pct"/>
            <w:tcBorders>
              <w:bottom w:val="single" w:color="auto" w:sz="4" w:space="0"/>
            </w:tcBorders>
            <w:vAlign w:val="center"/>
          </w:tcPr>
          <w:p w14:paraId="1C48FC62">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721A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5" w:type="pct"/>
            <w:tcBorders>
              <w:bottom w:val="single" w:color="auto" w:sz="4" w:space="0"/>
            </w:tcBorders>
            <w:vAlign w:val="center"/>
          </w:tcPr>
          <w:p w14:paraId="5BFBEC0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40" w:type="pct"/>
            <w:tcBorders>
              <w:bottom w:val="single" w:color="auto" w:sz="4" w:space="0"/>
            </w:tcBorders>
            <w:vAlign w:val="center"/>
          </w:tcPr>
          <w:p w14:paraId="7DC2324E">
            <w:pPr>
              <w:keepNext w:val="0"/>
              <w:keepLines w:val="0"/>
              <w:suppressLineNumbers w:val="0"/>
              <w:spacing w:before="0" w:beforeAutospacing="0" w:after="50" w:afterAutospacing="0" w:line="360" w:lineRule="auto"/>
              <w:ind w:left="0" w:right="-10" w:rightChars="0"/>
              <w:jc w:val="center"/>
              <w:rPr>
                <w:rFonts w:hint="default" w:ascii="宋体" w:hAnsi="宋体" w:eastAsia="宋体" w:cs="@仿宋_GB2312"/>
                <w:color w:val="auto"/>
                <w:kern w:val="2"/>
                <w:sz w:val="24"/>
                <w:szCs w:val="28"/>
                <w:highlight w:val="none"/>
                <w:lang w:val="en-US" w:eastAsia="zh-CN" w:bidi="ar-SA"/>
              </w:rPr>
            </w:pPr>
            <w:r>
              <w:rPr>
                <w:rFonts w:hint="default" w:ascii="宋体" w:hAnsi="宋体" w:eastAsia="宋体" w:cs="宋体"/>
                <w:spacing w:val="9"/>
                <w:sz w:val="24"/>
                <w:szCs w:val="24"/>
                <w:highlight w:val="none"/>
              </w:rPr>
              <w:t>营业执照等证明</w:t>
            </w:r>
            <w:r>
              <w:rPr>
                <w:rFonts w:hint="default" w:ascii="宋体" w:hAnsi="宋体" w:eastAsia="宋体" w:cs="宋体"/>
                <w:spacing w:val="-3"/>
                <w:sz w:val="24"/>
                <w:szCs w:val="24"/>
                <w:highlight w:val="none"/>
              </w:rPr>
              <w:t>文件</w:t>
            </w:r>
          </w:p>
        </w:tc>
        <w:tc>
          <w:tcPr>
            <w:tcW w:w="2598" w:type="pct"/>
            <w:tcBorders>
              <w:bottom w:val="single" w:color="auto" w:sz="4" w:space="0"/>
            </w:tcBorders>
            <w:vAlign w:val="center"/>
          </w:tcPr>
          <w:p w14:paraId="4C187524">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供有效的营业执照；</w:t>
            </w:r>
          </w:p>
          <w:p w14:paraId="541117E0">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供有效的事业单位法人证书；</w:t>
            </w:r>
          </w:p>
          <w:p w14:paraId="272EC270">
            <w:pPr>
              <w:keepNext w:val="0"/>
              <w:keepLines w:val="0"/>
              <w:suppressLineNumbers w:val="0"/>
              <w:spacing w:before="0" w:beforeAutospacing="0" w:after="50" w:afterAutospacing="0" w:line="360" w:lineRule="auto"/>
              <w:ind w:left="0" w:right="-10" w:rightChars="0"/>
              <w:jc w:val="left"/>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default" w:ascii="宋体" w:hAnsi="宋体" w:eastAsia="宋体" w:cs="宋体"/>
                <w:sz w:val="24"/>
                <w:szCs w:val="24"/>
                <w:highlight w:val="none"/>
              </w:rPr>
              <w:t>登记证书等证明文件；</w:t>
            </w:r>
          </w:p>
        </w:tc>
        <w:tc>
          <w:tcPr>
            <w:tcW w:w="1084" w:type="pct"/>
            <w:vAlign w:val="center"/>
          </w:tcPr>
          <w:p w14:paraId="537EE024">
            <w:pPr>
              <w:keepNext w:val="0"/>
              <w:keepLines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1D6E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5" w:type="pct"/>
            <w:tcBorders>
              <w:bottom w:val="single" w:color="auto" w:sz="4" w:space="0"/>
            </w:tcBorders>
            <w:vAlign w:val="center"/>
          </w:tcPr>
          <w:p w14:paraId="74EF353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40" w:type="pct"/>
            <w:tcBorders>
              <w:bottom w:val="single" w:color="auto" w:sz="4" w:space="0"/>
            </w:tcBorders>
            <w:vAlign w:val="center"/>
          </w:tcPr>
          <w:p w14:paraId="3B376E81">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98" w:type="pct"/>
            <w:tcBorders>
              <w:bottom w:val="single" w:color="auto" w:sz="4" w:space="0"/>
            </w:tcBorders>
            <w:vAlign w:val="center"/>
          </w:tcPr>
          <w:p w14:paraId="4947959C">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84" w:type="pct"/>
            <w:vAlign w:val="center"/>
          </w:tcPr>
          <w:p w14:paraId="12B4E41C">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569E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5" w:type="pct"/>
            <w:tcBorders>
              <w:bottom w:val="single" w:color="auto" w:sz="4" w:space="0"/>
            </w:tcBorders>
            <w:vAlign w:val="center"/>
          </w:tcPr>
          <w:p w14:paraId="2243475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1927" w:type="dxa"/>
            <w:tcBorders>
              <w:bottom w:val="single" w:color="auto" w:sz="4" w:space="0"/>
            </w:tcBorders>
            <w:vAlign w:val="center"/>
          </w:tcPr>
          <w:p w14:paraId="2239E320">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18"/>
                <w:highlight w:val="none"/>
                <w:lang w:val="en-US" w:eastAsia="zh-CN"/>
              </w:rPr>
            </w:pPr>
            <w:r>
              <w:rPr>
                <w:rFonts w:hint="eastAsia" w:ascii="宋体" w:hAnsi="宋体" w:eastAsia="宋体"/>
                <w:sz w:val="24"/>
                <w:szCs w:val="18"/>
              </w:rPr>
              <w:t>诚信履约承诺函</w:t>
            </w:r>
          </w:p>
        </w:tc>
        <w:tc>
          <w:tcPr>
            <w:tcW w:w="5323" w:type="dxa"/>
            <w:tcBorders>
              <w:bottom w:val="single" w:color="auto" w:sz="4" w:space="0"/>
            </w:tcBorders>
            <w:vAlign w:val="center"/>
          </w:tcPr>
          <w:p w14:paraId="12957F5F">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sz w:val="24"/>
                <w:szCs w:val="18"/>
              </w:rPr>
              <w:t>提供符合招标文件要求的《诚信履约承诺函》。</w:t>
            </w:r>
          </w:p>
        </w:tc>
        <w:tc>
          <w:tcPr>
            <w:tcW w:w="2221" w:type="dxa"/>
            <w:vAlign w:val="center"/>
          </w:tcPr>
          <w:p w14:paraId="597DB181">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20"/>
                <w:highlight w:val="none"/>
              </w:rPr>
            </w:pPr>
            <w:r>
              <w:rPr>
                <w:rFonts w:hint="eastAsia" w:ascii="宋体" w:hAnsi="宋体" w:eastAsia="宋体"/>
                <w:sz w:val="24"/>
                <w:szCs w:val="18"/>
              </w:rPr>
              <w:t>详见第六章投标文件格式。</w:t>
            </w:r>
          </w:p>
        </w:tc>
      </w:tr>
      <w:tr w14:paraId="3458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6213850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w:t>
            </w:r>
          </w:p>
        </w:tc>
        <w:tc>
          <w:tcPr>
            <w:tcW w:w="940" w:type="pct"/>
            <w:tcBorders>
              <w:bottom w:val="single" w:color="auto" w:sz="4" w:space="0"/>
            </w:tcBorders>
            <w:vAlign w:val="center"/>
          </w:tcPr>
          <w:p w14:paraId="711F310B">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5323" w:type="dxa"/>
            <w:tcBorders>
              <w:bottom w:val="single" w:color="auto" w:sz="4" w:space="0"/>
            </w:tcBorders>
            <w:vAlign w:val="center"/>
          </w:tcPr>
          <w:p w14:paraId="7F26B234">
            <w:pPr>
              <w:keepNext w:val="0"/>
              <w:keepLines w:val="0"/>
              <w:suppressLineNumbers w:val="0"/>
              <w:spacing w:before="0" w:beforeAutospacing="0" w:after="50" w:afterAutospacing="0" w:line="360" w:lineRule="auto"/>
              <w:ind w:left="0" w:right="-10" w:rightChars="0"/>
              <w:jc w:val="left"/>
              <w:rPr>
                <w:rFonts w:hint="default"/>
                <w:szCs w:val="20"/>
                <w:highlight w:val="none"/>
              </w:rPr>
            </w:pPr>
            <w:r>
              <w:rPr>
                <w:rFonts w:hint="eastAsia" w:ascii="宋体" w:hAnsi="宋体" w:eastAsia="宋体" w:cs="宋体"/>
                <w:sz w:val="24"/>
                <w:szCs w:val="24"/>
                <w:lang w:val="zh-CN"/>
              </w:rPr>
              <w:t>投标人不得存在</w:t>
            </w:r>
            <w:r>
              <w:rPr>
                <w:rFonts w:hint="eastAsia" w:ascii="宋体" w:hAnsi="宋体" w:eastAsia="宋体" w:cs="宋体"/>
                <w:sz w:val="24"/>
                <w:szCs w:val="24"/>
              </w:rPr>
              <w:t>投标邀请信誉要求和</w:t>
            </w:r>
            <w:r>
              <w:rPr>
                <w:rFonts w:hint="eastAsia" w:ascii="宋体" w:hAnsi="宋体" w:eastAsia="宋体" w:cs="宋体"/>
                <w:sz w:val="24"/>
                <w:szCs w:val="24"/>
                <w:lang w:val="zh-CN"/>
              </w:rPr>
              <w:t>投标人须知正文</w:t>
            </w:r>
            <w:r>
              <w:rPr>
                <w:rFonts w:hint="eastAsia" w:ascii="宋体" w:hAnsi="宋体" w:eastAsia="宋体" w:cs="宋体"/>
                <w:sz w:val="24"/>
                <w:szCs w:val="24"/>
              </w:rPr>
              <w:t>中</w:t>
            </w:r>
            <w:r>
              <w:rPr>
                <w:rFonts w:hint="eastAsia" w:ascii="宋体" w:hAnsi="宋体" w:eastAsia="宋体"/>
                <w:sz w:val="24"/>
                <w:szCs w:val="28"/>
              </w:rPr>
              <w:t>的</w:t>
            </w:r>
            <w:r>
              <w:rPr>
                <w:rFonts w:hint="eastAsia" w:ascii="宋体" w:hAnsi="宋体" w:eastAsia="宋体"/>
                <w:sz w:val="24"/>
                <w:szCs w:val="18"/>
              </w:rPr>
              <w:t>不良信用记录情形</w:t>
            </w:r>
          </w:p>
        </w:tc>
        <w:tc>
          <w:tcPr>
            <w:tcW w:w="2221" w:type="dxa"/>
            <w:tcBorders>
              <w:bottom w:val="single" w:color="auto" w:sz="4" w:space="0"/>
            </w:tcBorders>
            <w:vAlign w:val="center"/>
          </w:tcPr>
          <w:p w14:paraId="270A3947">
            <w:pPr>
              <w:keepNext w:val="0"/>
              <w:keepLines w:val="0"/>
              <w:suppressLineNumbers w:val="0"/>
              <w:spacing w:before="0" w:beforeAutospacing="0" w:after="0" w:afterAutospacing="0" w:line="360" w:lineRule="auto"/>
              <w:ind w:left="0" w:right="0"/>
              <w:jc w:val="left"/>
              <w:rPr>
                <w:rFonts w:hint="default" w:ascii="@仿宋_GB2312" w:hAnsi="@仿宋_GB2312" w:eastAsia="@仿宋_GB2312" w:cs="@仿宋_GB2312"/>
                <w:color w:val="auto"/>
                <w:kern w:val="2"/>
                <w:sz w:val="21"/>
                <w:szCs w:val="20"/>
                <w:highlight w:val="none"/>
                <w:lang w:val="en-US" w:eastAsia="zh-CN" w:bidi="ar-SA"/>
              </w:rPr>
            </w:pPr>
            <w:r>
              <w:rPr>
                <w:rFonts w:hint="eastAsia" w:ascii="宋体" w:hAnsi="宋体" w:eastAsia="宋体" w:cs="宋体"/>
                <w:sz w:val="24"/>
                <w:szCs w:val="24"/>
              </w:rPr>
              <w:t>无须投标人提供，由采购人或采购代理机构查询。</w:t>
            </w:r>
          </w:p>
        </w:tc>
      </w:tr>
      <w:tr w14:paraId="1A52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5F2A1957">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940" w:type="pct"/>
            <w:tcBorders>
              <w:bottom w:val="single" w:color="auto" w:sz="4" w:space="0"/>
            </w:tcBorders>
            <w:vAlign w:val="center"/>
          </w:tcPr>
          <w:p w14:paraId="5C9EA9E3">
            <w:pPr>
              <w:keepNext w:val="0"/>
              <w:keepLines w:val="0"/>
              <w:suppressLineNumbers w:val="0"/>
              <w:spacing w:before="0" w:beforeAutospacing="0" w:after="50" w:afterAutospacing="0" w:line="360" w:lineRule="auto"/>
              <w:ind w:left="0" w:right="-10"/>
              <w:jc w:val="both"/>
              <w:rPr>
                <w:rFonts w:hint="eastAsia" w:ascii="宋体" w:hAnsi="宋体" w:eastAsia="宋体" w:cs="宋体"/>
                <w:color w:val="auto"/>
                <w:sz w:val="24"/>
                <w:szCs w:val="24"/>
                <w:highlight w:val="none"/>
              </w:rPr>
            </w:pPr>
            <w:r>
              <w:rPr>
                <w:rFonts w:hint="default" w:ascii="宋体" w:hAnsi="宋体" w:eastAsia="宋体" w:cs="宋体"/>
                <w:spacing w:val="10"/>
                <w:sz w:val="24"/>
                <w:szCs w:val="24"/>
                <w:highlight w:val="none"/>
              </w:rPr>
              <w:t>其他特定资格要求</w:t>
            </w:r>
          </w:p>
        </w:tc>
        <w:tc>
          <w:tcPr>
            <w:tcW w:w="2598" w:type="pct"/>
            <w:tcBorders>
              <w:bottom w:val="single" w:color="auto" w:sz="4" w:space="0"/>
            </w:tcBorders>
            <w:vAlign w:val="center"/>
          </w:tcPr>
          <w:p w14:paraId="69864A03">
            <w:pPr>
              <w:keepNext w:val="0"/>
              <w:keepLines w:val="0"/>
              <w:suppressLineNumbers w:val="0"/>
              <w:spacing w:before="0" w:beforeAutospacing="0" w:after="50" w:afterAutospacing="0" w:line="360" w:lineRule="auto"/>
              <w:ind w:left="0" w:right="-10"/>
              <w:jc w:val="both"/>
              <w:rPr>
                <w:rFonts w:hint="eastAsia" w:ascii="宋体" w:hAnsi="宋体" w:eastAsia="宋体" w:cs="宋体"/>
                <w:color w:val="auto"/>
                <w:sz w:val="24"/>
                <w:szCs w:val="24"/>
                <w:highlight w:val="none"/>
              </w:rPr>
            </w:pPr>
            <w:r>
              <w:rPr>
                <w:rFonts w:hint="eastAsia" w:ascii="宋体" w:hAnsi="宋体" w:eastAsia="宋体"/>
                <w:color w:val="auto"/>
                <w:sz w:val="24"/>
                <w:szCs w:val="20"/>
                <w:highlight w:val="none"/>
                <w:lang w:val="en-US" w:eastAsia="zh-CN"/>
              </w:rPr>
              <w:t>无</w:t>
            </w:r>
          </w:p>
        </w:tc>
        <w:tc>
          <w:tcPr>
            <w:tcW w:w="1084" w:type="pct"/>
            <w:tcBorders>
              <w:bottom w:val="single" w:color="auto" w:sz="4" w:space="0"/>
            </w:tcBorders>
            <w:vAlign w:val="center"/>
          </w:tcPr>
          <w:p w14:paraId="54FDC3AF">
            <w:pPr>
              <w:keepNext w:val="0"/>
              <w:keepLines w:val="0"/>
              <w:suppressLineNumbers w:val="0"/>
              <w:spacing w:before="0" w:beforeAutospacing="0" w:after="50" w:afterAutospacing="0" w:line="360" w:lineRule="auto"/>
              <w:ind w:left="0" w:right="-10"/>
              <w:jc w:val="both"/>
              <w:rPr>
                <w:rFonts w:hint="eastAsia" w:ascii="宋体" w:hAnsi="宋体" w:eastAsia="宋体"/>
                <w:color w:val="auto"/>
                <w:sz w:val="24"/>
                <w:szCs w:val="20"/>
                <w:highlight w:val="none"/>
                <w:lang w:eastAsia="zh-CN"/>
              </w:rPr>
            </w:pPr>
            <w:r>
              <w:rPr>
                <w:rFonts w:hint="eastAsia" w:ascii="宋体" w:hAnsi="宋体" w:eastAsia="宋体" w:cs="宋体"/>
                <w:b w:val="0"/>
                <w:bCs w:val="0"/>
                <w:color w:val="auto"/>
                <w:sz w:val="24"/>
                <w:szCs w:val="24"/>
                <w:highlight w:val="none"/>
                <w:lang w:val="en-US" w:eastAsia="zh-CN"/>
              </w:rPr>
              <w:t>无</w:t>
            </w:r>
          </w:p>
        </w:tc>
      </w:tr>
    </w:tbl>
    <w:p w14:paraId="327179D3">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56FDE86F">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0FD3829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1FF2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9658E0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2954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9801A1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4E4A01C7">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2420803E">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3E47FC20">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DBF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B8A8ACD">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242" w:type="pct"/>
            <w:vAlign w:val="center"/>
          </w:tcPr>
          <w:p w14:paraId="2F0829CA">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0"/>
                <w:highlight w:val="none"/>
              </w:rPr>
              <w:t>开标一览表</w:t>
            </w:r>
          </w:p>
        </w:tc>
        <w:tc>
          <w:tcPr>
            <w:tcW w:w="1835" w:type="pct"/>
            <w:vAlign w:val="center"/>
          </w:tcPr>
          <w:p w14:paraId="72B86C4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0"/>
                <w:highlight w:val="none"/>
                <w:lang w:val="en-US" w:eastAsia="zh-CN"/>
              </w:rPr>
              <w:t>盖章</w:t>
            </w:r>
          </w:p>
        </w:tc>
        <w:tc>
          <w:tcPr>
            <w:tcW w:w="1472" w:type="pct"/>
            <w:vAlign w:val="center"/>
          </w:tcPr>
          <w:p w14:paraId="346054FA">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210D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2BD8489">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242" w:type="pct"/>
            <w:vAlign w:val="center"/>
          </w:tcPr>
          <w:p w14:paraId="4BB6582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835" w:type="pct"/>
            <w:vAlign w:val="center"/>
          </w:tcPr>
          <w:p w14:paraId="3FCC00DD">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7D677692">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3C84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5A396D8">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3</w:t>
            </w:r>
          </w:p>
        </w:tc>
        <w:tc>
          <w:tcPr>
            <w:tcW w:w="1242" w:type="pct"/>
            <w:vAlign w:val="center"/>
          </w:tcPr>
          <w:p w14:paraId="7C4DEB5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835" w:type="pct"/>
            <w:vAlign w:val="center"/>
          </w:tcPr>
          <w:p w14:paraId="5F9B7632">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5543A3A7">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法定代表人参加投标的无需此件，提供身份证明即可。详见第六章投标文件格式</w:t>
            </w:r>
            <w:r>
              <w:rPr>
                <w:rFonts w:hint="eastAsia" w:ascii="宋体" w:hAnsi="宋体" w:eastAsia="宋体"/>
                <w:color w:val="auto"/>
                <w:sz w:val="24"/>
                <w:szCs w:val="20"/>
                <w:highlight w:val="none"/>
                <w:lang w:eastAsia="zh-CN"/>
              </w:rPr>
              <w:t>。</w:t>
            </w:r>
          </w:p>
        </w:tc>
      </w:tr>
      <w:tr w14:paraId="5B0B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1D9867E">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242" w:type="pct"/>
            <w:vAlign w:val="center"/>
          </w:tcPr>
          <w:p w14:paraId="27E84BC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835" w:type="pct"/>
            <w:vAlign w:val="center"/>
          </w:tcPr>
          <w:p w14:paraId="029596E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szCs w:val="20"/>
                <w:highlight w:val="none"/>
              </w:rPr>
              <w:t>招标文件投标人须知正文第</w:t>
            </w:r>
            <w:r>
              <w:rPr>
                <w:rFonts w:hint="eastAsia" w:ascii="宋体" w:hAnsi="宋体" w:eastAsia="宋体"/>
                <w:color w:val="auto"/>
                <w:sz w:val="24"/>
                <w:szCs w:val="20"/>
                <w:highlight w:val="none"/>
                <w:lang w:val="en-US" w:eastAsia="zh-CN"/>
              </w:rPr>
              <w:t>9</w:t>
            </w:r>
            <w:r>
              <w:rPr>
                <w:rFonts w:hint="eastAsia" w:ascii="宋体" w:hAnsi="宋体" w:eastAsia="宋体"/>
                <w:color w:val="auto"/>
                <w:sz w:val="24"/>
                <w:szCs w:val="20"/>
                <w:highlight w:val="none"/>
              </w:rPr>
              <w:t>条要求</w:t>
            </w:r>
          </w:p>
        </w:tc>
        <w:tc>
          <w:tcPr>
            <w:tcW w:w="1472" w:type="pct"/>
            <w:vAlign w:val="center"/>
          </w:tcPr>
          <w:p w14:paraId="6A5F821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49CF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FF52F0D">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5</w:t>
            </w:r>
          </w:p>
        </w:tc>
        <w:tc>
          <w:tcPr>
            <w:tcW w:w="1242" w:type="pct"/>
            <w:vAlign w:val="center"/>
          </w:tcPr>
          <w:p w14:paraId="62A1DC54">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3430" w:type="dxa"/>
            <w:vAlign w:val="center"/>
          </w:tcPr>
          <w:p w14:paraId="19384E81">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472" w:type="pct"/>
            <w:vAlign w:val="center"/>
          </w:tcPr>
          <w:p w14:paraId="2A406D1D">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02D8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5E4404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6</w:t>
            </w:r>
          </w:p>
        </w:tc>
        <w:tc>
          <w:tcPr>
            <w:tcW w:w="1242" w:type="pct"/>
            <w:vAlign w:val="center"/>
          </w:tcPr>
          <w:p w14:paraId="52A88FA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3430" w:type="dxa"/>
            <w:vAlign w:val="center"/>
          </w:tcPr>
          <w:p w14:paraId="5AE367E5">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472" w:type="pct"/>
            <w:vAlign w:val="center"/>
          </w:tcPr>
          <w:p w14:paraId="316230D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57F8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537BBBD">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7</w:t>
            </w:r>
          </w:p>
        </w:tc>
        <w:tc>
          <w:tcPr>
            <w:tcW w:w="1242" w:type="pct"/>
            <w:vAlign w:val="center"/>
          </w:tcPr>
          <w:p w14:paraId="4589B3C8">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3430" w:type="dxa"/>
            <w:vAlign w:val="center"/>
          </w:tcPr>
          <w:p w14:paraId="2FE248CB">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472" w:type="pct"/>
            <w:vAlign w:val="center"/>
          </w:tcPr>
          <w:p w14:paraId="0E4A7D8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p>
        </w:tc>
      </w:tr>
    </w:tbl>
    <w:p w14:paraId="06726087">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0B035796">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2.3详细审查</w:t>
      </w:r>
    </w:p>
    <w:p w14:paraId="77E9FC1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0F14E0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分，其中：技术资信分值占总分值的权重为</w:t>
      </w:r>
      <w:r>
        <w:rPr>
          <w:rFonts w:hint="eastAsia" w:ascii="宋体" w:hAnsi="宋体" w:eastAsia="宋体"/>
          <w:color w:val="auto"/>
          <w:sz w:val="24"/>
          <w:highlight w:val="none"/>
          <w:u w:val="single"/>
          <w:lang w:val="en-US" w:eastAsia="zh-CN"/>
        </w:rPr>
        <w:t>70</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30</w:t>
      </w:r>
      <w:r>
        <w:rPr>
          <w:rFonts w:ascii="宋体" w:hAnsi="宋体" w:eastAsia="宋体"/>
          <w:color w:val="auto"/>
          <w:sz w:val="24"/>
          <w:highlight w:val="none"/>
          <w:u w:val="single"/>
        </w:rPr>
        <w:t xml:space="preserve"> </w:t>
      </w:r>
      <w:r>
        <w:rPr>
          <w:rFonts w:ascii="宋体" w:hAnsi="宋体" w:eastAsia="宋体"/>
          <w:color w:val="auto"/>
          <w:sz w:val="24"/>
          <w:highlight w:val="none"/>
        </w:rPr>
        <w:t>%。具体评分细则如下：</w:t>
      </w:r>
    </w:p>
    <w:tbl>
      <w:tblPr>
        <w:tblStyle w:val="26"/>
        <w:tblW w:w="58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367"/>
        <w:gridCol w:w="6042"/>
        <w:gridCol w:w="1069"/>
      </w:tblGrid>
      <w:tr w14:paraId="6C31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43EBED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687" w:type="pct"/>
            <w:tcBorders>
              <w:top w:val="single" w:color="auto" w:sz="4" w:space="0"/>
              <w:left w:val="single" w:color="auto" w:sz="4" w:space="0"/>
              <w:bottom w:val="single" w:color="auto" w:sz="4" w:space="0"/>
              <w:right w:val="single" w:color="auto" w:sz="4" w:space="0"/>
            </w:tcBorders>
            <w:vAlign w:val="center"/>
          </w:tcPr>
          <w:p w14:paraId="0675AB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tc>
        <w:tc>
          <w:tcPr>
            <w:tcW w:w="3036" w:type="pct"/>
            <w:tcBorders>
              <w:top w:val="single" w:color="auto" w:sz="4" w:space="0"/>
              <w:left w:val="single" w:color="auto" w:sz="4" w:space="0"/>
              <w:bottom w:val="single" w:color="auto" w:sz="4" w:space="0"/>
              <w:right w:val="single" w:color="auto" w:sz="4" w:space="0"/>
            </w:tcBorders>
            <w:vAlign w:val="center"/>
          </w:tcPr>
          <w:p w14:paraId="043ABB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537" w:type="pct"/>
            <w:tcBorders>
              <w:top w:val="single" w:color="auto" w:sz="4" w:space="0"/>
              <w:left w:val="single" w:color="auto" w:sz="4" w:space="0"/>
              <w:bottom w:val="single" w:color="auto" w:sz="4" w:space="0"/>
              <w:right w:val="single" w:color="auto" w:sz="4" w:space="0"/>
            </w:tcBorders>
            <w:vAlign w:val="center"/>
          </w:tcPr>
          <w:p w14:paraId="6111FC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分值范围</w:t>
            </w:r>
          </w:p>
        </w:tc>
      </w:tr>
      <w:tr w14:paraId="1A88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restart"/>
            <w:tcBorders>
              <w:top w:val="single" w:color="auto" w:sz="4" w:space="0"/>
              <w:left w:val="single" w:color="auto" w:sz="4" w:space="0"/>
              <w:right w:val="single" w:color="auto" w:sz="4" w:space="0"/>
            </w:tcBorders>
            <w:vAlign w:val="center"/>
          </w:tcPr>
          <w:p w14:paraId="1B99A3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技术资信分</w:t>
            </w:r>
          </w:p>
          <w:p w14:paraId="6DCEEE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70</w:t>
            </w:r>
            <w:r>
              <w:rPr>
                <w:rFonts w:hint="eastAsia" w:ascii="宋体" w:hAnsi="宋体" w:eastAsia="宋体" w:cs="宋体"/>
                <w:color w:val="auto"/>
                <w:sz w:val="21"/>
                <w:szCs w:val="21"/>
                <w:highlight w:val="none"/>
              </w:rPr>
              <w:t>分）</w:t>
            </w:r>
          </w:p>
        </w:tc>
        <w:tc>
          <w:tcPr>
            <w:tcW w:w="687" w:type="pct"/>
            <w:tcBorders>
              <w:top w:val="single" w:color="auto" w:sz="4" w:space="0"/>
              <w:left w:val="single" w:color="auto" w:sz="4" w:space="0"/>
              <w:bottom w:val="single" w:color="auto" w:sz="4" w:space="0"/>
              <w:right w:val="single" w:color="auto" w:sz="4" w:space="0"/>
            </w:tcBorders>
            <w:vAlign w:val="center"/>
          </w:tcPr>
          <w:p w14:paraId="184B9D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企业资信</w:t>
            </w:r>
          </w:p>
        </w:tc>
        <w:tc>
          <w:tcPr>
            <w:tcW w:w="3036" w:type="pct"/>
            <w:tcBorders>
              <w:top w:val="single" w:color="auto" w:sz="4" w:space="0"/>
              <w:left w:val="single" w:color="auto" w:sz="4" w:space="0"/>
              <w:bottom w:val="single" w:color="auto" w:sz="4" w:space="0"/>
              <w:right w:val="single" w:color="auto" w:sz="4" w:space="0"/>
            </w:tcBorders>
            <w:vAlign w:val="center"/>
          </w:tcPr>
          <w:p w14:paraId="2CBE48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供应商具有有效的</w:t>
            </w:r>
            <w:r>
              <w:rPr>
                <w:rFonts w:hint="eastAsia" w:ascii="宋体" w:hAnsi="宋体" w:cs="宋体"/>
                <w:color w:val="auto"/>
                <w:sz w:val="21"/>
                <w:szCs w:val="21"/>
                <w:highlight w:val="none"/>
                <w:lang w:val="en-US" w:eastAsia="zh-CN"/>
              </w:rPr>
              <w:t>ISO</w:t>
            </w:r>
            <w:r>
              <w:rPr>
                <w:rFonts w:hint="eastAsia" w:ascii="宋体" w:hAnsi="宋体" w:eastAsia="宋体" w:cs="宋体"/>
                <w:color w:val="auto"/>
                <w:sz w:val="21"/>
                <w:szCs w:val="21"/>
                <w:highlight w:val="none"/>
              </w:rPr>
              <w:t>质量管理体系认证、环境管理体系认证、职业健康安全管理体系认证。每个得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分。证书必须在证书有效期内，否则不得分。</w:t>
            </w:r>
          </w:p>
        </w:tc>
        <w:tc>
          <w:tcPr>
            <w:tcW w:w="537" w:type="pct"/>
            <w:tcBorders>
              <w:top w:val="single" w:color="auto" w:sz="4" w:space="0"/>
              <w:left w:val="single" w:color="auto" w:sz="4" w:space="0"/>
              <w:bottom w:val="single" w:color="auto" w:sz="4" w:space="0"/>
              <w:right w:val="single" w:color="auto" w:sz="4" w:space="0"/>
            </w:tcBorders>
            <w:vAlign w:val="center"/>
          </w:tcPr>
          <w:p w14:paraId="00EA31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0-6分</w:t>
            </w:r>
          </w:p>
        </w:tc>
      </w:tr>
      <w:tr w14:paraId="6A5E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739" w:type="pct"/>
            <w:vMerge w:val="continue"/>
            <w:tcBorders>
              <w:left w:val="single" w:color="auto" w:sz="4" w:space="0"/>
              <w:right w:val="single" w:color="auto" w:sz="4" w:space="0"/>
            </w:tcBorders>
            <w:vAlign w:val="center"/>
          </w:tcPr>
          <w:p w14:paraId="1F2ADB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jc w:val="center"/>
              <w:textAlignment w:val="auto"/>
              <w:rPr>
                <w:rFonts w:hint="eastAsia" w:ascii="宋体" w:hAnsi="宋体" w:eastAsia="宋体" w:cs="宋体"/>
                <w:b/>
                <w:bCs/>
                <w:color w:val="auto"/>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0D7ECB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产品业绩</w:t>
            </w:r>
          </w:p>
        </w:tc>
        <w:tc>
          <w:tcPr>
            <w:tcW w:w="3036" w:type="pct"/>
            <w:tcBorders>
              <w:top w:val="single" w:color="auto" w:sz="4" w:space="0"/>
              <w:left w:val="single" w:color="auto" w:sz="4" w:space="0"/>
              <w:right w:val="single" w:color="auto" w:sz="4" w:space="0"/>
            </w:tcBorders>
            <w:vAlign w:val="center"/>
          </w:tcPr>
          <w:p w14:paraId="0F8FA0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 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年1月1日以来(以合同签订时间为准)，投标人提供在线监测设备供货</w:t>
            </w:r>
            <w:r>
              <w:rPr>
                <w:rFonts w:hint="eastAsia" w:ascii="宋体" w:hAnsi="宋体" w:eastAsia="宋体" w:cs="宋体"/>
                <w:color w:val="auto"/>
                <w:sz w:val="21"/>
                <w:szCs w:val="21"/>
                <w:highlight w:val="none"/>
                <w:lang w:val="en-US" w:eastAsia="zh-CN"/>
              </w:rPr>
              <w:t>安装</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eastAsia="zh-CN"/>
              </w:rPr>
              <w:t>或污水处理站工程业绩</w:t>
            </w:r>
            <w:r>
              <w:rPr>
                <w:rFonts w:hint="eastAsia" w:ascii="宋体" w:hAnsi="宋体" w:eastAsia="宋体" w:cs="宋体"/>
                <w:color w:val="auto"/>
                <w:sz w:val="21"/>
                <w:szCs w:val="21"/>
                <w:highlight w:val="none"/>
              </w:rPr>
              <w:t>，每提供一个业绩得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194F22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注：投标文件中提供合同</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或影印件，如合同中无法体现签订时间、设备等相关信息的，须同时另附业主证明等相关证明材料，否则不得分。</w:t>
            </w:r>
          </w:p>
        </w:tc>
        <w:tc>
          <w:tcPr>
            <w:tcW w:w="537" w:type="pct"/>
            <w:tcBorders>
              <w:top w:val="single" w:color="auto" w:sz="4" w:space="0"/>
              <w:left w:val="single" w:color="auto" w:sz="4" w:space="0"/>
              <w:right w:val="single" w:color="auto" w:sz="4" w:space="0"/>
            </w:tcBorders>
            <w:vAlign w:val="center"/>
          </w:tcPr>
          <w:p w14:paraId="6D6643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0-6分</w:t>
            </w:r>
          </w:p>
        </w:tc>
      </w:tr>
      <w:tr w14:paraId="3A67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1BE499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jc w:val="center"/>
              <w:textAlignment w:val="auto"/>
              <w:rPr>
                <w:rFonts w:hint="eastAsia" w:ascii="宋体" w:hAnsi="宋体" w:eastAsia="宋体" w:cs="宋体"/>
                <w:b/>
                <w:bCs/>
                <w:color w:val="auto"/>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22BFC6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技术参数</w:t>
            </w:r>
          </w:p>
        </w:tc>
        <w:tc>
          <w:tcPr>
            <w:tcW w:w="3036" w:type="pct"/>
            <w:tcBorders>
              <w:top w:val="single" w:color="auto" w:sz="4" w:space="0"/>
              <w:left w:val="single" w:color="auto" w:sz="4" w:space="0"/>
              <w:bottom w:val="single" w:color="auto" w:sz="4" w:space="0"/>
              <w:right w:val="single" w:color="auto" w:sz="4" w:space="0"/>
            </w:tcBorders>
            <w:vAlign w:val="center"/>
          </w:tcPr>
          <w:p w14:paraId="07954D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bidi="zh-CN"/>
              </w:rPr>
              <w:t>根</w:t>
            </w:r>
            <w:r>
              <w:rPr>
                <w:rFonts w:hint="eastAsia" w:ascii="宋体" w:hAnsi="宋体" w:eastAsia="宋体" w:cs="宋体"/>
                <w:color w:val="auto"/>
                <w:sz w:val="21"/>
                <w:szCs w:val="21"/>
                <w:highlight w:val="none"/>
              </w:rPr>
              <w:t>据投标文件中技术规格及参数要求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标注“▲”号</w:t>
            </w:r>
            <w:r>
              <w:rPr>
                <w:rFonts w:hint="eastAsia" w:ascii="宋体" w:hAnsi="宋体" w:eastAsia="宋体" w:cs="宋体"/>
                <w:color w:val="auto"/>
                <w:sz w:val="21"/>
                <w:szCs w:val="21"/>
                <w:highlight w:val="none"/>
                <w:lang w:val="en-US"/>
              </w:rPr>
              <w:t>的技术</w:t>
            </w:r>
            <w:r>
              <w:rPr>
                <w:rFonts w:hint="eastAsia" w:ascii="宋体" w:hAnsi="宋体" w:eastAsia="宋体" w:cs="宋体"/>
                <w:color w:val="auto"/>
                <w:sz w:val="21"/>
                <w:szCs w:val="21"/>
                <w:highlight w:val="none"/>
              </w:rPr>
              <w:t>参数</w:t>
            </w:r>
            <w:r>
              <w:rPr>
                <w:rFonts w:hint="eastAsia" w:ascii="宋体" w:hAnsi="宋体" w:eastAsia="宋体" w:cs="宋体"/>
                <w:color w:val="auto"/>
                <w:sz w:val="21"/>
                <w:szCs w:val="21"/>
                <w:highlight w:val="none"/>
                <w:lang w:val="en-US"/>
              </w:rPr>
              <w:t>条款</w:t>
            </w:r>
            <w:r>
              <w:rPr>
                <w:rFonts w:hint="eastAsia" w:ascii="宋体" w:hAnsi="宋体" w:eastAsia="宋体" w:cs="宋体"/>
                <w:color w:val="auto"/>
                <w:sz w:val="21"/>
                <w:szCs w:val="21"/>
                <w:highlight w:val="none"/>
              </w:rPr>
              <w:t>，共</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项，每有一项满足或优于招标要求的</w:t>
            </w:r>
            <w:r>
              <w:rPr>
                <w:rFonts w:hint="eastAsia" w:ascii="宋体" w:hAnsi="宋体" w:eastAsia="宋体" w:cs="宋体"/>
                <w:color w:val="auto"/>
                <w:sz w:val="21"/>
                <w:szCs w:val="21"/>
                <w:highlight w:val="none"/>
                <w:lang w:eastAsia="zh-CN"/>
              </w:rPr>
              <w:t>并提供证明材料的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38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未提供不得分</w:t>
            </w:r>
          </w:p>
          <w:p w14:paraId="0801D0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lang w:eastAsia="zh-CN"/>
              </w:rPr>
              <w:t>“▲”可提供有效期内检测报告或测试证书；</w:t>
            </w:r>
          </w:p>
        </w:tc>
        <w:tc>
          <w:tcPr>
            <w:tcW w:w="537" w:type="pct"/>
            <w:tcBorders>
              <w:top w:val="single" w:color="auto" w:sz="4" w:space="0"/>
              <w:left w:val="single" w:color="auto" w:sz="4" w:space="0"/>
              <w:bottom w:val="single" w:color="auto" w:sz="4" w:space="0"/>
              <w:right w:val="single" w:color="auto" w:sz="4" w:space="0"/>
            </w:tcBorders>
            <w:vAlign w:val="center"/>
          </w:tcPr>
          <w:p w14:paraId="5A46AE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0-38分</w:t>
            </w:r>
          </w:p>
        </w:tc>
      </w:tr>
      <w:tr w14:paraId="37A4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1151F0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jc w:val="center"/>
              <w:textAlignment w:val="auto"/>
              <w:rPr>
                <w:rFonts w:hint="eastAsia" w:ascii="宋体" w:hAnsi="宋体" w:eastAsia="宋体" w:cs="宋体"/>
                <w:b/>
                <w:bCs/>
                <w:color w:val="auto"/>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21A3CC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免费质保承诺</w:t>
            </w:r>
          </w:p>
        </w:tc>
        <w:tc>
          <w:tcPr>
            <w:tcW w:w="3036" w:type="pct"/>
            <w:tcBorders>
              <w:top w:val="single" w:color="auto" w:sz="4" w:space="0"/>
              <w:left w:val="single" w:color="auto" w:sz="4" w:space="0"/>
              <w:bottom w:val="single" w:color="auto" w:sz="4" w:space="0"/>
              <w:right w:val="single" w:color="auto" w:sz="4" w:space="0"/>
            </w:tcBorders>
            <w:vAlign w:val="center"/>
          </w:tcPr>
          <w:p w14:paraId="145226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投标人须提供免费质保承诺，免费质保期至少为2年，满足要求的不得分。在2年的基础上，承诺每延长1年加4分（不足1年不加分），本项最高得8分。</w:t>
            </w:r>
          </w:p>
          <w:p w14:paraId="7DA646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注：提供加盖投标人公章的承诺书（格式自拟），未提供或不符合要求的不得分。</w:t>
            </w:r>
          </w:p>
        </w:tc>
        <w:tc>
          <w:tcPr>
            <w:tcW w:w="537" w:type="pct"/>
            <w:tcBorders>
              <w:top w:val="single" w:color="auto" w:sz="4" w:space="0"/>
              <w:left w:val="single" w:color="auto" w:sz="4" w:space="0"/>
              <w:bottom w:val="single" w:color="auto" w:sz="4" w:space="0"/>
              <w:right w:val="single" w:color="auto" w:sz="4" w:space="0"/>
            </w:tcBorders>
            <w:vAlign w:val="center"/>
          </w:tcPr>
          <w:p w14:paraId="7999B4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0-8分</w:t>
            </w:r>
          </w:p>
        </w:tc>
      </w:tr>
      <w:tr w14:paraId="07C3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18500D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jc w:val="center"/>
              <w:textAlignment w:val="auto"/>
              <w:rPr>
                <w:rFonts w:hint="eastAsia" w:ascii="宋体" w:hAnsi="宋体" w:eastAsia="宋体" w:cs="宋体"/>
                <w:b/>
                <w:bCs/>
                <w:color w:val="auto"/>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3C294B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3036" w:type="pct"/>
            <w:tcBorders>
              <w:top w:val="single" w:color="auto" w:sz="4" w:space="0"/>
              <w:left w:val="single" w:color="auto" w:sz="4" w:space="0"/>
              <w:bottom w:val="single" w:color="auto" w:sz="4" w:space="0"/>
              <w:right w:val="single" w:color="auto" w:sz="4" w:space="0"/>
            </w:tcBorders>
            <w:vAlign w:val="center"/>
          </w:tcPr>
          <w:p w14:paraId="31240D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售后服务方案包含但不限于以下内容：</w:t>
            </w:r>
          </w:p>
          <w:p w14:paraId="523392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1.售后响应时间：2小时以内。</w:t>
            </w:r>
          </w:p>
          <w:p w14:paraId="34FA02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2.报修后故障修复时间：3个工作日，超过此时间需提供备用机。</w:t>
            </w:r>
          </w:p>
          <w:p w14:paraId="2C4658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3.维保期内每年至少巡检2次。</w:t>
            </w:r>
          </w:p>
          <w:p w14:paraId="7F3461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评审根据投标文件中提供的售后服务方案与措施进行评比：</w:t>
            </w:r>
          </w:p>
          <w:p w14:paraId="66FAB3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（1）包括保修内容与范围、维修响应时间、售后服务等，方案完善可行性强，科学合理，完全满足项目采购需求的得12分；</w:t>
            </w:r>
          </w:p>
          <w:p w14:paraId="33CD83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（2）包括保修内容与范围、维修响应时间、售后服务等，方案完善可行性较强，无明显逻辑错误，无关键点缺失的得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p w14:paraId="376D55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（3）包括保修内容与范围、维修响应时间、售后服务等，方案内容缺失，且出现非专门针对本项目特性内容的得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4AB689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（4）方案不能满足项目实施要求或未提供相关内容的不得分</w:t>
            </w:r>
          </w:p>
        </w:tc>
        <w:tc>
          <w:tcPr>
            <w:tcW w:w="537" w:type="pct"/>
            <w:tcBorders>
              <w:top w:val="single" w:color="auto" w:sz="4" w:space="0"/>
              <w:left w:val="single" w:color="auto" w:sz="4" w:space="0"/>
              <w:bottom w:val="single" w:color="auto" w:sz="4" w:space="0"/>
              <w:right w:val="single" w:color="auto" w:sz="4" w:space="0"/>
            </w:tcBorders>
            <w:vAlign w:val="center"/>
          </w:tcPr>
          <w:p w14:paraId="24D540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0-12分</w:t>
            </w:r>
          </w:p>
        </w:tc>
      </w:tr>
      <w:tr w14:paraId="0CC0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39" w:type="pct"/>
            <w:tcBorders>
              <w:left w:val="single" w:color="auto" w:sz="4" w:space="0"/>
              <w:right w:val="single" w:color="auto" w:sz="4" w:space="0"/>
            </w:tcBorders>
            <w:vAlign w:val="center"/>
          </w:tcPr>
          <w:p w14:paraId="34022B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4076C3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w:t>
            </w:r>
          </w:p>
        </w:tc>
        <w:tc>
          <w:tcPr>
            <w:tcW w:w="4260" w:type="pct"/>
            <w:gridSpan w:val="3"/>
            <w:tcBorders>
              <w:top w:val="single" w:color="auto" w:sz="4" w:space="0"/>
              <w:left w:val="single" w:color="auto" w:sz="4" w:space="0"/>
              <w:bottom w:val="single" w:color="auto" w:sz="4" w:space="0"/>
              <w:right w:val="single" w:color="auto" w:sz="4" w:space="0"/>
            </w:tcBorders>
            <w:vAlign w:val="center"/>
          </w:tcPr>
          <w:p w14:paraId="4CDF3E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价格分统一采用低价优先法，即满足招标文件要求且投标价格最低的投标报价为评标基准价，其价格分为满分</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分。其他投标人的价格分统一按照下列公式计算：</w:t>
            </w:r>
          </w:p>
          <w:p w14:paraId="1DA0B2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％×100</w:t>
            </w:r>
          </w:p>
        </w:tc>
      </w:tr>
    </w:tbl>
    <w:p w14:paraId="7A3DDC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101759F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7F726FD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r>
        <w:rPr>
          <w:rFonts w:ascii="宋体" w:hAnsi="宋体" w:eastAsia="宋体"/>
          <w:color w:val="auto"/>
          <w:sz w:val="24"/>
          <w:highlight w:val="none"/>
        </w:rPr>
        <w:br w:type="page"/>
      </w:r>
    </w:p>
    <w:p w14:paraId="36CA5FC2">
      <w:pPr>
        <w:spacing w:line="360" w:lineRule="auto"/>
        <w:jc w:val="center"/>
        <w:outlineLvl w:val="0"/>
        <w:rPr>
          <w:rFonts w:hint="eastAsia" w:ascii="宋体" w:hAnsi="宋体" w:eastAsia="宋体"/>
          <w:b/>
          <w:color w:val="auto"/>
          <w:sz w:val="28"/>
          <w:highlight w:val="none"/>
        </w:rPr>
      </w:pPr>
      <w:bookmarkStart w:id="38" w:name="_Toc4682"/>
    </w:p>
    <w:p w14:paraId="78F50553">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8"/>
    </w:p>
    <w:p w14:paraId="1997DCCD">
      <w:pPr>
        <w:pStyle w:val="9"/>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75F8A581">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310A7D9">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337043A0">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45139E2C">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16332661">
      <w:pPr>
        <w:pStyle w:val="9"/>
        <w:rPr>
          <w:rFonts w:hint="eastAsia" w:ascii="宋体" w:hAnsi="宋体" w:eastAsia="宋体" w:cs="宋体"/>
          <w:b/>
          <w:bCs/>
          <w:spacing w:val="-20"/>
          <w:kern w:val="44"/>
          <w:sz w:val="24"/>
          <w:szCs w:val="24"/>
          <w:highlight w:val="none"/>
        </w:rPr>
      </w:pPr>
    </w:p>
    <w:p w14:paraId="7310B243">
      <w:pPr>
        <w:pStyle w:val="9"/>
        <w:rPr>
          <w:rFonts w:hint="eastAsia" w:ascii="宋体" w:hAnsi="宋体" w:eastAsia="宋体" w:cs="宋体"/>
          <w:b/>
          <w:bCs/>
          <w:spacing w:val="-20"/>
          <w:kern w:val="44"/>
          <w:sz w:val="24"/>
          <w:szCs w:val="24"/>
          <w:highlight w:val="none"/>
        </w:rPr>
      </w:pPr>
    </w:p>
    <w:p w14:paraId="5BDF8A9E">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D7C7CBE">
      <w:pPr>
        <w:pStyle w:val="9"/>
        <w:pageBreakBefore w:val="0"/>
        <w:kinsoku/>
        <w:wordWrap/>
        <w:overflowPunct/>
        <w:topLinePunct w:val="0"/>
        <w:bidi w:val="0"/>
        <w:spacing w:line="360" w:lineRule="auto"/>
        <w:textAlignment w:val="auto"/>
        <w:rPr>
          <w:rFonts w:hint="eastAsia"/>
          <w:highlight w:val="none"/>
        </w:rPr>
      </w:pPr>
    </w:p>
    <w:p w14:paraId="62321895">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970F939">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4E43A273">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1CF9BAF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12EE7E7E">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滁州市第一人民医院</w:t>
      </w:r>
    </w:p>
    <w:p w14:paraId="201855AC">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51874400">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FCEABCF">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77B58F3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4A78567F">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216EA805">
      <w:pPr>
        <w:pageBreakBefore w:val="0"/>
        <w:kinsoku/>
        <w:wordWrap/>
        <w:overflowPunct/>
        <w:topLinePunct w:val="0"/>
        <w:bidi w:val="0"/>
        <w:spacing w:line="360" w:lineRule="auto"/>
        <w:jc w:val="center"/>
        <w:textAlignment w:val="auto"/>
        <w:outlineLvl w:val="1"/>
        <w:rPr>
          <w:rFonts w:hint="eastAsia" w:ascii="宋体" w:hAnsi="宋体" w:eastAsia="宋体" w:cs="@仿宋_GB2312"/>
          <w:b/>
          <w:color w:val="000000"/>
          <w:sz w:val="24"/>
          <w:szCs w:val="20"/>
          <w:highlight w:val="none"/>
        </w:rPr>
      </w:pPr>
      <w:bookmarkStart w:id="39" w:name="_Toc22209"/>
      <w:r>
        <w:rPr>
          <w:rFonts w:hint="eastAsia" w:ascii="宋体" w:hAnsi="宋体" w:eastAsia="宋体" w:cs="@仿宋_GB2312"/>
          <w:b/>
          <w:color w:val="000000"/>
          <w:sz w:val="24"/>
          <w:szCs w:val="20"/>
          <w:highlight w:val="none"/>
        </w:rPr>
        <w:t>第一节 政府采购合同协议书</w:t>
      </w:r>
      <w:bookmarkEnd w:id="39"/>
    </w:p>
    <w:p w14:paraId="43E07236">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5796EA2F">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5B9143C6">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A193AF4">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46478593">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205D2CEB">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滁州市第一人民医院南北区污水站在线设备COD、氨氮水质分析仪及视频监控升级采购项目</w:t>
      </w:r>
      <w:r>
        <w:rPr>
          <w:rFonts w:hint="eastAsia" w:ascii="宋体" w:hAnsi="宋体" w:eastAsia="宋体" w:cs="宋体"/>
          <w:sz w:val="24"/>
          <w:szCs w:val="24"/>
          <w:highlight w:val="none"/>
          <w:u w:val="single"/>
        </w:rPr>
        <w:t xml:space="preserve"> </w:t>
      </w:r>
    </w:p>
    <w:p w14:paraId="56A32AEF">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CZYY-2025-</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single"/>
        </w:rPr>
        <w:t xml:space="preserve"> </w:t>
      </w:r>
    </w:p>
    <w:p w14:paraId="6778F922">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75F4AAA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4C37DD3C">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418351A6">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14839A40">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38A4C27D">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03FD3D04">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1D0CDB46">
      <w:pPr>
        <w:pStyle w:val="62"/>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588DD966">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eastAsia" w:ascii="宋体" w:hAnsi="宋体" w:eastAsia="宋体" w:cs="宋体"/>
          <w:b w:val="0"/>
          <w:bCs w:val="0"/>
          <w:sz w:val="24"/>
          <w:szCs w:val="24"/>
          <w:highlight w:val="none"/>
          <w:u w:val="none"/>
          <w:lang w:eastAsia="zh-CN"/>
        </w:rPr>
        <w:t>9</w:t>
      </w:r>
      <w:r>
        <w:rPr>
          <w:rFonts w:hint="eastAsia" w:ascii="宋体" w:hAnsi="宋体" w:eastAsia="宋体" w:cs="宋体"/>
          <w:b w:val="0"/>
          <w:bCs w:val="0"/>
          <w:sz w:val="24"/>
          <w:szCs w:val="24"/>
          <w:highlight w:val="none"/>
          <w:u w:val="none"/>
          <w:lang w:val="en-US" w:eastAsia="zh-CN"/>
        </w:rPr>
        <w:t>）是否涉及进口产品：</w:t>
      </w:r>
    </w:p>
    <w:p w14:paraId="3CCC3A6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否</w:t>
      </w:r>
    </w:p>
    <w:p w14:paraId="2D57A6A2">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（1</w:t>
      </w:r>
      <w:r>
        <w:rPr>
          <w:rFonts w:hint="eastAsia" w:ascii="宋体" w:hAnsi="宋体" w:eastAsia="宋体" w:cs="宋体"/>
          <w:b w:val="0"/>
          <w:bCs w:val="0"/>
          <w:sz w:val="24"/>
          <w:szCs w:val="24"/>
          <w:highlight w:val="none"/>
          <w:u w:val="none"/>
          <w:lang w:eastAsia="zh-CN"/>
        </w:rPr>
        <w:t>0</w:t>
      </w:r>
      <w:r>
        <w:rPr>
          <w:rFonts w:hint="eastAsia" w:ascii="宋体" w:hAnsi="宋体" w:eastAsia="宋体" w:cs="宋体"/>
          <w:b w:val="0"/>
          <w:bCs w:val="0"/>
          <w:sz w:val="24"/>
          <w:szCs w:val="24"/>
          <w:highlight w:val="none"/>
          <w:u w:val="none"/>
          <w:lang w:val="en-US" w:eastAsia="zh-CN"/>
        </w:rPr>
        <w:t>）是否涉及节能产品：</w:t>
      </w:r>
    </w:p>
    <w:p w14:paraId="3723C46D">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否</w:t>
      </w:r>
    </w:p>
    <w:p w14:paraId="7DAAA5C5">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w:t>
      </w: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0CBC8955">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16622718">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1283A2B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040BEA8">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A2CE7B0">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p>
    <w:p w14:paraId="5BA8653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753BD9FF">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2FE888F9">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3AD0B849">
      <w:pPr>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lang w:eastAsia="zh-CN"/>
        </w:rPr>
        <w:t xml:space="preserve"> 合同签订、货物到场后付至合同价款的30%，安装调试并正常使用后付至合同价款的90%，环保验收合格后付至合同价款的100%。 </w:t>
      </w:r>
    </w:p>
    <w:p w14:paraId="7A5978AB">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7F1420BD">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24D11953">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3D47F23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F88DB9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432594F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3C8B644B">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1B4ACCD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6F40853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5C4F28D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109B3B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192CB9E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70E40333">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31E28791">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0942E834">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5FE4F104">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7F0F5122">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E9EAB32">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6C682AEA">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AC764C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23A61AD1">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05F9B64">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6A93113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65074AC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46F0ACB7">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634E9E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50C03C7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7F12A87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6F352133">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4EC5081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7F4C9B6A">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4D24512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43EBD38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4026B27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84EF22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53C820A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5D2D896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30D5D5A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35AD2B2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3D2D2774">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1E739756">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7F9779E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16720148">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4C96E2D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DA9739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496E17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41BE5A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49044C6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1BDEA0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00BBA52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26707A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A03A77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1755F8C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0599D4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98C9E5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7FEB43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vMerge w:val="restart"/>
            <w:tcBorders>
              <w:top w:val="single" w:color="auto" w:sz="2" w:space="0"/>
              <w:left w:val="single" w:color="auto" w:sz="2" w:space="0"/>
              <w:right w:val="single" w:color="auto" w:sz="2" w:space="0"/>
            </w:tcBorders>
            <w:vAlign w:val="center"/>
          </w:tcPr>
          <w:p w14:paraId="78DFCE6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141F24F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C6DC6E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169229D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709E03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3542EE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7F06EDB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75ABC9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0F0B0B4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306C7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34FB6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5B4D895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E97E0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72C1365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1D170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5DF52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D38F3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EE7A4E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27C5ACB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3ECABC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111FBF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21ED11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A861D1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7C7A066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1E83E8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91DEB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FC8EB9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12A2CA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06C33E7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77E299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AD333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CE9157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90CCB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2A9E2D2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C22AB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33A13E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38953B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A9953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6338438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1D4DC8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EE784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E3DB8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0D120F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2D58BD8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63D02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FC10F7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5131F2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A3B88C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4641731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7F4A16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E7EC47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46DC8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417C2A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240111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643062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BBFEF2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EE88AB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4642B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7D902E7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bl>
    <w:p w14:paraId="4B2C22E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42B618A5">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40" w:name="_Toc27624"/>
      <w:r>
        <w:rPr>
          <w:rFonts w:hint="eastAsia" w:ascii="宋体" w:hAnsi="宋体" w:eastAsia="宋体" w:cs="@仿宋_GB2312"/>
          <w:b/>
          <w:bCs w:val="0"/>
          <w:color w:val="000000"/>
          <w:kern w:val="2"/>
          <w:sz w:val="24"/>
          <w:szCs w:val="20"/>
          <w:highlight w:val="none"/>
          <w:lang w:val="en-US" w:eastAsia="zh-CN" w:bidi="ar-SA"/>
        </w:rPr>
        <w:t>第二节 政府采购合同通用条款</w:t>
      </w:r>
      <w:bookmarkEnd w:id="40"/>
    </w:p>
    <w:p w14:paraId="4C24DA0C">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7D63F74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730862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73FA817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20B368A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515FCB40">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69EA850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325A76B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439CE02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5B02FB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0B6EB8D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76B03A5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88CF01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27370296">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0EF3711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7E2FA62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3278245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6AEE451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01F81C7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3224ED7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377D53A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2475AAD9">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23AC4E51">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AC6E62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3CB4047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21ADE54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5C0478E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61E4F427">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3EC0014D">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3964EE5F">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D84F32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6E6CE21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75A4B589">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36F2436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14316CC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558DC58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0C5224F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4DEB1BE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01097F7">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08CAB3B9">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28962F93">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70AEC0B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1AED11BC">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1BEEA3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354E32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4A9D6E8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0E26037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7253D2C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65C957F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236EBC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55FC6FC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46D54078">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7D5230E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146E0AC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1808B0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7E58EAC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15CC11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1"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1"/>
      <w:r>
        <w:rPr>
          <w:rFonts w:hint="eastAsia" w:ascii="宋体" w:hAnsi="宋体" w:eastAsia="宋体" w:cs="宋体"/>
          <w:color w:val="auto"/>
          <w:sz w:val="24"/>
          <w:szCs w:val="24"/>
          <w:highlight w:val="none"/>
        </w:rPr>
        <w:t>。</w:t>
      </w:r>
    </w:p>
    <w:p w14:paraId="00404F4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1CB08AD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0F490A3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50305B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2029F39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31A5510">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3C9C7C0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081E6B7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60986BC6">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4515BE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2D97402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5F33B17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6961639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43C7D44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4E327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63DD9222">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1CD43A3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94E971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511FD15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2E5D80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39B630C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1E9F192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41CD08A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1CA7390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79147F5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61A06F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0D0431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1EE82B24">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F1CE56D">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29111A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736D2BD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5FC8FEB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39981B4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0B92E14C">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629850D1">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EC435F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429261C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EACD83E">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6981B08">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637C846A">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340038B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0A49575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67A2934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6D5710C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626B00B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2BDD06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7147D1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0718CDF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137B9AC3">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7C5BCEB5">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2BAC34DB">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39F8810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6CAF4C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2D2D94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61234861">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014589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029B7021">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38199B0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7BC7D6D0">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75423115">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02DE0595">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732693C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23B186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09CFC1D">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21A86AA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06D3D27">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2" w:name="_Toc20313"/>
    </w:p>
    <w:p w14:paraId="3F314CEC">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CBFB9D8">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30995B4">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21B006C">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B9A82EF">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08A1726">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B273D13">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FDF23B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707ECD8">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E378B8F">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29A298">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7451F5C">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8099F2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B3CF30E">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576A2A4">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CA5FA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D293BA">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58314B91">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第1.2（6）项</w:t>
            </w:r>
          </w:p>
        </w:tc>
        <w:tc>
          <w:tcPr>
            <w:tcW w:w="1742" w:type="dxa"/>
            <w:vAlign w:val="center"/>
          </w:tcPr>
          <w:p w14:paraId="6FC35018">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联合体具体要求</w:t>
            </w:r>
          </w:p>
        </w:tc>
        <w:tc>
          <w:tcPr>
            <w:tcW w:w="5170" w:type="dxa"/>
            <w:vAlign w:val="center"/>
          </w:tcPr>
          <w:p w14:paraId="0A2B64CC">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否</w:t>
            </w:r>
          </w:p>
        </w:tc>
      </w:tr>
      <w:tr w14:paraId="595AE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D17210D">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2C6F55D1">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第1.2（7）项</w:t>
            </w:r>
          </w:p>
        </w:tc>
        <w:tc>
          <w:tcPr>
            <w:tcW w:w="1742" w:type="dxa"/>
            <w:vAlign w:val="center"/>
          </w:tcPr>
          <w:p w14:paraId="51E2EE3B">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其他术语解释</w:t>
            </w:r>
          </w:p>
        </w:tc>
        <w:tc>
          <w:tcPr>
            <w:tcW w:w="5170" w:type="dxa"/>
            <w:vAlign w:val="center"/>
          </w:tcPr>
          <w:p w14:paraId="0D1ADF76">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无</w:t>
            </w:r>
          </w:p>
        </w:tc>
      </w:tr>
      <w:tr w14:paraId="299CB9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5DBAE3">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2A551F2E">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第4.4款</w:t>
            </w:r>
          </w:p>
        </w:tc>
        <w:tc>
          <w:tcPr>
            <w:tcW w:w="1742" w:type="dxa"/>
            <w:vAlign w:val="center"/>
          </w:tcPr>
          <w:p w14:paraId="416F249F">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履约验收中甲方提出异议或作出说明的期限</w:t>
            </w:r>
          </w:p>
        </w:tc>
        <w:tc>
          <w:tcPr>
            <w:tcW w:w="5170" w:type="dxa"/>
            <w:vAlign w:val="center"/>
          </w:tcPr>
          <w:p w14:paraId="0D2C856B">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5个工作日</w:t>
            </w:r>
          </w:p>
        </w:tc>
      </w:tr>
      <w:tr w14:paraId="26BEAC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A9972D">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41557218">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第4.6款</w:t>
            </w:r>
          </w:p>
        </w:tc>
        <w:tc>
          <w:tcPr>
            <w:tcW w:w="1742" w:type="dxa"/>
            <w:vAlign w:val="center"/>
          </w:tcPr>
          <w:p w14:paraId="07656CF0">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约定甲方承担的其他义务和责任</w:t>
            </w:r>
          </w:p>
        </w:tc>
        <w:tc>
          <w:tcPr>
            <w:tcW w:w="5170" w:type="dxa"/>
            <w:vAlign w:val="center"/>
          </w:tcPr>
          <w:p w14:paraId="45F6D585">
            <w:pPr>
              <w:pStyle w:val="21"/>
              <w:keepNext w:val="0"/>
              <w:keepLines w:val="0"/>
              <w:pageBreakBefore w:val="0"/>
              <w:suppressLineNumbers w:val="0"/>
              <w:kinsoku/>
              <w:wordWrap/>
              <w:overflowPunct w:val="0"/>
              <w:topLinePunct w:val="0"/>
              <w:bidi w:val="0"/>
              <w:adjustRightInd w:val="0"/>
              <w:spacing w:before="0" w:beforeAutospacing="0" w:after="0" w:afterAutospacing="0" w:line="360" w:lineRule="exact"/>
              <w:ind w:left="0" w:right="0"/>
              <w:jc w:val="both"/>
              <w:textAlignment w:val="baseline"/>
              <w:rPr>
                <w:rFonts w:hint="default" w:ascii="宋体" w:hAnsi="宋体" w:eastAsia="宋体" w:cs="宋体"/>
                <w:sz w:val="21"/>
                <w:szCs w:val="21"/>
              </w:rPr>
            </w:pPr>
            <w:r>
              <w:rPr>
                <w:rFonts w:hint="eastAsia" w:ascii="宋体" w:hAnsi="宋体" w:eastAsia="宋体" w:cs="宋体"/>
                <w:sz w:val="21"/>
                <w:szCs w:val="21"/>
              </w:rPr>
              <w:t>(1)在合同生效后，非因产品质量问题，买方要求退货的，应向卖方偿付合同总价款的5%，作为违约金，违约金不足以补偿损失的，卖方有权要求甲方补足。</w:t>
            </w:r>
          </w:p>
          <w:p w14:paraId="40755500">
            <w:pPr>
              <w:pStyle w:val="21"/>
              <w:keepNext w:val="0"/>
              <w:keepLines w:val="0"/>
              <w:pageBreakBefore w:val="0"/>
              <w:suppressLineNumbers w:val="0"/>
              <w:kinsoku/>
              <w:wordWrap/>
              <w:overflowPunct w:val="0"/>
              <w:topLinePunct w:val="0"/>
              <w:bidi w:val="0"/>
              <w:adjustRightInd w:val="0"/>
              <w:spacing w:before="0" w:beforeAutospacing="0" w:after="0" w:afterAutospacing="0" w:line="360" w:lineRule="exact"/>
              <w:ind w:left="0" w:right="-334" w:rightChars="-159"/>
              <w:jc w:val="both"/>
              <w:textAlignment w:val="baseline"/>
              <w:rPr>
                <w:rFonts w:hint="default" w:ascii="宋体" w:hAnsi="宋体" w:eastAsia="宋体" w:cs="宋体"/>
                <w:sz w:val="21"/>
                <w:szCs w:val="21"/>
              </w:rPr>
            </w:pPr>
            <w:r>
              <w:rPr>
                <w:rFonts w:hint="eastAsia" w:ascii="宋体" w:hAnsi="宋体" w:eastAsia="宋体" w:cs="宋体"/>
                <w:sz w:val="21"/>
                <w:szCs w:val="21"/>
              </w:rPr>
              <w:t>(2)买方逾期付款的应按照逾期付款金额的每天万分之四四支付逾期付款违约金。</w:t>
            </w:r>
          </w:p>
          <w:p w14:paraId="6ADFAF26">
            <w:pPr>
              <w:pStyle w:val="21"/>
              <w:keepNext w:val="0"/>
              <w:keepLines w:val="0"/>
              <w:pageBreakBefore w:val="0"/>
              <w:suppressLineNumbers w:val="0"/>
              <w:kinsoku/>
              <w:wordWrap/>
              <w:overflowPunct w:val="0"/>
              <w:topLinePunct w:val="0"/>
              <w:bidi w:val="0"/>
              <w:adjustRightInd w:val="0"/>
              <w:spacing w:before="0" w:beforeAutospacing="0" w:after="0" w:afterAutospacing="0" w:line="360" w:lineRule="exact"/>
              <w:ind w:left="0" w:right="0"/>
              <w:jc w:val="both"/>
              <w:textAlignment w:val="baseline"/>
              <w:rPr>
                <w:rFonts w:hint="default" w:ascii="宋体" w:hAnsi="宋体" w:eastAsia="宋体" w:cs="宋体"/>
                <w:kern w:val="2"/>
                <w:sz w:val="21"/>
                <w:szCs w:val="21"/>
              </w:rPr>
            </w:pPr>
            <w:r>
              <w:rPr>
                <w:rFonts w:hint="eastAsia" w:ascii="宋体" w:hAnsi="宋体" w:eastAsia="宋体" w:cs="宋体"/>
                <w:sz w:val="21"/>
                <w:szCs w:val="21"/>
              </w:rPr>
              <w:t>(3)买方违反合同规定，无正当理由拒绝接收卖方交付的符合招标文件要求的合格标的物，应当承担卖方由此造成的损失。</w:t>
            </w:r>
          </w:p>
        </w:tc>
      </w:tr>
      <w:tr w14:paraId="575789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D75CE9">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0BDD2582">
            <w:pPr>
              <w:keepNext w:val="0"/>
              <w:keepLines w:val="0"/>
              <w:pageBreakBefore w:val="0"/>
              <w:suppressLineNumbers w:val="0"/>
              <w:kinsoku/>
              <w:wordWrap/>
              <w:topLinePunct w:val="0"/>
              <w:bidi w:val="0"/>
              <w:snapToGrid w:val="0"/>
              <w:spacing w:before="0" w:beforeAutospacing="0" w:after="0" w:afterAutospacing="0" w:line="360" w:lineRule="exact"/>
              <w:ind w:left="0" w:right="0"/>
              <w:jc w:val="center"/>
              <w:rPr>
                <w:rFonts w:hint="default" w:ascii="宋体" w:hAnsi="宋体" w:eastAsia="宋体" w:cs="宋体"/>
                <w:szCs w:val="20"/>
              </w:rPr>
            </w:pPr>
            <w:r>
              <w:rPr>
                <w:rFonts w:hint="eastAsia" w:ascii="宋体" w:hAnsi="宋体" w:eastAsia="宋体" w:cs="宋体"/>
                <w:szCs w:val="21"/>
              </w:rPr>
              <w:t>第5.4款</w:t>
            </w:r>
          </w:p>
        </w:tc>
        <w:tc>
          <w:tcPr>
            <w:tcW w:w="1742" w:type="dxa"/>
            <w:vAlign w:val="center"/>
          </w:tcPr>
          <w:p w14:paraId="2B26B981">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约定乙方承担的其他义务和责任</w:t>
            </w:r>
          </w:p>
        </w:tc>
        <w:tc>
          <w:tcPr>
            <w:tcW w:w="5170" w:type="dxa"/>
            <w:vAlign w:val="center"/>
          </w:tcPr>
          <w:p w14:paraId="691375DE">
            <w:pPr>
              <w:pStyle w:val="21"/>
              <w:keepNext w:val="0"/>
              <w:keepLines w:val="0"/>
              <w:pageBreakBefore w:val="0"/>
              <w:suppressLineNumbers w:val="0"/>
              <w:kinsoku/>
              <w:wordWrap/>
              <w:overflowPunct w:val="0"/>
              <w:topLinePunct w:val="0"/>
              <w:bidi w:val="0"/>
              <w:adjustRightInd w:val="0"/>
              <w:spacing w:before="0" w:beforeAutospacing="0" w:after="0" w:afterAutospacing="0" w:line="360" w:lineRule="exact"/>
              <w:ind w:left="0" w:right="0"/>
              <w:jc w:val="both"/>
              <w:textAlignment w:val="baseline"/>
              <w:rPr>
                <w:rFonts w:hint="default" w:ascii="宋体" w:hAnsi="宋体" w:eastAsia="宋体" w:cs="宋体"/>
                <w:sz w:val="21"/>
                <w:szCs w:val="21"/>
              </w:rPr>
            </w:pPr>
            <w:r>
              <w:rPr>
                <w:rFonts w:hint="eastAsia" w:ascii="宋体" w:hAnsi="宋体" w:eastAsia="宋体" w:cs="宋体"/>
                <w:sz w:val="21"/>
                <w:szCs w:val="21"/>
              </w:rPr>
              <w:t>(1)卖方不能交货（逾期超过五天视为不能交货），或交货不合格从而影响买方按期正常使用的，应向买方偿付合同总价款5%的违约金，违约金不足以补偿损失的，买方有权要求卖方补足。</w:t>
            </w:r>
          </w:p>
          <w:p w14:paraId="799A6716">
            <w:pPr>
              <w:pStyle w:val="21"/>
              <w:keepNext w:val="0"/>
              <w:keepLines w:val="0"/>
              <w:pageBreakBefore w:val="0"/>
              <w:suppressLineNumbers w:val="0"/>
              <w:kinsoku/>
              <w:wordWrap/>
              <w:overflowPunct w:val="0"/>
              <w:topLinePunct w:val="0"/>
              <w:bidi w:val="0"/>
              <w:adjustRightInd w:val="0"/>
              <w:spacing w:before="0" w:beforeAutospacing="0" w:after="0" w:afterAutospacing="0" w:line="360" w:lineRule="exact"/>
              <w:ind w:left="0" w:right="0"/>
              <w:jc w:val="both"/>
              <w:textAlignment w:val="baseline"/>
              <w:rPr>
                <w:rFonts w:hint="default" w:ascii="宋体" w:hAnsi="宋体" w:eastAsia="宋体" w:cs="宋体"/>
                <w:sz w:val="21"/>
                <w:szCs w:val="21"/>
              </w:rPr>
            </w:pPr>
            <w:r>
              <w:rPr>
                <w:rFonts w:hint="eastAsia" w:ascii="宋体" w:hAnsi="宋体" w:eastAsia="宋体" w:cs="宋体"/>
                <w:sz w:val="21"/>
                <w:szCs w:val="21"/>
              </w:rPr>
              <w:t>(2)卖方逾期交货的，应在发货前与买方和政府采购管理部门协商，买方仍需求的，卖方应立即发货并应按照逾期交货部分货款的每天万分之四支付逾期交货违约金，同时承担买方因此遭致的损失费用。</w:t>
            </w:r>
          </w:p>
          <w:p w14:paraId="4B716153">
            <w:pPr>
              <w:keepNext w:val="0"/>
              <w:keepLines w:val="0"/>
              <w:pageBreakBefore w:val="0"/>
              <w:suppressLineNumbers w:val="0"/>
              <w:kinsoku/>
              <w:wordWrap/>
              <w:topLinePunct w:val="0"/>
              <w:bidi w:val="0"/>
              <w:spacing w:before="0" w:beforeAutospacing="0" w:after="0" w:afterAutospacing="0" w:line="360" w:lineRule="exact"/>
              <w:ind w:left="0" w:right="0"/>
              <w:rPr>
                <w:rFonts w:hint="default" w:ascii="宋体" w:hAnsi="宋体" w:eastAsia="宋体" w:cs="宋体"/>
                <w:szCs w:val="21"/>
              </w:rPr>
            </w:pPr>
            <w:r>
              <w:rPr>
                <w:rFonts w:hint="eastAsia" w:ascii="宋体" w:hAnsi="宋体" w:eastAsia="宋体" w:cs="宋体"/>
                <w:szCs w:val="21"/>
              </w:rPr>
              <w:t>（3）卖方在收到买方提出的产品维保或者伴随服务要求之日起24小时内未提供相应的维保或者伴随服务，卖方应按照合同总价款的每天万分之四支付违约金。卖方如不按时提供相应的维保或者伴随服务，买方有权自行委托第三方进行维保或者提供相应服务，产生的费用应由卖方承担，如卖方不支付该费用，买方有权向卖方追偿。</w:t>
            </w:r>
          </w:p>
        </w:tc>
      </w:tr>
      <w:tr w14:paraId="4BFCD4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1607" w:type="dxa"/>
            <w:vAlign w:val="center"/>
          </w:tcPr>
          <w:p w14:paraId="3622CC58">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160F7597">
            <w:pPr>
              <w:keepNext w:val="0"/>
              <w:keepLines w:val="0"/>
              <w:pageBreakBefore w:val="0"/>
              <w:suppressLineNumbers w:val="0"/>
              <w:kinsoku/>
              <w:wordWrap/>
              <w:topLinePunct w:val="0"/>
              <w:bidi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第6.1款</w:t>
            </w:r>
          </w:p>
        </w:tc>
        <w:tc>
          <w:tcPr>
            <w:tcW w:w="1742" w:type="dxa"/>
            <w:vAlign w:val="center"/>
          </w:tcPr>
          <w:p w14:paraId="709A3D9D">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履行合同义务的顺序</w:t>
            </w:r>
          </w:p>
        </w:tc>
        <w:tc>
          <w:tcPr>
            <w:tcW w:w="5170" w:type="dxa"/>
            <w:vAlign w:val="center"/>
          </w:tcPr>
          <w:p w14:paraId="6829AC44">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同时履行</w:t>
            </w:r>
          </w:p>
        </w:tc>
      </w:tr>
      <w:tr w14:paraId="39321B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8001B39">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6D9E6A08">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第7.1款</w:t>
            </w:r>
          </w:p>
        </w:tc>
        <w:tc>
          <w:tcPr>
            <w:tcW w:w="1742" w:type="dxa"/>
            <w:vAlign w:val="center"/>
          </w:tcPr>
          <w:p w14:paraId="62C0F5D7">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包装特殊要求</w:t>
            </w:r>
          </w:p>
        </w:tc>
        <w:tc>
          <w:tcPr>
            <w:tcW w:w="5170" w:type="dxa"/>
            <w:vAlign w:val="center"/>
          </w:tcPr>
          <w:p w14:paraId="2BBD60CF">
            <w:pPr>
              <w:pStyle w:val="7"/>
              <w:keepNext w:val="0"/>
              <w:keepLines w:val="0"/>
              <w:pageBreakBefore w:val="0"/>
              <w:suppressLineNumbers w:val="0"/>
              <w:tabs>
                <w:tab w:val="left" w:pos="900"/>
              </w:tabs>
              <w:kinsoku/>
              <w:wordWrap/>
              <w:topLinePunct w:val="0"/>
              <w:bidi w:val="0"/>
              <w:spacing w:before="0" w:beforeAutospacing="0" w:after="0" w:afterAutospacing="0" w:line="360" w:lineRule="exact"/>
              <w:ind w:left="0" w:right="0" w:firstLine="0"/>
              <w:rPr>
                <w:rFonts w:hint="default" w:hAnsi="宋体" w:cs="宋体"/>
                <w:kern w:val="2"/>
                <w:sz w:val="21"/>
                <w:szCs w:val="21"/>
              </w:rPr>
            </w:pPr>
            <w:r>
              <w:rPr>
                <w:rFonts w:hint="eastAsia" w:hAnsi="宋体" w:cs="宋体"/>
                <w:kern w:val="2"/>
                <w:sz w:val="21"/>
                <w:szCs w:val="21"/>
              </w:rPr>
              <w:t>按照通用的方式包装，没有通用方式的，应当采取足以保护标的物的包装方式。</w:t>
            </w:r>
          </w:p>
        </w:tc>
      </w:tr>
      <w:tr w14:paraId="53FA92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1607" w:type="dxa"/>
            <w:vMerge w:val="continue"/>
            <w:vAlign w:val="center"/>
          </w:tcPr>
          <w:p w14:paraId="185FBB07">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p>
        </w:tc>
        <w:tc>
          <w:tcPr>
            <w:tcW w:w="1742" w:type="dxa"/>
            <w:vAlign w:val="center"/>
          </w:tcPr>
          <w:p w14:paraId="5EA1011F">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指定现场</w:t>
            </w:r>
          </w:p>
        </w:tc>
        <w:tc>
          <w:tcPr>
            <w:tcW w:w="5170" w:type="dxa"/>
            <w:vAlign w:val="center"/>
          </w:tcPr>
          <w:p w14:paraId="36BA2B18">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滁州市范围内</w:t>
            </w:r>
          </w:p>
        </w:tc>
      </w:tr>
      <w:tr w14:paraId="3F3DC6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607" w:type="dxa"/>
            <w:vAlign w:val="center"/>
          </w:tcPr>
          <w:p w14:paraId="6E15387C">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3C5383A8">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第7.2款</w:t>
            </w:r>
          </w:p>
        </w:tc>
        <w:tc>
          <w:tcPr>
            <w:tcW w:w="1742" w:type="dxa"/>
            <w:vAlign w:val="center"/>
          </w:tcPr>
          <w:p w14:paraId="1DA0EB5A">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运输特殊要求</w:t>
            </w:r>
          </w:p>
        </w:tc>
        <w:tc>
          <w:tcPr>
            <w:tcW w:w="5170" w:type="dxa"/>
            <w:vAlign w:val="center"/>
          </w:tcPr>
          <w:p w14:paraId="1A03CF67">
            <w:pPr>
              <w:keepNext w:val="0"/>
              <w:keepLines w:val="0"/>
              <w:pageBreakBefore w:val="0"/>
              <w:suppressLineNumbers w:val="0"/>
              <w:kinsoku/>
              <w:wordWrap/>
              <w:topLinePunct w:val="0"/>
              <w:bidi w:val="0"/>
              <w:spacing w:before="0" w:beforeAutospacing="0" w:after="0" w:afterAutospacing="0" w:line="360" w:lineRule="exact"/>
              <w:ind w:left="0" w:right="0"/>
              <w:rPr>
                <w:rFonts w:hint="default" w:ascii="宋体" w:hAnsi="宋体" w:eastAsia="宋体" w:cs="宋体"/>
                <w:szCs w:val="20"/>
              </w:rPr>
            </w:pPr>
            <w:r>
              <w:rPr>
                <w:rFonts w:hint="eastAsia" w:ascii="宋体" w:hAnsi="宋体" w:eastAsia="宋体" w:cs="宋体"/>
                <w:szCs w:val="20"/>
              </w:rPr>
              <w:t>无</w:t>
            </w:r>
          </w:p>
        </w:tc>
      </w:tr>
      <w:tr w14:paraId="3D5B71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E3A9EC3">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3B152C4A">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第7.3款</w:t>
            </w:r>
          </w:p>
        </w:tc>
        <w:tc>
          <w:tcPr>
            <w:tcW w:w="1742" w:type="dxa"/>
            <w:vAlign w:val="center"/>
          </w:tcPr>
          <w:p w14:paraId="210FB7D6">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保险要求</w:t>
            </w:r>
          </w:p>
        </w:tc>
        <w:tc>
          <w:tcPr>
            <w:tcW w:w="5170" w:type="dxa"/>
            <w:vAlign w:val="center"/>
          </w:tcPr>
          <w:p w14:paraId="4FF180B6">
            <w:pPr>
              <w:keepNext w:val="0"/>
              <w:keepLines w:val="0"/>
              <w:pageBreakBefore w:val="0"/>
              <w:suppressLineNumbers w:val="0"/>
              <w:kinsoku/>
              <w:wordWrap/>
              <w:topLinePunct w:val="0"/>
              <w:bidi w:val="0"/>
              <w:spacing w:before="0" w:beforeAutospacing="0" w:after="0" w:afterAutospacing="0" w:line="360" w:lineRule="exact"/>
              <w:ind w:left="0" w:right="0"/>
              <w:rPr>
                <w:rFonts w:hint="default" w:ascii="宋体" w:hAnsi="宋体" w:eastAsia="宋体" w:cs="宋体"/>
                <w:szCs w:val="20"/>
              </w:rPr>
            </w:pPr>
            <w:r>
              <w:rPr>
                <w:rFonts w:hint="eastAsia" w:ascii="宋体" w:hAnsi="宋体" w:eastAsia="宋体" w:cs="宋体"/>
                <w:szCs w:val="20"/>
              </w:rPr>
              <w:t>按规定购买保险</w:t>
            </w:r>
          </w:p>
        </w:tc>
      </w:tr>
      <w:tr w14:paraId="6C5520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EA37375">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3C16AF60">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第8.2（1）项</w:t>
            </w:r>
          </w:p>
        </w:tc>
        <w:tc>
          <w:tcPr>
            <w:tcW w:w="1742" w:type="dxa"/>
            <w:vAlign w:val="center"/>
          </w:tcPr>
          <w:p w14:paraId="457B5653">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质量保证期</w:t>
            </w:r>
          </w:p>
        </w:tc>
        <w:tc>
          <w:tcPr>
            <w:tcW w:w="5170" w:type="dxa"/>
            <w:vAlign w:val="center"/>
          </w:tcPr>
          <w:p w14:paraId="5484933C">
            <w:pPr>
              <w:keepNext w:val="0"/>
              <w:keepLines w:val="0"/>
              <w:pageBreakBefore w:val="0"/>
              <w:suppressLineNumbers w:val="0"/>
              <w:kinsoku/>
              <w:wordWrap/>
              <w:topLinePunct w:val="0"/>
              <w:autoSpaceDE w:val="0"/>
              <w:autoSpaceDN w:val="0"/>
              <w:bidi w:val="0"/>
              <w:adjustRightInd w:val="0"/>
              <w:snapToGrid w:val="0"/>
              <w:spacing w:before="0" w:beforeAutospacing="0" w:after="0" w:afterAutospacing="0" w:line="360" w:lineRule="exact"/>
              <w:ind w:left="0" w:right="0"/>
              <w:jc w:val="left"/>
              <w:rPr>
                <w:rFonts w:hint="eastAsia" w:ascii="宋体" w:hAnsi="宋体" w:eastAsia="宋体" w:cs="宋体"/>
                <w:szCs w:val="21"/>
                <w:lang w:eastAsia="zh-CN"/>
              </w:rPr>
            </w:pPr>
            <w:r>
              <w:rPr>
                <w:rFonts w:hint="eastAsia" w:ascii="宋体" w:hAnsi="宋体" w:eastAsia="宋体" w:cs="宋体"/>
                <w:szCs w:val="20"/>
              </w:rPr>
              <w:t>中标人提供</w:t>
            </w:r>
            <w:r>
              <w:rPr>
                <w:rFonts w:hint="eastAsia" w:ascii="宋体" w:hAnsi="宋体" w:eastAsia="宋体" w:cs="宋体"/>
                <w:szCs w:val="20"/>
                <w:lang w:val="en-US" w:eastAsia="zh-CN"/>
              </w:rPr>
              <w:t>一</w:t>
            </w:r>
            <w:r>
              <w:rPr>
                <w:rFonts w:hint="eastAsia" w:ascii="宋体" w:hAnsi="宋体" w:eastAsia="宋体" w:cs="宋体"/>
                <w:szCs w:val="20"/>
              </w:rPr>
              <w:t>年免费质保服务，所有质保费用均已包含在投标报价中</w:t>
            </w:r>
            <w:r>
              <w:rPr>
                <w:rFonts w:hint="eastAsia" w:ascii="宋体" w:hAnsi="宋体" w:eastAsia="宋体" w:cs="宋体"/>
                <w:szCs w:val="20"/>
                <w:lang w:eastAsia="zh-CN"/>
              </w:rPr>
              <w:t>。</w:t>
            </w:r>
          </w:p>
        </w:tc>
      </w:tr>
      <w:tr w14:paraId="77F76D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2558B7">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588C546A">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第8.2（3）项</w:t>
            </w:r>
          </w:p>
        </w:tc>
        <w:tc>
          <w:tcPr>
            <w:tcW w:w="1742" w:type="dxa"/>
            <w:vAlign w:val="center"/>
          </w:tcPr>
          <w:p w14:paraId="5A89FFCA">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货物质量缺陷</w:t>
            </w:r>
          </w:p>
          <w:p w14:paraId="0DE6B766">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响应时间</w:t>
            </w:r>
          </w:p>
        </w:tc>
        <w:tc>
          <w:tcPr>
            <w:tcW w:w="5170" w:type="dxa"/>
            <w:vAlign w:val="center"/>
          </w:tcPr>
          <w:p w14:paraId="75902510">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12小时</w:t>
            </w:r>
          </w:p>
        </w:tc>
      </w:tr>
      <w:tr w14:paraId="50831F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D9DF31">
            <w:pPr>
              <w:keepNext w:val="0"/>
              <w:keepLines w:val="0"/>
              <w:pageBreakBefore w:val="0"/>
              <w:suppressLineNumbers w:val="0"/>
              <w:kinsoku/>
              <w:wordWrap/>
              <w:topLinePunct w:val="0"/>
              <w:bidi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7A69ED3C">
            <w:pPr>
              <w:pStyle w:val="62"/>
              <w:keepNext w:val="0"/>
              <w:keepLines w:val="0"/>
              <w:pageBreakBefore w:val="0"/>
              <w:widowControl/>
              <w:suppressLineNumbers w:val="0"/>
              <w:kinsoku/>
              <w:wordWrap/>
              <w:topLinePunct w:val="0"/>
              <w:bidi w:val="0"/>
              <w:spacing w:before="0" w:beforeAutospacing="0" w:after="0" w:afterAutospacing="0" w:line="360" w:lineRule="exact"/>
              <w:ind w:left="0" w:right="0" w:firstLine="0" w:firstLineChars="0"/>
              <w:jc w:val="center"/>
              <w:rPr>
                <w:rFonts w:hint="default" w:ascii="宋体" w:hAnsi="宋体" w:eastAsia="宋体" w:cs="宋体"/>
              </w:rPr>
            </w:pPr>
            <w:r>
              <w:rPr>
                <w:rFonts w:hint="eastAsia" w:ascii="宋体" w:hAnsi="宋体" w:eastAsia="宋体" w:cs="宋体"/>
              </w:rPr>
              <w:t>第11.1款</w:t>
            </w:r>
          </w:p>
        </w:tc>
        <w:tc>
          <w:tcPr>
            <w:tcW w:w="1742" w:type="dxa"/>
            <w:vAlign w:val="center"/>
          </w:tcPr>
          <w:p w14:paraId="0F05934E">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rPr>
                <w:rFonts w:hint="default" w:ascii="宋体" w:hAnsi="宋体" w:eastAsia="宋体" w:cs="宋体"/>
                <w:szCs w:val="21"/>
              </w:rPr>
            </w:pPr>
            <w:r>
              <w:rPr>
                <w:rFonts w:hint="eastAsia" w:ascii="宋体" w:hAnsi="宋体" w:eastAsia="宋体" w:cs="宋体"/>
                <w:szCs w:val="21"/>
              </w:rPr>
              <w:t>其他应当保密的信息</w:t>
            </w:r>
          </w:p>
        </w:tc>
        <w:tc>
          <w:tcPr>
            <w:tcW w:w="5170" w:type="dxa"/>
            <w:vAlign w:val="center"/>
          </w:tcPr>
          <w:p w14:paraId="07D4B632">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无</w:t>
            </w:r>
          </w:p>
        </w:tc>
      </w:tr>
      <w:tr w14:paraId="63727E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2B2A2B">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05B5FF20">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第12.2款</w:t>
            </w:r>
          </w:p>
        </w:tc>
        <w:tc>
          <w:tcPr>
            <w:tcW w:w="1742" w:type="dxa"/>
            <w:vAlign w:val="center"/>
          </w:tcPr>
          <w:p w14:paraId="376FCACD">
            <w:pPr>
              <w:keepNext w:val="0"/>
              <w:keepLines w:val="0"/>
              <w:pageBreakBefore w:val="0"/>
              <w:suppressLineNumbers w:val="0"/>
              <w:kinsoku/>
              <w:wordWrap/>
              <w:topLinePunct w:val="0"/>
              <w:autoSpaceDE w:val="0"/>
              <w:autoSpaceDN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合同价款支付时间</w:t>
            </w:r>
          </w:p>
        </w:tc>
        <w:tc>
          <w:tcPr>
            <w:tcW w:w="5170" w:type="dxa"/>
            <w:vAlign w:val="center"/>
          </w:tcPr>
          <w:p w14:paraId="4ABBD098">
            <w:pPr>
              <w:keepNext w:val="0"/>
              <w:keepLines w:val="0"/>
              <w:pageBreakBefore w:val="0"/>
              <w:suppressLineNumbers w:val="0"/>
              <w:kinsoku/>
              <w:wordWrap/>
              <w:topLinePunct w:val="0"/>
              <w:autoSpaceDE w:val="0"/>
              <w:autoSpaceDN w:val="0"/>
              <w:bidi w:val="0"/>
              <w:adjustRightInd w:val="0"/>
              <w:snapToGrid w:val="0"/>
              <w:spacing w:before="0" w:beforeAutospacing="0" w:after="0" w:afterAutospacing="0" w:line="360" w:lineRule="exact"/>
              <w:ind w:left="0" w:right="0"/>
              <w:jc w:val="left"/>
              <w:rPr>
                <w:rFonts w:hint="default" w:ascii="宋体" w:hAnsi="宋体" w:eastAsia="宋体" w:cs="宋体"/>
                <w:color w:val="0000FF"/>
                <w:szCs w:val="21"/>
              </w:rPr>
            </w:pPr>
          </w:p>
        </w:tc>
      </w:tr>
      <w:tr w14:paraId="23503C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F5552EE">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3F1A5C8E">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第13.2款</w:t>
            </w:r>
          </w:p>
        </w:tc>
        <w:tc>
          <w:tcPr>
            <w:tcW w:w="1742" w:type="dxa"/>
            <w:vAlign w:val="center"/>
          </w:tcPr>
          <w:p w14:paraId="64F6D5A9">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履约保证金不予退还的情形</w:t>
            </w:r>
          </w:p>
        </w:tc>
        <w:tc>
          <w:tcPr>
            <w:tcW w:w="5170" w:type="dxa"/>
            <w:vAlign w:val="center"/>
          </w:tcPr>
          <w:p w14:paraId="564CD563">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无</w:t>
            </w:r>
          </w:p>
        </w:tc>
      </w:tr>
      <w:tr w14:paraId="4AFFB8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E2B8F4B">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1ECD49CB">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第13.3款</w:t>
            </w:r>
          </w:p>
        </w:tc>
        <w:tc>
          <w:tcPr>
            <w:tcW w:w="1742" w:type="dxa"/>
            <w:vAlign w:val="center"/>
          </w:tcPr>
          <w:p w14:paraId="4DFA44E6">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履约保证金退还时间及逾期退还的违约金</w:t>
            </w:r>
          </w:p>
        </w:tc>
        <w:tc>
          <w:tcPr>
            <w:tcW w:w="5170" w:type="dxa"/>
            <w:vAlign w:val="center"/>
          </w:tcPr>
          <w:p w14:paraId="69ADA1A1">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无</w:t>
            </w:r>
          </w:p>
        </w:tc>
      </w:tr>
      <w:tr w14:paraId="09CDCD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1" w:hRule="atLeast"/>
        </w:trPr>
        <w:tc>
          <w:tcPr>
            <w:tcW w:w="1607" w:type="dxa"/>
            <w:vAlign w:val="center"/>
          </w:tcPr>
          <w:p w14:paraId="278F0127">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31EB5B9A">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第14.1（3）项</w:t>
            </w:r>
          </w:p>
        </w:tc>
        <w:tc>
          <w:tcPr>
            <w:tcW w:w="1742" w:type="dxa"/>
            <w:vAlign w:val="center"/>
          </w:tcPr>
          <w:p w14:paraId="5E624628">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运行监督、维修期限</w:t>
            </w:r>
          </w:p>
        </w:tc>
        <w:tc>
          <w:tcPr>
            <w:tcW w:w="5170" w:type="dxa"/>
            <w:vAlign w:val="center"/>
          </w:tcPr>
          <w:p w14:paraId="19AFB565">
            <w:pPr>
              <w:keepNext w:val="0"/>
              <w:keepLines w:val="0"/>
              <w:pageBreakBefore w:val="0"/>
              <w:suppressLineNumbers w:val="0"/>
              <w:kinsoku/>
              <w:wordWrap/>
              <w:topLinePunct w:val="0"/>
              <w:autoSpaceDE w:val="0"/>
              <w:autoSpaceDN w:val="0"/>
              <w:bidi w:val="0"/>
              <w:adjustRightInd w:val="0"/>
              <w:snapToGrid w:val="0"/>
              <w:spacing w:before="0" w:beforeAutospacing="0" w:after="0" w:afterAutospacing="0" w:line="360" w:lineRule="exact"/>
              <w:ind w:left="0" w:right="0"/>
              <w:jc w:val="left"/>
              <w:rPr>
                <w:rFonts w:hint="eastAsia" w:ascii="宋体" w:hAnsi="宋体" w:eastAsia="宋体" w:cs="宋体"/>
                <w:szCs w:val="21"/>
                <w:lang w:eastAsia="zh-CN"/>
              </w:rPr>
            </w:pPr>
            <w:r>
              <w:rPr>
                <w:rFonts w:hint="eastAsia" w:ascii="宋体" w:hAnsi="宋体" w:eastAsia="宋体" w:cs="宋体"/>
                <w:szCs w:val="20"/>
                <w:lang w:val="en-US" w:eastAsia="zh-CN"/>
              </w:rPr>
              <w:t>无</w:t>
            </w:r>
          </w:p>
        </w:tc>
      </w:tr>
      <w:tr w14:paraId="1970A4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E9AB68B">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4509EEC1">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第14.1（5）项</w:t>
            </w:r>
          </w:p>
        </w:tc>
        <w:tc>
          <w:tcPr>
            <w:tcW w:w="1742" w:type="dxa"/>
            <w:vAlign w:val="center"/>
          </w:tcPr>
          <w:p w14:paraId="702A54B0">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货物回收的约定</w:t>
            </w:r>
          </w:p>
        </w:tc>
        <w:tc>
          <w:tcPr>
            <w:tcW w:w="5170" w:type="dxa"/>
            <w:vAlign w:val="center"/>
          </w:tcPr>
          <w:p w14:paraId="4595341A">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无</w:t>
            </w:r>
          </w:p>
        </w:tc>
      </w:tr>
      <w:tr w14:paraId="6A26EC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B179FCE">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110CB566">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第14.1（6）项</w:t>
            </w:r>
          </w:p>
        </w:tc>
        <w:tc>
          <w:tcPr>
            <w:tcW w:w="1742" w:type="dxa"/>
            <w:vAlign w:val="center"/>
          </w:tcPr>
          <w:p w14:paraId="33BCE298">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乙方提供的其他服务</w:t>
            </w:r>
          </w:p>
        </w:tc>
        <w:tc>
          <w:tcPr>
            <w:tcW w:w="5170" w:type="dxa"/>
            <w:vAlign w:val="center"/>
          </w:tcPr>
          <w:p w14:paraId="5C610764">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按招标文件执行</w:t>
            </w:r>
          </w:p>
        </w:tc>
      </w:tr>
      <w:tr w14:paraId="1E428F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D95982">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07364FAC">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第15.1款</w:t>
            </w:r>
          </w:p>
        </w:tc>
        <w:tc>
          <w:tcPr>
            <w:tcW w:w="1742" w:type="dxa"/>
            <w:vAlign w:val="center"/>
          </w:tcPr>
          <w:p w14:paraId="03A3C5C1">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修理、重作、更换相关具体规定</w:t>
            </w:r>
          </w:p>
        </w:tc>
        <w:tc>
          <w:tcPr>
            <w:tcW w:w="5170" w:type="dxa"/>
            <w:vAlign w:val="center"/>
          </w:tcPr>
          <w:p w14:paraId="2C6A993E">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eastAsia" w:ascii="宋体" w:hAnsi="宋体" w:eastAsia="宋体" w:cs="宋体"/>
                <w:szCs w:val="21"/>
                <w:lang w:eastAsia="zh-CN"/>
              </w:rPr>
            </w:pPr>
            <w:r>
              <w:rPr>
                <w:rFonts w:hint="eastAsia" w:ascii="宋体" w:hAnsi="宋体" w:eastAsia="宋体" w:cs="宋体"/>
                <w:szCs w:val="21"/>
                <w:lang w:val="en-US" w:eastAsia="zh-CN"/>
              </w:rPr>
              <w:t>无</w:t>
            </w:r>
          </w:p>
        </w:tc>
      </w:tr>
      <w:tr w14:paraId="3F0D2C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EF267D">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0F70FA85">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第15.2（2）项</w:t>
            </w:r>
          </w:p>
        </w:tc>
        <w:tc>
          <w:tcPr>
            <w:tcW w:w="1742" w:type="dxa"/>
            <w:vAlign w:val="center"/>
          </w:tcPr>
          <w:p w14:paraId="415EDC00">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迟延交货赔偿费</w:t>
            </w:r>
          </w:p>
        </w:tc>
        <w:tc>
          <w:tcPr>
            <w:tcW w:w="5170" w:type="dxa"/>
            <w:vAlign w:val="center"/>
          </w:tcPr>
          <w:p w14:paraId="40DAC0D7">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(1)卖方不能交货（逾期超过五天视为不能交货），或交货不合格从而影响买方按期正常使用的，应向买方偿付合同总价款5%的违约金，违约金不足以补偿损失的，买方有权要求卖方补足。</w:t>
            </w:r>
          </w:p>
          <w:p w14:paraId="4B0097CB">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(2)卖方逾期交货的，应在发货前与买方和政府采购管理部门协商，买方仍需求的，卖方应立即发货并应按照逾期交货部分货款的每天万分之四支付逾期交货违约金，同时承担买方因此遭致的损失费用。</w:t>
            </w:r>
          </w:p>
        </w:tc>
      </w:tr>
      <w:tr w14:paraId="758E6F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5FD215">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3A6DB753">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第15.3款</w:t>
            </w:r>
          </w:p>
        </w:tc>
        <w:tc>
          <w:tcPr>
            <w:tcW w:w="1742" w:type="dxa"/>
            <w:vAlign w:val="center"/>
          </w:tcPr>
          <w:p w14:paraId="082B2852">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逾期付款利息</w:t>
            </w:r>
          </w:p>
        </w:tc>
        <w:tc>
          <w:tcPr>
            <w:tcW w:w="5170" w:type="dxa"/>
            <w:vAlign w:val="center"/>
          </w:tcPr>
          <w:p w14:paraId="4797010A">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无</w:t>
            </w:r>
          </w:p>
        </w:tc>
      </w:tr>
      <w:tr w14:paraId="2FF25E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BF1718D">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38FD4787">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第15.4款</w:t>
            </w:r>
          </w:p>
        </w:tc>
        <w:tc>
          <w:tcPr>
            <w:tcW w:w="1742" w:type="dxa"/>
            <w:tcBorders>
              <w:left w:val="single" w:color="auto" w:sz="2" w:space="0"/>
              <w:bottom w:val="single" w:color="auto" w:sz="2" w:space="0"/>
              <w:right w:val="single" w:color="auto" w:sz="2" w:space="0"/>
            </w:tcBorders>
            <w:vAlign w:val="center"/>
          </w:tcPr>
          <w:p w14:paraId="51F01DB3">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其他违约责任</w:t>
            </w:r>
          </w:p>
        </w:tc>
        <w:tc>
          <w:tcPr>
            <w:tcW w:w="5170" w:type="dxa"/>
            <w:tcBorders>
              <w:left w:val="single" w:color="auto" w:sz="2" w:space="0"/>
              <w:bottom w:val="single" w:color="auto" w:sz="2" w:space="0"/>
            </w:tcBorders>
            <w:vAlign w:val="center"/>
          </w:tcPr>
          <w:p w14:paraId="234D5485">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合同一方不履行合同义务或者履行合同义务不符合约定的，应当承担继续履行、采取补救措施或者赔偿损失等违约责任。</w:t>
            </w:r>
          </w:p>
        </w:tc>
      </w:tr>
      <w:tr w14:paraId="4CD561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4303F2F">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07A846D0">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第19.2款</w:t>
            </w:r>
          </w:p>
        </w:tc>
        <w:tc>
          <w:tcPr>
            <w:tcW w:w="1742" w:type="dxa"/>
            <w:tcBorders>
              <w:top w:val="single" w:color="auto" w:sz="2" w:space="0"/>
              <w:left w:val="single" w:color="auto" w:sz="2" w:space="0"/>
              <w:right w:val="single" w:color="auto" w:sz="2" w:space="0"/>
            </w:tcBorders>
            <w:vAlign w:val="center"/>
          </w:tcPr>
          <w:p w14:paraId="0E88569D">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解决争议的方法</w:t>
            </w:r>
          </w:p>
        </w:tc>
        <w:tc>
          <w:tcPr>
            <w:tcW w:w="5170" w:type="dxa"/>
            <w:tcBorders>
              <w:top w:val="single" w:color="auto" w:sz="2" w:space="0"/>
              <w:left w:val="single" w:color="auto" w:sz="2" w:space="0"/>
            </w:tcBorders>
            <w:vAlign w:val="center"/>
          </w:tcPr>
          <w:p w14:paraId="546EBEA5">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因本合同及合同有关事项发生的争议，按下列第（</w:t>
            </w:r>
            <w:r>
              <w:rPr>
                <w:rFonts w:hint="eastAsia" w:ascii="宋体" w:hAnsi="宋体" w:eastAsia="宋体" w:cs="宋体"/>
                <w:szCs w:val="21"/>
                <w:lang w:val="en-US" w:eastAsia="zh-CN"/>
              </w:rPr>
              <w:t>2</w:t>
            </w:r>
            <w:r>
              <w:rPr>
                <w:rFonts w:hint="eastAsia" w:ascii="宋体" w:hAnsi="宋体" w:eastAsia="宋体" w:cs="宋体"/>
                <w:szCs w:val="21"/>
              </w:rPr>
              <w:t>）种方式解决：</w:t>
            </w:r>
          </w:p>
          <w:p w14:paraId="28B1D8B7">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（1）向滁州市仲裁委员会申请仲裁，仲裁地点为滁州市；</w:t>
            </w:r>
          </w:p>
          <w:p w14:paraId="3293ED26">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（2）向甲方注册地有管辖权的人民法院起诉。</w:t>
            </w:r>
          </w:p>
        </w:tc>
      </w:tr>
      <w:tr w14:paraId="6D5E00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3A84098">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48D9C205">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第23.1款</w:t>
            </w:r>
          </w:p>
        </w:tc>
        <w:tc>
          <w:tcPr>
            <w:tcW w:w="1742" w:type="dxa"/>
            <w:vAlign w:val="center"/>
          </w:tcPr>
          <w:p w14:paraId="65FED515">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bCs/>
                <w:szCs w:val="21"/>
              </w:rPr>
              <w:t>其他专用条款</w:t>
            </w:r>
          </w:p>
        </w:tc>
        <w:tc>
          <w:tcPr>
            <w:tcW w:w="5170" w:type="dxa"/>
            <w:vAlign w:val="center"/>
          </w:tcPr>
          <w:p w14:paraId="6C4E3056">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bCs/>
                <w:szCs w:val="21"/>
              </w:rPr>
              <w:t>合同未尽事项签订合同时补充</w:t>
            </w:r>
          </w:p>
        </w:tc>
      </w:tr>
    </w:tbl>
    <w:p w14:paraId="658AE5B3">
      <w:pPr>
        <w:rPr>
          <w:rFonts w:hint="eastAsia" w:ascii="宋体" w:hAnsi="宋体" w:eastAsia="宋体" w:cs="宋体"/>
          <w:sz w:val="24"/>
          <w:szCs w:val="24"/>
          <w:highlight w:val="none"/>
        </w:rPr>
      </w:pPr>
    </w:p>
    <w:p w14:paraId="44162192">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bookmarkEnd w:id="42"/>
    <w:p w14:paraId="184AF9DE">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43" w:name="_Toc22492"/>
    </w:p>
    <w:p w14:paraId="69084238">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4E2059DB">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3"/>
    </w:p>
    <w:p w14:paraId="30DE90A2">
      <w:pPr>
        <w:spacing w:line="900" w:lineRule="exact"/>
        <w:jc w:val="center"/>
        <w:rPr>
          <w:rFonts w:ascii="宋体" w:hAnsi="宋体" w:eastAsia="宋体"/>
          <w:b/>
          <w:color w:val="auto"/>
          <w:sz w:val="72"/>
          <w:highlight w:val="none"/>
        </w:rPr>
      </w:pPr>
    </w:p>
    <w:p w14:paraId="77634752">
      <w:pPr>
        <w:spacing w:line="900" w:lineRule="exact"/>
        <w:jc w:val="center"/>
        <w:outlineLvl w:val="1"/>
        <w:rPr>
          <w:rFonts w:ascii="宋体" w:hAnsi="宋体" w:eastAsia="宋体"/>
          <w:b/>
          <w:color w:val="auto"/>
          <w:sz w:val="72"/>
          <w:highlight w:val="none"/>
        </w:rPr>
      </w:pPr>
      <w:bookmarkStart w:id="44" w:name="_Toc651"/>
      <w:r>
        <w:rPr>
          <w:rFonts w:hint="eastAsia" w:ascii="宋体" w:hAnsi="宋体" w:eastAsia="宋体"/>
          <w:b/>
          <w:color w:val="auto"/>
          <w:sz w:val="72"/>
          <w:highlight w:val="none"/>
        </w:rPr>
        <w:t>投</w:t>
      </w:r>
      <w:bookmarkEnd w:id="44"/>
    </w:p>
    <w:p w14:paraId="129E244B">
      <w:pPr>
        <w:spacing w:line="900" w:lineRule="exact"/>
        <w:jc w:val="center"/>
        <w:rPr>
          <w:rFonts w:ascii="宋体" w:hAnsi="宋体" w:eastAsia="宋体"/>
          <w:b/>
          <w:color w:val="auto"/>
          <w:sz w:val="72"/>
          <w:highlight w:val="none"/>
        </w:rPr>
      </w:pPr>
    </w:p>
    <w:p w14:paraId="0B8C6C5D">
      <w:pPr>
        <w:spacing w:line="900" w:lineRule="exact"/>
        <w:jc w:val="center"/>
        <w:outlineLvl w:val="1"/>
        <w:rPr>
          <w:rFonts w:ascii="宋体" w:hAnsi="宋体" w:eastAsia="宋体"/>
          <w:b/>
          <w:color w:val="auto"/>
          <w:sz w:val="72"/>
          <w:highlight w:val="none"/>
        </w:rPr>
      </w:pPr>
      <w:bookmarkStart w:id="45" w:name="_Toc6148"/>
      <w:r>
        <w:rPr>
          <w:rFonts w:hint="eastAsia" w:ascii="宋体" w:hAnsi="宋体" w:eastAsia="宋体"/>
          <w:b/>
          <w:color w:val="auto"/>
          <w:sz w:val="72"/>
          <w:highlight w:val="none"/>
        </w:rPr>
        <w:t>标</w:t>
      </w:r>
      <w:bookmarkEnd w:id="45"/>
    </w:p>
    <w:p w14:paraId="51C65161">
      <w:pPr>
        <w:spacing w:line="900" w:lineRule="exact"/>
        <w:jc w:val="center"/>
        <w:rPr>
          <w:rFonts w:ascii="宋体" w:hAnsi="宋体" w:eastAsia="宋体"/>
          <w:b/>
          <w:color w:val="auto"/>
          <w:sz w:val="72"/>
          <w:highlight w:val="none"/>
        </w:rPr>
      </w:pPr>
    </w:p>
    <w:p w14:paraId="6FA14B49">
      <w:pPr>
        <w:spacing w:line="900" w:lineRule="exact"/>
        <w:jc w:val="center"/>
        <w:outlineLvl w:val="1"/>
        <w:rPr>
          <w:rFonts w:ascii="宋体" w:hAnsi="宋体" w:eastAsia="宋体"/>
          <w:b/>
          <w:color w:val="auto"/>
          <w:sz w:val="72"/>
          <w:highlight w:val="none"/>
        </w:rPr>
      </w:pPr>
      <w:bookmarkStart w:id="46" w:name="_Toc1338"/>
      <w:r>
        <w:rPr>
          <w:rFonts w:hint="eastAsia" w:ascii="宋体" w:hAnsi="宋体" w:eastAsia="宋体"/>
          <w:b/>
          <w:color w:val="auto"/>
          <w:sz w:val="72"/>
          <w:highlight w:val="none"/>
        </w:rPr>
        <w:t>文</w:t>
      </w:r>
      <w:bookmarkEnd w:id="46"/>
    </w:p>
    <w:p w14:paraId="594B490B">
      <w:pPr>
        <w:spacing w:line="900" w:lineRule="exact"/>
        <w:jc w:val="center"/>
        <w:rPr>
          <w:rFonts w:ascii="宋体" w:hAnsi="宋体" w:eastAsia="宋体"/>
          <w:b/>
          <w:color w:val="auto"/>
          <w:sz w:val="72"/>
          <w:highlight w:val="none"/>
        </w:rPr>
      </w:pPr>
    </w:p>
    <w:p w14:paraId="424B64D2">
      <w:pPr>
        <w:jc w:val="center"/>
        <w:outlineLvl w:val="1"/>
        <w:rPr>
          <w:rFonts w:ascii="宋体" w:hAnsi="宋体" w:eastAsia="宋体"/>
          <w:b/>
          <w:color w:val="auto"/>
          <w:sz w:val="72"/>
          <w:highlight w:val="none"/>
        </w:rPr>
      </w:pPr>
      <w:bookmarkStart w:id="47" w:name="_Toc10796"/>
      <w:r>
        <w:rPr>
          <w:rFonts w:hint="eastAsia" w:ascii="宋体" w:hAnsi="宋体" w:eastAsia="宋体"/>
          <w:b/>
          <w:color w:val="auto"/>
          <w:sz w:val="72"/>
          <w:highlight w:val="none"/>
        </w:rPr>
        <w:t>件</w:t>
      </w:r>
      <w:bookmarkEnd w:id="47"/>
    </w:p>
    <w:p w14:paraId="7A533E7E">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资信证明文件（一）</w:t>
      </w:r>
    </w:p>
    <w:p w14:paraId="71144E1B">
      <w:pPr>
        <w:spacing w:after="156" w:afterLines="50" w:line="500" w:lineRule="exact"/>
        <w:jc w:val="center"/>
        <w:rPr>
          <w:rFonts w:ascii="宋体" w:hAnsi="宋体" w:eastAsia="宋体"/>
          <w:b/>
          <w:color w:val="auto"/>
          <w:sz w:val="28"/>
          <w:szCs w:val="28"/>
          <w:highlight w:val="none"/>
        </w:rPr>
      </w:pPr>
    </w:p>
    <w:p w14:paraId="3C52FBC8">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E7D5B62">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4B2B1B0">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7543DC9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48" w:name="_Toc9994"/>
      <w:bookmarkStart w:id="49" w:name="_Toc8037"/>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48"/>
      <w:bookmarkEnd w:id="49"/>
    </w:p>
    <w:p w14:paraId="7948D3E2">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5672C5A2">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4498809B">
      <w:pPr>
        <w:numPr>
          <w:ilvl w:val="0"/>
          <w:numId w:val="8"/>
        </w:num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法定代表人身份证明文件及其有效身份证（或法人代表授权委托书及其有效身份证）；（格式见附件）</w:t>
      </w:r>
    </w:p>
    <w:p w14:paraId="5C5B0E5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（2）技术响应表；（格式见附件）</w:t>
      </w:r>
    </w:p>
    <w:p w14:paraId="5C9ACD97">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（3）供应商资格声明书；（格式见附件）</w:t>
      </w:r>
    </w:p>
    <w:p w14:paraId="65BCF17F">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5F836FA9">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（5）中小企业声明函，残疾人福利性企业（格式见附件）；（如是） </w:t>
      </w:r>
    </w:p>
    <w:p w14:paraId="76AFC8E3">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（6）业绩证明材料（如有）；</w:t>
      </w:r>
    </w:p>
    <w:p w14:paraId="7587478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（7）企业资信（如有）；</w:t>
      </w:r>
    </w:p>
    <w:p w14:paraId="4E2CAA43">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（8）技术参数（如有）；</w:t>
      </w:r>
    </w:p>
    <w:p w14:paraId="29A494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（9）免费质保承诺（如有）</w:t>
      </w:r>
    </w:p>
    <w:p w14:paraId="07732A6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（10）投标人认为需要提供的其他评审及证明材料</w:t>
      </w:r>
    </w:p>
    <w:p w14:paraId="1AB85F32">
      <w:pPr>
        <w:spacing w:line="360" w:lineRule="auto"/>
        <w:ind w:firstLine="435"/>
        <w:rPr>
          <w:rFonts w:hint="eastAsia" w:ascii="宋体" w:hAnsi="宋体" w:eastAsia="宋体" w:cs="宋体"/>
          <w:color w:val="auto"/>
          <w:sz w:val="24"/>
          <w:highlight w:val="none"/>
          <w:lang w:val="en-US" w:eastAsia="zh-CN"/>
        </w:rPr>
      </w:pPr>
    </w:p>
    <w:p w14:paraId="0B613B5E">
      <w:pPr>
        <w:spacing w:line="360" w:lineRule="auto"/>
        <w:ind w:firstLine="435"/>
        <w:rPr>
          <w:rFonts w:hint="eastAsia" w:ascii="宋体" w:hAnsi="宋体" w:eastAsia="宋体" w:cs="宋体"/>
          <w:color w:val="auto"/>
          <w:sz w:val="24"/>
          <w:highlight w:val="none"/>
          <w:lang w:val="en-US" w:eastAsia="zh-CN"/>
        </w:rPr>
      </w:pPr>
    </w:p>
    <w:p w14:paraId="3825D4A1">
      <w:pPr>
        <w:spacing w:line="360" w:lineRule="auto"/>
        <w:ind w:firstLine="435"/>
        <w:rPr>
          <w:rFonts w:hint="eastAsia" w:ascii="宋体" w:hAnsi="宋体" w:eastAsia="宋体" w:cs="宋体"/>
          <w:color w:val="auto"/>
          <w:sz w:val="24"/>
          <w:highlight w:val="none"/>
          <w:lang w:val="en-US" w:eastAsia="zh-CN"/>
        </w:rPr>
      </w:pPr>
    </w:p>
    <w:p w14:paraId="3103048C">
      <w:pPr>
        <w:spacing w:line="360" w:lineRule="auto"/>
        <w:jc w:val="center"/>
        <w:outlineLvl w:val="1"/>
        <w:rPr>
          <w:rFonts w:hint="eastAsia" w:ascii="宋体" w:hAnsi="宋体" w:eastAsia="宋体"/>
          <w:b/>
          <w:color w:val="auto"/>
          <w:sz w:val="24"/>
          <w:highlight w:val="none"/>
          <w:lang w:val="en-US" w:eastAsia="zh-CN"/>
        </w:rPr>
      </w:pPr>
    </w:p>
    <w:p w14:paraId="5905E3F2">
      <w:pPr>
        <w:spacing w:line="360" w:lineRule="auto"/>
        <w:jc w:val="center"/>
        <w:outlineLvl w:val="1"/>
        <w:rPr>
          <w:rFonts w:hint="eastAsia" w:ascii="宋体" w:hAnsi="宋体" w:eastAsia="宋体"/>
          <w:b/>
          <w:color w:val="auto"/>
          <w:sz w:val="24"/>
          <w:highlight w:val="none"/>
          <w:lang w:val="en-US" w:eastAsia="zh-CN"/>
        </w:rPr>
      </w:pPr>
    </w:p>
    <w:p w14:paraId="6563BA88">
      <w:pPr>
        <w:spacing w:line="360" w:lineRule="auto"/>
        <w:jc w:val="center"/>
        <w:outlineLvl w:val="1"/>
        <w:rPr>
          <w:rFonts w:hint="eastAsia" w:ascii="宋体" w:hAnsi="宋体" w:eastAsia="宋体"/>
          <w:b/>
          <w:color w:val="auto"/>
          <w:sz w:val="24"/>
          <w:highlight w:val="none"/>
          <w:lang w:val="en-US" w:eastAsia="zh-CN"/>
        </w:rPr>
      </w:pPr>
    </w:p>
    <w:p w14:paraId="7774FA1F">
      <w:pPr>
        <w:spacing w:line="360" w:lineRule="auto"/>
        <w:jc w:val="center"/>
        <w:outlineLvl w:val="1"/>
        <w:rPr>
          <w:rFonts w:hint="eastAsia" w:ascii="宋体" w:hAnsi="宋体" w:eastAsia="宋体"/>
          <w:b/>
          <w:color w:val="auto"/>
          <w:sz w:val="24"/>
          <w:highlight w:val="none"/>
          <w:lang w:val="en-US" w:eastAsia="zh-CN"/>
        </w:rPr>
      </w:pPr>
    </w:p>
    <w:p w14:paraId="60098C75">
      <w:pPr>
        <w:spacing w:line="360" w:lineRule="auto"/>
        <w:jc w:val="center"/>
        <w:outlineLvl w:val="1"/>
        <w:rPr>
          <w:rFonts w:hint="eastAsia" w:ascii="宋体" w:hAnsi="宋体" w:eastAsia="宋体"/>
          <w:b/>
          <w:color w:val="auto"/>
          <w:sz w:val="24"/>
          <w:highlight w:val="none"/>
          <w:lang w:val="en-US" w:eastAsia="zh-CN"/>
        </w:rPr>
      </w:pPr>
    </w:p>
    <w:p w14:paraId="5E335937">
      <w:pPr>
        <w:spacing w:line="360" w:lineRule="auto"/>
        <w:jc w:val="center"/>
        <w:outlineLvl w:val="1"/>
        <w:rPr>
          <w:rFonts w:hint="eastAsia" w:ascii="宋体" w:hAnsi="宋体" w:eastAsia="宋体"/>
          <w:b/>
          <w:color w:val="auto"/>
          <w:sz w:val="24"/>
          <w:highlight w:val="none"/>
          <w:lang w:val="en-US" w:eastAsia="zh-CN"/>
        </w:rPr>
      </w:pPr>
    </w:p>
    <w:p w14:paraId="2DF9EB38">
      <w:pPr>
        <w:spacing w:line="360" w:lineRule="auto"/>
        <w:jc w:val="center"/>
        <w:outlineLvl w:val="1"/>
        <w:rPr>
          <w:rFonts w:hint="eastAsia" w:ascii="宋体" w:hAnsi="宋体" w:eastAsia="宋体"/>
          <w:b/>
          <w:color w:val="auto"/>
          <w:sz w:val="24"/>
          <w:highlight w:val="none"/>
          <w:lang w:val="en-US" w:eastAsia="zh-CN"/>
        </w:rPr>
      </w:pPr>
    </w:p>
    <w:p w14:paraId="7A6BCD3B">
      <w:pPr>
        <w:spacing w:line="360" w:lineRule="auto"/>
        <w:jc w:val="center"/>
        <w:outlineLvl w:val="1"/>
        <w:rPr>
          <w:rFonts w:hint="eastAsia" w:ascii="宋体" w:hAnsi="宋体" w:eastAsia="宋体"/>
          <w:b/>
          <w:color w:val="auto"/>
          <w:sz w:val="24"/>
          <w:highlight w:val="none"/>
          <w:lang w:val="en-US" w:eastAsia="zh-CN"/>
        </w:rPr>
      </w:pPr>
    </w:p>
    <w:p w14:paraId="71AD325A">
      <w:pPr>
        <w:spacing w:line="360" w:lineRule="auto"/>
        <w:jc w:val="center"/>
        <w:outlineLvl w:val="1"/>
        <w:rPr>
          <w:rFonts w:hint="eastAsia" w:ascii="宋体" w:hAnsi="宋体" w:eastAsia="宋体"/>
          <w:b/>
          <w:color w:val="auto"/>
          <w:sz w:val="24"/>
          <w:highlight w:val="none"/>
          <w:lang w:val="en-US" w:eastAsia="zh-CN"/>
        </w:rPr>
      </w:pPr>
    </w:p>
    <w:p w14:paraId="09854CA4">
      <w:pPr>
        <w:spacing w:line="360" w:lineRule="auto"/>
        <w:jc w:val="center"/>
        <w:outlineLvl w:val="1"/>
        <w:rPr>
          <w:rFonts w:hint="eastAsia" w:ascii="宋体" w:hAnsi="宋体" w:eastAsia="宋体"/>
          <w:b/>
          <w:color w:val="auto"/>
          <w:sz w:val="24"/>
          <w:highlight w:val="none"/>
          <w:lang w:val="en-US" w:eastAsia="zh-CN"/>
        </w:rPr>
      </w:pPr>
    </w:p>
    <w:p w14:paraId="0DBF42F9">
      <w:pPr>
        <w:spacing w:line="360" w:lineRule="auto"/>
        <w:jc w:val="center"/>
        <w:outlineLvl w:val="1"/>
        <w:rPr>
          <w:rFonts w:hint="eastAsia" w:ascii="宋体" w:hAnsi="宋体" w:eastAsia="宋体"/>
          <w:b/>
          <w:color w:val="auto"/>
          <w:sz w:val="24"/>
          <w:highlight w:val="none"/>
          <w:lang w:val="en-US" w:eastAsia="zh-CN"/>
        </w:rPr>
      </w:pPr>
    </w:p>
    <w:p w14:paraId="404E7270">
      <w:pPr>
        <w:spacing w:line="360" w:lineRule="auto"/>
        <w:jc w:val="center"/>
        <w:outlineLvl w:val="1"/>
        <w:rPr>
          <w:rFonts w:hint="eastAsia" w:ascii="宋体" w:hAnsi="宋体" w:eastAsia="宋体"/>
          <w:b/>
          <w:color w:val="auto"/>
          <w:sz w:val="24"/>
          <w:highlight w:val="none"/>
          <w:lang w:val="en-US" w:eastAsia="zh-CN"/>
        </w:rPr>
      </w:pPr>
    </w:p>
    <w:p w14:paraId="27560E84">
      <w:pPr>
        <w:spacing w:line="360" w:lineRule="auto"/>
        <w:jc w:val="center"/>
        <w:outlineLvl w:val="1"/>
        <w:rPr>
          <w:rFonts w:hint="eastAsia" w:ascii="宋体" w:hAnsi="宋体" w:eastAsia="宋体"/>
          <w:b/>
          <w:color w:val="auto"/>
          <w:sz w:val="24"/>
          <w:highlight w:val="none"/>
          <w:lang w:val="en-US" w:eastAsia="zh-CN"/>
        </w:rPr>
      </w:pPr>
    </w:p>
    <w:p w14:paraId="53C59B67">
      <w:pPr>
        <w:spacing w:line="360" w:lineRule="auto"/>
        <w:jc w:val="center"/>
        <w:outlineLvl w:val="1"/>
        <w:rPr>
          <w:rFonts w:hint="eastAsia" w:ascii="宋体" w:hAnsi="宋体" w:eastAsia="宋体"/>
          <w:b/>
          <w:color w:val="auto"/>
          <w:sz w:val="24"/>
          <w:highlight w:val="none"/>
          <w:lang w:val="en-US" w:eastAsia="zh-CN"/>
        </w:rPr>
      </w:pPr>
    </w:p>
    <w:p w14:paraId="53B088FC">
      <w:pPr>
        <w:spacing w:line="360" w:lineRule="auto"/>
        <w:jc w:val="center"/>
        <w:outlineLvl w:val="1"/>
        <w:rPr>
          <w:rFonts w:hint="eastAsia" w:ascii="宋体" w:hAnsi="宋体" w:eastAsia="宋体"/>
          <w:b/>
          <w:color w:val="auto"/>
          <w:sz w:val="24"/>
          <w:highlight w:val="none"/>
          <w:lang w:val="en-US" w:eastAsia="zh-CN"/>
        </w:rPr>
      </w:pPr>
    </w:p>
    <w:p w14:paraId="7ADE30AF">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5CF355FA">
      <w:pPr>
        <w:pStyle w:val="14"/>
        <w:snapToGrid w:val="0"/>
        <w:spacing w:line="360" w:lineRule="auto"/>
        <w:ind w:firstLine="480" w:firstLineChars="200"/>
        <w:jc w:val="left"/>
        <w:rPr>
          <w:rFonts w:hAnsi="宋体" w:eastAsia="宋体"/>
          <w:color w:val="auto"/>
          <w:sz w:val="24"/>
          <w:szCs w:val="28"/>
          <w:highlight w:val="none"/>
        </w:rPr>
      </w:pPr>
    </w:p>
    <w:p w14:paraId="0CB806E0">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253F061D">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587DD85F">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54D5CC21">
      <w:pPr>
        <w:spacing w:line="360" w:lineRule="auto"/>
        <w:ind w:firstLine="435"/>
        <w:rPr>
          <w:rFonts w:ascii="宋体" w:hAnsi="宋体" w:eastAsia="宋体"/>
          <w:color w:val="auto"/>
          <w:sz w:val="24"/>
          <w:highlight w:val="none"/>
        </w:rPr>
      </w:pPr>
    </w:p>
    <w:p w14:paraId="2BB476B4">
      <w:pPr>
        <w:spacing w:line="360" w:lineRule="auto"/>
        <w:ind w:firstLine="435"/>
        <w:rPr>
          <w:rFonts w:ascii="宋体" w:hAnsi="宋体" w:eastAsia="宋体"/>
          <w:color w:val="auto"/>
          <w:sz w:val="24"/>
          <w:highlight w:val="none"/>
        </w:rPr>
      </w:pPr>
    </w:p>
    <w:p w14:paraId="78424583">
      <w:pPr>
        <w:spacing w:line="360" w:lineRule="auto"/>
        <w:ind w:firstLine="435"/>
        <w:rPr>
          <w:rFonts w:ascii="宋体" w:hAnsi="宋体" w:eastAsia="宋体"/>
          <w:color w:val="auto"/>
          <w:sz w:val="24"/>
          <w:highlight w:val="none"/>
        </w:rPr>
      </w:pPr>
    </w:p>
    <w:p w14:paraId="68E39E42">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218644F9">
      <w:pPr>
        <w:spacing w:line="360" w:lineRule="auto"/>
        <w:ind w:firstLine="435"/>
        <w:rPr>
          <w:rFonts w:hAnsi="宋体" w:eastAsia="宋体"/>
          <w:color w:val="auto"/>
          <w:sz w:val="24"/>
          <w:szCs w:val="28"/>
          <w:highlight w:val="none"/>
          <w:lang w:val="zh-CN"/>
        </w:rPr>
      </w:pPr>
    </w:p>
    <w:p w14:paraId="367E5DE6">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246A3DD9">
      <w:pPr>
        <w:spacing w:line="360" w:lineRule="auto"/>
        <w:rPr>
          <w:rFonts w:ascii="宋体" w:hAnsi="宋体" w:eastAsia="宋体"/>
          <w:color w:val="auto"/>
          <w:sz w:val="24"/>
          <w:szCs w:val="28"/>
          <w:highlight w:val="none"/>
        </w:rPr>
      </w:pPr>
    </w:p>
    <w:p w14:paraId="20AD7F89">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2FEA601F">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00D99995">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7B059B26">
      <w:pPr>
        <w:spacing w:line="360" w:lineRule="auto"/>
        <w:ind w:firstLine="435"/>
        <w:rPr>
          <w:rFonts w:ascii="宋体" w:hAnsi="宋体" w:eastAsia="宋体"/>
          <w:color w:val="auto"/>
          <w:sz w:val="24"/>
          <w:highlight w:val="none"/>
        </w:rPr>
      </w:pPr>
    </w:p>
    <w:p w14:paraId="5A08068B">
      <w:pPr>
        <w:spacing w:line="360" w:lineRule="auto"/>
        <w:ind w:firstLine="435"/>
        <w:rPr>
          <w:rFonts w:ascii="宋体" w:hAnsi="宋体" w:eastAsia="宋体"/>
          <w:color w:val="auto"/>
          <w:sz w:val="24"/>
          <w:highlight w:val="none"/>
        </w:rPr>
      </w:pPr>
    </w:p>
    <w:p w14:paraId="508BDD34">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3FD8453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35B4387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47A4CD29">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000DE2C1">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0D57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1EAB655D">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660E7EC0">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33C3A904">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33E5D7A7">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3E718A42">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79ED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80D438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15" w:type="pct"/>
            <w:vAlign w:val="center"/>
          </w:tcPr>
          <w:p w14:paraId="2767F59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57125F8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2C59376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EB3C7C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59D3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03D121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15" w:type="pct"/>
            <w:vAlign w:val="center"/>
          </w:tcPr>
          <w:p w14:paraId="4093874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23D015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18C660E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70BED87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508B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B0A466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915" w:type="pct"/>
            <w:vAlign w:val="center"/>
          </w:tcPr>
          <w:p w14:paraId="6597134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16CB8A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782DB986">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76AD4CF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6EE9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20126D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915" w:type="pct"/>
            <w:vAlign w:val="center"/>
          </w:tcPr>
          <w:p w14:paraId="06082F2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8301C9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721FAFB">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4F12A9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309F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1F8FFA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915" w:type="pct"/>
            <w:vAlign w:val="center"/>
          </w:tcPr>
          <w:p w14:paraId="233390C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31E855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51C4FBF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7CFCC7C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7BFCAD5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9F8DAC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C6421D6">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66BC7191">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1DB5491D">
      <w:pPr>
        <w:spacing w:line="360" w:lineRule="auto"/>
        <w:ind w:firstLine="435"/>
        <w:rPr>
          <w:rFonts w:hint="eastAsia" w:ascii="宋体" w:hAnsi="宋体" w:eastAsia="宋体" w:cs="宋体"/>
          <w:b/>
          <w:bCs/>
          <w:color w:val="auto"/>
          <w:sz w:val="24"/>
          <w:highlight w:val="none"/>
          <w:lang w:val="en-US" w:eastAsia="zh-CN"/>
        </w:rPr>
      </w:pPr>
    </w:p>
    <w:p w14:paraId="093080AC">
      <w:pPr>
        <w:spacing w:line="360" w:lineRule="auto"/>
        <w:ind w:firstLine="435"/>
        <w:rPr>
          <w:rFonts w:hint="eastAsia" w:ascii="宋体" w:hAnsi="宋体" w:eastAsia="宋体" w:cs="宋体"/>
          <w:color w:val="auto"/>
          <w:sz w:val="24"/>
          <w:highlight w:val="none"/>
          <w:lang w:val="en-US" w:eastAsia="zh-CN"/>
        </w:rPr>
      </w:pPr>
    </w:p>
    <w:p w14:paraId="35205C49">
      <w:pPr>
        <w:spacing w:line="360" w:lineRule="auto"/>
        <w:ind w:firstLine="435"/>
        <w:rPr>
          <w:rFonts w:hint="eastAsia" w:ascii="宋体" w:hAnsi="宋体" w:eastAsia="宋体" w:cs="宋体"/>
          <w:color w:val="auto"/>
          <w:sz w:val="24"/>
          <w:highlight w:val="none"/>
          <w:lang w:val="en-US" w:eastAsia="zh-CN"/>
        </w:rPr>
      </w:pPr>
    </w:p>
    <w:p w14:paraId="23528066">
      <w:pPr>
        <w:spacing w:line="360" w:lineRule="auto"/>
        <w:ind w:firstLine="435"/>
        <w:rPr>
          <w:rFonts w:hint="eastAsia" w:ascii="宋体" w:hAnsi="宋体" w:eastAsia="宋体" w:cs="宋体"/>
          <w:color w:val="auto"/>
          <w:sz w:val="24"/>
          <w:highlight w:val="none"/>
          <w:lang w:val="en-US" w:eastAsia="zh-CN"/>
        </w:rPr>
      </w:pPr>
    </w:p>
    <w:p w14:paraId="709674C3">
      <w:pPr>
        <w:spacing w:line="360" w:lineRule="auto"/>
        <w:ind w:firstLine="435"/>
        <w:rPr>
          <w:rFonts w:hint="eastAsia" w:ascii="宋体" w:hAnsi="宋体" w:eastAsia="宋体" w:cs="宋体"/>
          <w:color w:val="auto"/>
          <w:sz w:val="24"/>
          <w:highlight w:val="none"/>
          <w:lang w:val="en-US" w:eastAsia="zh-CN"/>
        </w:rPr>
      </w:pPr>
    </w:p>
    <w:p w14:paraId="20FCE55B">
      <w:pPr>
        <w:spacing w:line="360" w:lineRule="auto"/>
        <w:ind w:firstLine="435"/>
        <w:rPr>
          <w:rFonts w:hint="eastAsia" w:ascii="宋体" w:hAnsi="宋体" w:eastAsia="宋体" w:cs="宋体"/>
          <w:color w:val="auto"/>
          <w:sz w:val="24"/>
          <w:highlight w:val="none"/>
          <w:lang w:val="en-US" w:eastAsia="zh-CN"/>
        </w:rPr>
      </w:pPr>
    </w:p>
    <w:p w14:paraId="13B362BA">
      <w:pPr>
        <w:spacing w:line="360" w:lineRule="auto"/>
        <w:ind w:firstLine="435"/>
        <w:rPr>
          <w:rFonts w:hint="eastAsia" w:ascii="宋体" w:hAnsi="宋体" w:eastAsia="宋体" w:cs="宋体"/>
          <w:color w:val="auto"/>
          <w:sz w:val="24"/>
          <w:highlight w:val="none"/>
          <w:lang w:val="en-US" w:eastAsia="zh-CN"/>
        </w:rPr>
      </w:pPr>
    </w:p>
    <w:p w14:paraId="6B847AA5">
      <w:pPr>
        <w:spacing w:line="360" w:lineRule="auto"/>
        <w:ind w:firstLine="435"/>
        <w:rPr>
          <w:rFonts w:hint="eastAsia" w:ascii="宋体" w:hAnsi="宋体" w:eastAsia="宋体" w:cs="宋体"/>
          <w:color w:val="auto"/>
          <w:sz w:val="24"/>
          <w:highlight w:val="none"/>
          <w:lang w:val="en-US" w:eastAsia="zh-CN"/>
        </w:rPr>
      </w:pPr>
    </w:p>
    <w:p w14:paraId="1C41C406">
      <w:pPr>
        <w:spacing w:line="360" w:lineRule="auto"/>
        <w:ind w:firstLine="435"/>
        <w:rPr>
          <w:rFonts w:hint="eastAsia" w:ascii="宋体" w:hAnsi="宋体" w:eastAsia="宋体" w:cs="宋体"/>
          <w:color w:val="auto"/>
          <w:sz w:val="24"/>
          <w:highlight w:val="none"/>
          <w:lang w:val="en-US" w:eastAsia="zh-CN"/>
        </w:rPr>
      </w:pPr>
    </w:p>
    <w:p w14:paraId="3959DE7C">
      <w:pPr>
        <w:spacing w:line="360" w:lineRule="auto"/>
        <w:ind w:firstLine="435"/>
        <w:rPr>
          <w:rFonts w:hint="eastAsia" w:ascii="宋体" w:hAnsi="宋体" w:eastAsia="宋体" w:cs="宋体"/>
          <w:color w:val="auto"/>
          <w:sz w:val="24"/>
          <w:highlight w:val="none"/>
          <w:lang w:val="en-US" w:eastAsia="zh-CN"/>
        </w:rPr>
      </w:pPr>
    </w:p>
    <w:p w14:paraId="260B91AC">
      <w:pPr>
        <w:spacing w:line="360" w:lineRule="auto"/>
        <w:ind w:firstLine="435"/>
        <w:rPr>
          <w:rFonts w:hint="eastAsia" w:ascii="宋体" w:hAnsi="宋体" w:eastAsia="宋体" w:cs="宋体"/>
          <w:color w:val="auto"/>
          <w:sz w:val="24"/>
          <w:highlight w:val="none"/>
          <w:lang w:val="en-US" w:eastAsia="zh-CN"/>
        </w:rPr>
      </w:pPr>
    </w:p>
    <w:p w14:paraId="5664F99B">
      <w:pPr>
        <w:spacing w:line="360" w:lineRule="auto"/>
        <w:ind w:firstLine="435"/>
        <w:rPr>
          <w:rFonts w:hint="eastAsia" w:ascii="宋体" w:hAnsi="宋体" w:eastAsia="宋体" w:cs="宋体"/>
          <w:color w:val="auto"/>
          <w:sz w:val="24"/>
          <w:highlight w:val="none"/>
          <w:lang w:val="en-US" w:eastAsia="zh-CN"/>
        </w:rPr>
      </w:pPr>
    </w:p>
    <w:p w14:paraId="6F9F817E">
      <w:pPr>
        <w:spacing w:line="360" w:lineRule="auto"/>
        <w:ind w:firstLine="435"/>
        <w:rPr>
          <w:rFonts w:hint="eastAsia" w:ascii="宋体" w:hAnsi="宋体" w:eastAsia="宋体" w:cs="宋体"/>
          <w:color w:val="auto"/>
          <w:sz w:val="24"/>
          <w:highlight w:val="none"/>
          <w:lang w:val="en-US" w:eastAsia="zh-CN"/>
        </w:rPr>
      </w:pPr>
    </w:p>
    <w:p w14:paraId="67551F39">
      <w:pPr>
        <w:spacing w:line="360" w:lineRule="auto"/>
        <w:ind w:firstLine="435"/>
        <w:rPr>
          <w:rFonts w:hint="eastAsia" w:ascii="宋体" w:hAnsi="宋体" w:eastAsia="宋体" w:cs="宋体"/>
          <w:color w:val="auto"/>
          <w:sz w:val="24"/>
          <w:highlight w:val="none"/>
          <w:lang w:val="en-US" w:eastAsia="zh-CN"/>
        </w:rPr>
      </w:pPr>
    </w:p>
    <w:p w14:paraId="3C6FAC63">
      <w:pPr>
        <w:spacing w:line="360" w:lineRule="auto"/>
        <w:ind w:firstLine="435"/>
        <w:rPr>
          <w:rFonts w:hint="eastAsia" w:ascii="宋体" w:hAnsi="宋体" w:eastAsia="宋体" w:cs="宋体"/>
          <w:color w:val="auto"/>
          <w:sz w:val="24"/>
          <w:highlight w:val="none"/>
          <w:lang w:val="en-US" w:eastAsia="zh-CN"/>
        </w:rPr>
      </w:pPr>
    </w:p>
    <w:p w14:paraId="76B8B7D1">
      <w:pPr>
        <w:spacing w:line="360" w:lineRule="auto"/>
        <w:jc w:val="center"/>
        <w:outlineLvl w:val="1"/>
        <w:rPr>
          <w:rFonts w:hint="eastAsia" w:ascii="宋体" w:hAnsi="宋体" w:eastAsia="宋体"/>
          <w:b/>
          <w:color w:val="auto"/>
          <w:sz w:val="24"/>
          <w:highlight w:val="none"/>
          <w:lang w:val="en-US" w:eastAsia="zh-CN"/>
        </w:rPr>
      </w:pPr>
      <w:bookmarkStart w:id="50" w:name="_Toc1328"/>
    </w:p>
    <w:p w14:paraId="783829D0">
      <w:pPr>
        <w:spacing w:line="360" w:lineRule="auto"/>
        <w:jc w:val="center"/>
        <w:outlineLvl w:val="1"/>
        <w:rPr>
          <w:rFonts w:hint="eastAsia" w:ascii="宋体" w:hAnsi="宋体" w:eastAsia="宋体"/>
          <w:b/>
          <w:color w:val="auto"/>
          <w:sz w:val="24"/>
          <w:highlight w:val="none"/>
          <w:lang w:val="en-US" w:eastAsia="zh-CN"/>
        </w:rPr>
      </w:pPr>
    </w:p>
    <w:p w14:paraId="7D39F88D">
      <w:pPr>
        <w:spacing w:line="360" w:lineRule="auto"/>
        <w:jc w:val="center"/>
        <w:outlineLvl w:val="1"/>
        <w:rPr>
          <w:rFonts w:hint="eastAsia" w:ascii="宋体" w:hAnsi="宋体" w:eastAsia="宋体"/>
          <w:b/>
          <w:color w:val="auto"/>
          <w:sz w:val="24"/>
          <w:highlight w:val="none"/>
          <w:lang w:val="en-US" w:eastAsia="zh-CN"/>
        </w:rPr>
      </w:pPr>
    </w:p>
    <w:p w14:paraId="1B57CDEF">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三、投标人资格声明书</w:t>
      </w:r>
      <w:bookmarkEnd w:id="50"/>
    </w:p>
    <w:p w14:paraId="7685B2D8">
      <w:pPr>
        <w:pStyle w:val="15"/>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50508B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4C13903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4EE1086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0A7324A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7C2D63F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F3208F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482453D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EAD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61788CA">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1AB170F4">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4CDEE01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373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093B17E">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035B0957">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08EC9C54">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73FA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FF664AF">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48267C0F">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08DEAAB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58FC5F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71E1FB14">
      <w:pPr>
        <w:spacing w:line="360" w:lineRule="auto"/>
        <w:ind w:firstLine="4800" w:firstLineChars="2000"/>
        <w:rPr>
          <w:rFonts w:ascii="宋体" w:hAnsi="宋体" w:eastAsia="宋体"/>
          <w:color w:val="auto"/>
          <w:sz w:val="24"/>
          <w:highlight w:val="none"/>
        </w:rPr>
      </w:pPr>
    </w:p>
    <w:p w14:paraId="3AC1AEBE">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5689750">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069CBC7">
      <w:pPr>
        <w:pStyle w:val="9"/>
        <w:rPr>
          <w:rFonts w:hint="eastAsia" w:ascii="宋体" w:hAnsi="宋体" w:eastAsia="宋体" w:cs="宋体"/>
          <w:color w:val="000000"/>
          <w:kern w:val="0"/>
          <w:sz w:val="24"/>
          <w:szCs w:val="24"/>
          <w:highlight w:val="none"/>
          <w:lang w:val="en-US" w:eastAsia="zh-CN"/>
        </w:rPr>
      </w:pPr>
    </w:p>
    <w:p w14:paraId="60F7286D">
      <w:pPr>
        <w:pStyle w:val="9"/>
        <w:rPr>
          <w:rFonts w:hint="eastAsia" w:ascii="宋体" w:hAnsi="宋体" w:eastAsia="宋体" w:cs="宋体"/>
          <w:color w:val="000000"/>
          <w:kern w:val="0"/>
          <w:sz w:val="24"/>
          <w:szCs w:val="24"/>
          <w:highlight w:val="none"/>
          <w:lang w:val="en-US" w:eastAsia="zh-CN"/>
        </w:rPr>
      </w:pPr>
    </w:p>
    <w:p w14:paraId="204061C1">
      <w:pPr>
        <w:pStyle w:val="9"/>
        <w:rPr>
          <w:rFonts w:hint="eastAsia" w:ascii="宋体" w:hAnsi="宋体" w:eastAsia="宋体" w:cs="宋体"/>
          <w:color w:val="000000"/>
          <w:kern w:val="0"/>
          <w:sz w:val="24"/>
          <w:szCs w:val="24"/>
          <w:highlight w:val="none"/>
          <w:lang w:val="en-US" w:eastAsia="zh-CN"/>
        </w:rPr>
      </w:pPr>
    </w:p>
    <w:p w14:paraId="2D250517">
      <w:pPr>
        <w:rPr>
          <w:rFonts w:hint="eastAsia" w:ascii="宋体" w:hAnsi="宋体" w:eastAsia="宋体"/>
          <w:b/>
          <w:color w:val="auto"/>
          <w:sz w:val="24"/>
          <w:highlight w:val="none"/>
        </w:rPr>
      </w:pPr>
      <w:bookmarkStart w:id="51" w:name="_Toc11607"/>
      <w:r>
        <w:rPr>
          <w:rFonts w:hint="eastAsia" w:ascii="宋体" w:hAnsi="宋体" w:eastAsia="宋体"/>
          <w:b/>
          <w:color w:val="auto"/>
          <w:sz w:val="24"/>
          <w:highlight w:val="none"/>
        </w:rPr>
        <w:br w:type="page"/>
      </w:r>
    </w:p>
    <w:bookmarkEnd w:id="51"/>
    <w:p w14:paraId="7F9821F0">
      <w:pPr>
        <w:widowControl/>
        <w:jc w:val="center"/>
        <w:rPr>
          <w:rFonts w:hint="eastAsia" w:ascii="宋体" w:hAnsi="宋体" w:eastAsia="宋体"/>
          <w:b/>
          <w:color w:val="auto"/>
          <w:sz w:val="24"/>
          <w:highlight w:val="none"/>
          <w:lang w:val="en-US" w:eastAsia="zh-CN"/>
        </w:rPr>
      </w:pPr>
      <w:bookmarkStart w:id="52" w:name="_Toc520299348"/>
      <w:bookmarkStart w:id="53" w:name="_Toc300210382"/>
      <w:bookmarkStart w:id="54" w:name="_Toc457768004"/>
      <w:bookmarkStart w:id="55" w:name="_Toc25813"/>
      <w:bookmarkStart w:id="56" w:name="_Toc26536"/>
      <w:bookmarkStart w:id="57" w:name="_Hlk11701496"/>
      <w:r>
        <w:rPr>
          <w:rFonts w:hint="eastAsia" w:ascii="宋体" w:hAnsi="宋体" w:eastAsia="宋体"/>
          <w:b/>
          <w:color w:val="auto"/>
          <w:sz w:val="24"/>
          <w:highlight w:val="none"/>
          <w:lang w:val="en-US" w:eastAsia="zh-CN"/>
        </w:rPr>
        <w:t>四、</w:t>
      </w:r>
      <w:bookmarkEnd w:id="52"/>
      <w:bookmarkEnd w:id="53"/>
      <w:bookmarkEnd w:id="54"/>
      <w:r>
        <w:rPr>
          <w:rFonts w:hint="eastAsia" w:ascii="宋体" w:hAnsi="宋体" w:eastAsia="宋体"/>
          <w:b/>
          <w:color w:val="auto"/>
          <w:sz w:val="24"/>
          <w:highlight w:val="none"/>
          <w:lang w:val="en-US" w:eastAsia="zh-CN"/>
        </w:rPr>
        <w:t>诚信履约承诺函</w:t>
      </w:r>
      <w:bookmarkEnd w:id="55"/>
      <w:bookmarkEnd w:id="56"/>
    </w:p>
    <w:p w14:paraId="2C70EC76">
      <w:pPr>
        <w:spacing w:line="360" w:lineRule="auto"/>
        <w:rPr>
          <w:rFonts w:ascii="宋体" w:hAnsi="宋体" w:eastAsia="宋体"/>
          <w:b/>
          <w:bCs/>
          <w:color w:val="auto"/>
          <w:sz w:val="24"/>
          <w:highlight w:val="none"/>
        </w:rPr>
      </w:pPr>
    </w:p>
    <w:p w14:paraId="5EEE9957">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78F0E08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7877B8A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73049600">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2E25B4D1">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F3E08A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7F3BEB1C">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2EF01ED6">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00D21EC">
      <w:pPr>
        <w:spacing w:line="360" w:lineRule="auto"/>
        <w:rPr>
          <w:rFonts w:ascii="宋体" w:hAnsi="宋体" w:eastAsia="宋体"/>
          <w:bCs/>
          <w:color w:val="auto"/>
          <w:sz w:val="24"/>
          <w:highlight w:val="none"/>
        </w:rPr>
      </w:pPr>
    </w:p>
    <w:p w14:paraId="057C4C6B">
      <w:pPr>
        <w:spacing w:line="360" w:lineRule="auto"/>
        <w:rPr>
          <w:rFonts w:ascii="宋体" w:hAnsi="宋体" w:eastAsia="宋体"/>
          <w:bCs/>
          <w:color w:val="auto"/>
          <w:sz w:val="24"/>
          <w:highlight w:val="none"/>
        </w:rPr>
      </w:pPr>
    </w:p>
    <w:p w14:paraId="30527F2F">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44A0D7B0">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1486CB5">
      <w:pPr>
        <w:widowControl/>
        <w:jc w:val="left"/>
        <w:rPr>
          <w:rFonts w:hint="eastAsia" w:asciiTheme="minorEastAsia" w:hAnsiTheme="minorEastAsia" w:eastAsiaTheme="minorEastAsia"/>
          <w:b/>
          <w:color w:val="auto"/>
          <w:sz w:val="24"/>
          <w:highlight w:val="none"/>
          <w:lang w:val="en-US" w:eastAsia="zh-CN"/>
        </w:rPr>
      </w:pPr>
      <w:r>
        <w:rPr>
          <w:rFonts w:ascii="宋体" w:hAnsi="宋体" w:eastAsia="宋体" w:cs="Arial"/>
          <w:color w:val="auto"/>
          <w:sz w:val="24"/>
          <w:highlight w:val="none"/>
        </w:rPr>
        <w:br w:type="page"/>
      </w:r>
      <w:bookmarkStart w:id="58" w:name="_Toc9573"/>
      <w:bookmarkStart w:id="59" w:name="_Toc31244"/>
      <w:bookmarkStart w:id="60" w:name="OLE_LINK14"/>
      <w:bookmarkStart w:id="61" w:name="OLE_LINK13"/>
    </w:p>
    <w:p w14:paraId="4C01C57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五、中小企业声明函</w:t>
      </w:r>
      <w:bookmarkEnd w:id="58"/>
      <w:bookmarkEnd w:id="59"/>
    </w:p>
    <w:p w14:paraId="0A80C9AC">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1858479D">
      <w:pPr>
        <w:rPr>
          <w:rFonts w:asciiTheme="minorEastAsia" w:hAnsiTheme="minorEastAsia" w:eastAsiaTheme="minorEastAsia"/>
          <w:color w:val="auto"/>
          <w:sz w:val="24"/>
          <w:szCs w:val="24"/>
          <w:highlight w:val="none"/>
        </w:rPr>
      </w:pPr>
    </w:p>
    <w:p w14:paraId="3F5955C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5272159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1C49601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51E5556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11A50B8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5AFFA14C">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7278A907">
      <w:pPr>
        <w:spacing w:line="360" w:lineRule="auto"/>
        <w:rPr>
          <w:rFonts w:asciiTheme="minorEastAsia" w:hAnsiTheme="minorEastAsia" w:eastAsiaTheme="minorEastAsia"/>
          <w:color w:val="auto"/>
          <w:sz w:val="24"/>
          <w:szCs w:val="24"/>
          <w:highlight w:val="none"/>
        </w:rPr>
      </w:pPr>
    </w:p>
    <w:p w14:paraId="2873880B">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hint="eastAsia" w:asciiTheme="minorEastAsia" w:hAnsiTheme="minorEastAsia" w:eastAsiaTheme="minorEastAsia"/>
          <w:color w:val="auto"/>
          <w:sz w:val="24"/>
          <w:szCs w:val="24"/>
          <w:highlight w:val="none"/>
          <w:lang w:val="en-US" w:eastAsia="zh-CN"/>
        </w:rPr>
        <w:t>盖章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28293273">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5D0BAEC0">
      <w:pPr>
        <w:tabs>
          <w:tab w:val="left" w:pos="4620"/>
        </w:tabs>
        <w:spacing w:line="360" w:lineRule="auto"/>
        <w:jc w:val="left"/>
        <w:rPr>
          <w:rFonts w:asciiTheme="minorEastAsia" w:hAnsiTheme="minorEastAsia" w:eastAsiaTheme="minorEastAsia"/>
          <w:color w:val="auto"/>
          <w:sz w:val="24"/>
          <w:szCs w:val="24"/>
          <w:highlight w:val="none"/>
        </w:rPr>
      </w:pPr>
    </w:p>
    <w:p w14:paraId="4FD44C8A">
      <w:pPr>
        <w:tabs>
          <w:tab w:val="left" w:pos="4620"/>
        </w:tabs>
        <w:spacing w:line="360" w:lineRule="auto"/>
        <w:jc w:val="left"/>
        <w:rPr>
          <w:rFonts w:asciiTheme="minorEastAsia" w:hAnsiTheme="minorEastAsia" w:eastAsiaTheme="minorEastAsia"/>
          <w:color w:val="auto"/>
          <w:sz w:val="24"/>
          <w:szCs w:val="24"/>
          <w:highlight w:val="none"/>
        </w:rPr>
      </w:pPr>
    </w:p>
    <w:p w14:paraId="3C12D8B2">
      <w:pPr>
        <w:tabs>
          <w:tab w:val="left" w:pos="4620"/>
        </w:tabs>
        <w:spacing w:line="360" w:lineRule="auto"/>
        <w:jc w:val="left"/>
        <w:rPr>
          <w:rFonts w:asciiTheme="minorEastAsia" w:hAnsiTheme="minorEastAsia" w:eastAsiaTheme="minorEastAsia"/>
          <w:color w:val="auto"/>
          <w:sz w:val="24"/>
          <w:szCs w:val="24"/>
          <w:highlight w:val="none"/>
        </w:rPr>
      </w:pPr>
    </w:p>
    <w:p w14:paraId="5C8A61C0">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09F1EE93">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75986108">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7F814D3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682A0D91">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4AD3FF4F">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CB2E25C">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60"/>
      <w:bookmarkEnd w:id="61"/>
    </w:p>
    <w:p w14:paraId="7410D30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2" w:name="_Toc24563"/>
      <w:bookmarkStart w:id="63" w:name="_Toc16713"/>
      <w:r>
        <w:rPr>
          <w:rFonts w:hint="eastAsia" w:asciiTheme="minorEastAsia" w:hAnsiTheme="minorEastAsia" w:eastAsiaTheme="minorEastAsia"/>
          <w:b/>
          <w:color w:val="auto"/>
          <w:sz w:val="24"/>
          <w:highlight w:val="none"/>
          <w:lang w:val="en-US" w:eastAsia="zh-CN"/>
        </w:rPr>
        <w:t>六、残疾人福利性单位声明函</w:t>
      </w:r>
      <w:bookmarkEnd w:id="62"/>
      <w:bookmarkEnd w:id="63"/>
    </w:p>
    <w:p w14:paraId="702CC061">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4CFECD21">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4ACC5C58">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1103F632">
      <w:pPr>
        <w:spacing w:line="360" w:lineRule="auto"/>
        <w:ind w:firstLine="4228" w:firstLineChars="1762"/>
        <w:rPr>
          <w:rFonts w:asciiTheme="minorEastAsia" w:hAnsiTheme="minorEastAsia" w:eastAsiaTheme="minorEastAsia"/>
          <w:color w:val="auto"/>
          <w:sz w:val="24"/>
          <w:szCs w:val="24"/>
          <w:highlight w:val="none"/>
        </w:rPr>
      </w:pPr>
    </w:p>
    <w:p w14:paraId="479870DB">
      <w:pPr>
        <w:spacing w:line="360" w:lineRule="auto"/>
        <w:ind w:firstLine="4228" w:firstLineChars="1762"/>
        <w:rPr>
          <w:rFonts w:asciiTheme="minorEastAsia" w:hAnsiTheme="minorEastAsia" w:eastAsiaTheme="minorEastAsia"/>
          <w:color w:val="auto"/>
          <w:sz w:val="24"/>
          <w:szCs w:val="24"/>
          <w:highlight w:val="none"/>
        </w:rPr>
      </w:pPr>
    </w:p>
    <w:p w14:paraId="6729C3E7">
      <w:pPr>
        <w:tabs>
          <w:tab w:val="left" w:pos="4620"/>
        </w:tabs>
        <w:spacing w:line="360" w:lineRule="auto"/>
        <w:ind w:firstLine="4252" w:firstLineChars="1772"/>
        <w:rPr>
          <w:rFonts w:hint="eastAsia"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投标人盖章：</w:t>
      </w:r>
      <w:r>
        <w:rPr>
          <w:rFonts w:hint="eastAsia" w:asciiTheme="minorEastAsia" w:hAnsiTheme="minorEastAsia" w:eastAsiaTheme="minorEastAsia"/>
          <w:color w:val="auto"/>
          <w:sz w:val="24"/>
          <w:szCs w:val="24"/>
          <w:highlight w:val="none"/>
          <w:u w:val="single"/>
        </w:rPr>
        <w:t xml:space="preserve">             </w:t>
      </w:r>
    </w:p>
    <w:p w14:paraId="38BEBAA8">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680A26F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57"/>
    <w:p w14:paraId="455B9271">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64" w:name="_Toc18131"/>
      <w:bookmarkStart w:id="65" w:name="_Toc6435"/>
    </w:p>
    <w:p w14:paraId="5470FA68">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215AEC0B">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 xml:space="preserve"> 投标文件格式</w:t>
      </w:r>
    </w:p>
    <w:p w14:paraId="087B8E63">
      <w:pPr>
        <w:spacing w:line="900" w:lineRule="exact"/>
        <w:jc w:val="center"/>
        <w:rPr>
          <w:rFonts w:ascii="宋体" w:hAnsi="宋体" w:eastAsia="宋体"/>
          <w:b/>
          <w:color w:val="auto"/>
          <w:sz w:val="72"/>
          <w:highlight w:val="none"/>
        </w:rPr>
      </w:pPr>
    </w:p>
    <w:p w14:paraId="2605EB9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4C30355C">
      <w:pPr>
        <w:spacing w:line="900" w:lineRule="exact"/>
        <w:jc w:val="center"/>
        <w:rPr>
          <w:rFonts w:ascii="宋体" w:hAnsi="宋体" w:eastAsia="宋体"/>
          <w:b/>
          <w:color w:val="auto"/>
          <w:sz w:val="72"/>
          <w:highlight w:val="none"/>
        </w:rPr>
      </w:pPr>
    </w:p>
    <w:p w14:paraId="6CAD12D1">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2876CA6C">
      <w:pPr>
        <w:spacing w:line="900" w:lineRule="exact"/>
        <w:jc w:val="center"/>
        <w:rPr>
          <w:rFonts w:ascii="宋体" w:hAnsi="宋体" w:eastAsia="宋体"/>
          <w:b/>
          <w:color w:val="auto"/>
          <w:sz w:val="72"/>
          <w:highlight w:val="none"/>
        </w:rPr>
      </w:pPr>
    </w:p>
    <w:p w14:paraId="2D1176EC">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684D1380">
      <w:pPr>
        <w:spacing w:line="900" w:lineRule="exact"/>
        <w:jc w:val="center"/>
        <w:rPr>
          <w:rFonts w:ascii="宋体" w:hAnsi="宋体" w:eastAsia="宋体"/>
          <w:b/>
          <w:color w:val="auto"/>
          <w:sz w:val="72"/>
          <w:highlight w:val="none"/>
        </w:rPr>
      </w:pPr>
    </w:p>
    <w:p w14:paraId="380FDB91">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3AD1BFDD">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技术证明文件（二）</w:t>
      </w:r>
    </w:p>
    <w:p w14:paraId="65C62549">
      <w:pPr>
        <w:spacing w:after="156" w:afterLines="50" w:line="500" w:lineRule="exact"/>
        <w:jc w:val="center"/>
        <w:rPr>
          <w:rFonts w:ascii="宋体" w:hAnsi="宋体" w:eastAsia="宋体"/>
          <w:b/>
          <w:color w:val="auto"/>
          <w:sz w:val="28"/>
          <w:szCs w:val="28"/>
          <w:highlight w:val="none"/>
        </w:rPr>
      </w:pPr>
    </w:p>
    <w:p w14:paraId="7F1598E2">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60F8022">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2ADE991">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8608B4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1483FF24">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A3803E5">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6E3830A6">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28A94B3B">
      <w:pPr>
        <w:widowControl/>
        <w:jc w:val="left"/>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售后服务</w:t>
      </w:r>
    </w:p>
    <w:p w14:paraId="587DBDD9">
      <w:pPr>
        <w:spacing w:line="360" w:lineRule="auto"/>
        <w:jc w:val="center"/>
        <w:outlineLvl w:val="0"/>
        <w:rPr>
          <w:rFonts w:hint="eastAsia" w:ascii="宋体" w:hAnsi="宋体" w:eastAsia="宋体"/>
          <w:b/>
          <w:color w:val="auto"/>
          <w:sz w:val="28"/>
          <w:highlight w:val="none"/>
        </w:rPr>
      </w:pPr>
    </w:p>
    <w:p w14:paraId="0C1BC64F">
      <w:pPr>
        <w:spacing w:line="360" w:lineRule="auto"/>
        <w:jc w:val="center"/>
        <w:outlineLvl w:val="0"/>
        <w:rPr>
          <w:rFonts w:hint="eastAsia" w:ascii="宋体" w:hAnsi="宋体" w:eastAsia="宋体"/>
          <w:b/>
          <w:color w:val="auto"/>
          <w:sz w:val="28"/>
          <w:highlight w:val="none"/>
        </w:rPr>
      </w:pPr>
    </w:p>
    <w:p w14:paraId="73A5AA2D">
      <w:pPr>
        <w:spacing w:line="360" w:lineRule="auto"/>
        <w:jc w:val="center"/>
        <w:outlineLvl w:val="0"/>
        <w:rPr>
          <w:rFonts w:hint="eastAsia" w:ascii="宋体" w:hAnsi="宋体" w:eastAsia="宋体"/>
          <w:b/>
          <w:color w:val="auto"/>
          <w:sz w:val="28"/>
          <w:highlight w:val="none"/>
        </w:rPr>
      </w:pPr>
    </w:p>
    <w:p w14:paraId="07DFA660">
      <w:pPr>
        <w:spacing w:line="360" w:lineRule="auto"/>
        <w:jc w:val="center"/>
        <w:outlineLvl w:val="0"/>
        <w:rPr>
          <w:rFonts w:hint="eastAsia" w:ascii="宋体" w:hAnsi="宋体" w:eastAsia="宋体"/>
          <w:b/>
          <w:color w:val="auto"/>
          <w:sz w:val="28"/>
          <w:highlight w:val="none"/>
        </w:rPr>
      </w:pPr>
    </w:p>
    <w:p w14:paraId="5251B6BF">
      <w:pPr>
        <w:spacing w:line="360" w:lineRule="auto"/>
        <w:jc w:val="center"/>
        <w:outlineLvl w:val="0"/>
        <w:rPr>
          <w:rFonts w:hint="eastAsia" w:ascii="宋体" w:hAnsi="宋体" w:eastAsia="宋体"/>
          <w:b/>
          <w:color w:val="auto"/>
          <w:sz w:val="28"/>
          <w:highlight w:val="none"/>
        </w:rPr>
      </w:pPr>
    </w:p>
    <w:p w14:paraId="7BA6884B">
      <w:pPr>
        <w:spacing w:line="360" w:lineRule="auto"/>
        <w:jc w:val="center"/>
        <w:outlineLvl w:val="0"/>
        <w:rPr>
          <w:rFonts w:hint="eastAsia" w:ascii="宋体" w:hAnsi="宋体" w:eastAsia="宋体"/>
          <w:b/>
          <w:color w:val="auto"/>
          <w:sz w:val="28"/>
          <w:highlight w:val="none"/>
        </w:rPr>
      </w:pPr>
    </w:p>
    <w:p w14:paraId="6DBD3095">
      <w:pPr>
        <w:spacing w:line="360" w:lineRule="auto"/>
        <w:jc w:val="center"/>
        <w:outlineLvl w:val="0"/>
        <w:rPr>
          <w:rFonts w:hint="eastAsia" w:ascii="宋体" w:hAnsi="宋体" w:eastAsia="宋体"/>
          <w:b/>
          <w:color w:val="auto"/>
          <w:sz w:val="28"/>
          <w:highlight w:val="none"/>
        </w:rPr>
      </w:pPr>
    </w:p>
    <w:p w14:paraId="7DD64F17">
      <w:pPr>
        <w:spacing w:line="360" w:lineRule="auto"/>
        <w:jc w:val="center"/>
        <w:outlineLvl w:val="0"/>
        <w:rPr>
          <w:rFonts w:hint="eastAsia" w:ascii="宋体" w:hAnsi="宋体" w:eastAsia="宋体"/>
          <w:b/>
          <w:color w:val="auto"/>
          <w:sz w:val="28"/>
          <w:highlight w:val="none"/>
        </w:rPr>
      </w:pPr>
    </w:p>
    <w:p w14:paraId="0ABC600F">
      <w:pPr>
        <w:spacing w:line="360" w:lineRule="auto"/>
        <w:jc w:val="center"/>
        <w:outlineLvl w:val="0"/>
        <w:rPr>
          <w:rFonts w:hint="eastAsia" w:ascii="宋体" w:hAnsi="宋体" w:eastAsia="宋体"/>
          <w:b/>
          <w:color w:val="auto"/>
          <w:sz w:val="28"/>
          <w:highlight w:val="none"/>
        </w:rPr>
      </w:pPr>
    </w:p>
    <w:p w14:paraId="2F8EE673">
      <w:pPr>
        <w:spacing w:line="360" w:lineRule="auto"/>
        <w:jc w:val="center"/>
        <w:outlineLvl w:val="0"/>
        <w:rPr>
          <w:rFonts w:hint="eastAsia" w:ascii="宋体" w:hAnsi="宋体" w:eastAsia="宋体"/>
          <w:b/>
          <w:color w:val="auto"/>
          <w:sz w:val="28"/>
          <w:highlight w:val="none"/>
        </w:rPr>
      </w:pPr>
    </w:p>
    <w:p w14:paraId="1E783066">
      <w:pPr>
        <w:spacing w:line="360" w:lineRule="auto"/>
        <w:jc w:val="center"/>
        <w:outlineLvl w:val="0"/>
        <w:rPr>
          <w:rFonts w:hint="eastAsia" w:ascii="宋体" w:hAnsi="宋体" w:eastAsia="宋体"/>
          <w:b/>
          <w:color w:val="auto"/>
          <w:sz w:val="28"/>
          <w:highlight w:val="none"/>
        </w:rPr>
      </w:pPr>
    </w:p>
    <w:p w14:paraId="04BBC945">
      <w:pPr>
        <w:spacing w:line="360" w:lineRule="auto"/>
        <w:jc w:val="center"/>
        <w:outlineLvl w:val="0"/>
        <w:rPr>
          <w:rFonts w:hint="eastAsia" w:ascii="宋体" w:hAnsi="宋体" w:eastAsia="宋体"/>
          <w:b/>
          <w:color w:val="auto"/>
          <w:sz w:val="28"/>
          <w:highlight w:val="none"/>
        </w:rPr>
      </w:pPr>
    </w:p>
    <w:p w14:paraId="6E3E20E8">
      <w:pPr>
        <w:spacing w:line="360" w:lineRule="auto"/>
        <w:jc w:val="center"/>
        <w:outlineLvl w:val="0"/>
        <w:rPr>
          <w:rFonts w:hint="eastAsia" w:ascii="宋体" w:hAnsi="宋体" w:eastAsia="宋体"/>
          <w:b/>
          <w:color w:val="auto"/>
          <w:sz w:val="28"/>
          <w:highlight w:val="none"/>
        </w:rPr>
      </w:pPr>
    </w:p>
    <w:p w14:paraId="6F429D52">
      <w:pPr>
        <w:spacing w:line="360" w:lineRule="auto"/>
        <w:jc w:val="center"/>
        <w:outlineLvl w:val="0"/>
        <w:rPr>
          <w:rFonts w:hint="eastAsia" w:ascii="宋体" w:hAnsi="宋体" w:eastAsia="宋体"/>
          <w:b/>
          <w:color w:val="auto"/>
          <w:sz w:val="28"/>
          <w:highlight w:val="none"/>
        </w:rPr>
      </w:pPr>
    </w:p>
    <w:p w14:paraId="41FE467D">
      <w:pPr>
        <w:spacing w:line="360" w:lineRule="auto"/>
        <w:jc w:val="center"/>
        <w:outlineLvl w:val="0"/>
        <w:rPr>
          <w:rFonts w:hint="eastAsia" w:ascii="宋体" w:hAnsi="宋体" w:eastAsia="宋体"/>
          <w:b/>
          <w:color w:val="auto"/>
          <w:sz w:val="28"/>
          <w:highlight w:val="none"/>
        </w:rPr>
      </w:pPr>
    </w:p>
    <w:p w14:paraId="6701D924">
      <w:pPr>
        <w:spacing w:line="360" w:lineRule="auto"/>
        <w:jc w:val="center"/>
        <w:outlineLvl w:val="0"/>
        <w:rPr>
          <w:rFonts w:hint="eastAsia" w:ascii="宋体" w:hAnsi="宋体" w:eastAsia="宋体"/>
          <w:b/>
          <w:color w:val="auto"/>
          <w:sz w:val="28"/>
          <w:highlight w:val="none"/>
        </w:rPr>
      </w:pPr>
    </w:p>
    <w:p w14:paraId="36282DC7">
      <w:pPr>
        <w:spacing w:line="360" w:lineRule="auto"/>
        <w:jc w:val="center"/>
        <w:outlineLvl w:val="0"/>
        <w:rPr>
          <w:rFonts w:hint="eastAsia" w:ascii="宋体" w:hAnsi="宋体" w:eastAsia="宋体"/>
          <w:b/>
          <w:color w:val="auto"/>
          <w:sz w:val="28"/>
          <w:highlight w:val="none"/>
        </w:rPr>
      </w:pPr>
    </w:p>
    <w:p w14:paraId="70B4D099">
      <w:pPr>
        <w:spacing w:line="360" w:lineRule="auto"/>
        <w:jc w:val="center"/>
        <w:outlineLvl w:val="0"/>
        <w:rPr>
          <w:rFonts w:hint="eastAsia" w:ascii="宋体" w:hAnsi="宋体" w:eastAsia="宋体"/>
          <w:b/>
          <w:color w:val="auto"/>
          <w:sz w:val="28"/>
          <w:highlight w:val="none"/>
        </w:rPr>
      </w:pPr>
    </w:p>
    <w:p w14:paraId="54E5B63A">
      <w:pPr>
        <w:spacing w:line="360" w:lineRule="auto"/>
        <w:jc w:val="center"/>
        <w:outlineLvl w:val="0"/>
        <w:rPr>
          <w:rFonts w:hint="eastAsia" w:ascii="宋体" w:hAnsi="宋体" w:eastAsia="宋体"/>
          <w:b/>
          <w:color w:val="auto"/>
          <w:sz w:val="28"/>
          <w:highlight w:val="none"/>
        </w:rPr>
      </w:pPr>
    </w:p>
    <w:p w14:paraId="2CFF0C61">
      <w:pPr>
        <w:spacing w:line="360" w:lineRule="auto"/>
        <w:jc w:val="center"/>
        <w:outlineLvl w:val="0"/>
        <w:rPr>
          <w:rFonts w:hint="eastAsia" w:ascii="宋体" w:hAnsi="宋体" w:eastAsia="宋体"/>
          <w:b/>
          <w:color w:val="auto"/>
          <w:sz w:val="28"/>
          <w:highlight w:val="none"/>
        </w:rPr>
      </w:pPr>
    </w:p>
    <w:p w14:paraId="75DF126E">
      <w:pPr>
        <w:spacing w:line="360" w:lineRule="auto"/>
        <w:jc w:val="center"/>
        <w:outlineLvl w:val="0"/>
        <w:rPr>
          <w:rFonts w:hint="eastAsia" w:ascii="宋体" w:hAnsi="宋体" w:eastAsia="宋体"/>
          <w:b/>
          <w:color w:val="auto"/>
          <w:sz w:val="28"/>
          <w:highlight w:val="none"/>
        </w:rPr>
      </w:pPr>
    </w:p>
    <w:p w14:paraId="7F75930A">
      <w:pPr>
        <w:spacing w:line="360" w:lineRule="auto"/>
        <w:jc w:val="center"/>
        <w:outlineLvl w:val="0"/>
        <w:rPr>
          <w:rFonts w:hint="eastAsia" w:ascii="宋体" w:hAnsi="宋体" w:eastAsia="宋体"/>
          <w:b/>
          <w:color w:val="auto"/>
          <w:sz w:val="28"/>
          <w:highlight w:val="none"/>
        </w:rPr>
      </w:pPr>
    </w:p>
    <w:p w14:paraId="79219080">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投标文件格式</w:t>
      </w:r>
    </w:p>
    <w:p w14:paraId="0FE34F6A">
      <w:pPr>
        <w:spacing w:line="900" w:lineRule="exact"/>
        <w:jc w:val="center"/>
        <w:rPr>
          <w:rFonts w:ascii="宋体" w:hAnsi="宋体" w:eastAsia="宋体"/>
          <w:b/>
          <w:color w:val="auto"/>
          <w:sz w:val="72"/>
          <w:highlight w:val="none"/>
        </w:rPr>
      </w:pPr>
    </w:p>
    <w:p w14:paraId="72AF891F">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7D9671CB">
      <w:pPr>
        <w:spacing w:line="900" w:lineRule="exact"/>
        <w:jc w:val="center"/>
        <w:rPr>
          <w:rFonts w:ascii="宋体" w:hAnsi="宋体" w:eastAsia="宋体"/>
          <w:b/>
          <w:color w:val="auto"/>
          <w:sz w:val="72"/>
          <w:highlight w:val="none"/>
        </w:rPr>
      </w:pPr>
    </w:p>
    <w:p w14:paraId="7E8133CA">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5FFFE5A5">
      <w:pPr>
        <w:spacing w:line="900" w:lineRule="exact"/>
        <w:jc w:val="center"/>
        <w:rPr>
          <w:rFonts w:ascii="宋体" w:hAnsi="宋体" w:eastAsia="宋体"/>
          <w:b/>
          <w:color w:val="auto"/>
          <w:sz w:val="72"/>
          <w:highlight w:val="none"/>
        </w:rPr>
      </w:pPr>
    </w:p>
    <w:p w14:paraId="6D3A1273">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50BF6574">
      <w:pPr>
        <w:spacing w:line="900" w:lineRule="exact"/>
        <w:jc w:val="center"/>
        <w:rPr>
          <w:rFonts w:ascii="宋体" w:hAnsi="宋体" w:eastAsia="宋体"/>
          <w:b/>
          <w:color w:val="auto"/>
          <w:sz w:val="72"/>
          <w:highlight w:val="none"/>
        </w:rPr>
      </w:pPr>
    </w:p>
    <w:p w14:paraId="03B8D82E">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56B78575">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61ECB714">
      <w:pPr>
        <w:spacing w:after="156" w:afterLines="50" w:line="500" w:lineRule="exact"/>
        <w:jc w:val="center"/>
        <w:rPr>
          <w:rFonts w:ascii="宋体" w:hAnsi="宋体" w:eastAsia="宋体"/>
          <w:b/>
          <w:color w:val="auto"/>
          <w:sz w:val="28"/>
          <w:szCs w:val="28"/>
          <w:highlight w:val="none"/>
        </w:rPr>
      </w:pPr>
    </w:p>
    <w:p w14:paraId="711CD81E">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1DFE8018">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C640BE8">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E12AFAE">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782D89C0">
      <w:pPr>
        <w:spacing w:line="360" w:lineRule="auto"/>
        <w:jc w:val="center"/>
        <w:outlineLvl w:val="0"/>
        <w:rPr>
          <w:rFonts w:hint="eastAsia" w:ascii="宋体" w:hAnsi="宋体" w:eastAsia="宋体"/>
          <w:b/>
          <w:color w:val="auto"/>
          <w:sz w:val="28"/>
          <w:highlight w:val="none"/>
        </w:rPr>
      </w:pPr>
    </w:p>
    <w:p w14:paraId="30CAEBFA">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254CD3ED">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193C863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2419FC4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466C4A0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42D4FCCB">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5853CF4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20F4B028">
      <w:pPr>
        <w:spacing w:line="360" w:lineRule="auto"/>
        <w:ind w:firstLine="435"/>
        <w:rPr>
          <w:rFonts w:hint="default" w:ascii="宋体" w:hAnsi="宋体" w:eastAsia="宋体" w:cs="宋体"/>
          <w:color w:val="auto"/>
          <w:sz w:val="24"/>
          <w:highlight w:val="none"/>
          <w:lang w:val="en-US" w:eastAsia="zh-CN"/>
        </w:rPr>
      </w:pPr>
    </w:p>
    <w:p w14:paraId="318CBC34">
      <w:pPr>
        <w:spacing w:line="360" w:lineRule="auto"/>
        <w:jc w:val="center"/>
        <w:outlineLvl w:val="0"/>
        <w:rPr>
          <w:rFonts w:hint="eastAsia" w:ascii="宋体" w:hAnsi="宋体" w:eastAsia="宋体"/>
          <w:b/>
          <w:color w:val="auto"/>
          <w:sz w:val="28"/>
          <w:highlight w:val="none"/>
        </w:rPr>
      </w:pPr>
    </w:p>
    <w:p w14:paraId="0249CFF5">
      <w:pPr>
        <w:spacing w:line="360" w:lineRule="auto"/>
        <w:jc w:val="center"/>
        <w:outlineLvl w:val="0"/>
        <w:rPr>
          <w:rFonts w:hint="eastAsia" w:ascii="宋体" w:hAnsi="宋体" w:eastAsia="宋体"/>
          <w:b/>
          <w:color w:val="auto"/>
          <w:sz w:val="28"/>
          <w:highlight w:val="none"/>
        </w:rPr>
      </w:pPr>
    </w:p>
    <w:p w14:paraId="66927C64">
      <w:pPr>
        <w:spacing w:line="360" w:lineRule="auto"/>
        <w:jc w:val="center"/>
        <w:outlineLvl w:val="0"/>
        <w:rPr>
          <w:rFonts w:hint="eastAsia" w:ascii="宋体" w:hAnsi="宋体" w:eastAsia="宋体"/>
          <w:b/>
          <w:color w:val="auto"/>
          <w:sz w:val="28"/>
          <w:highlight w:val="none"/>
        </w:rPr>
      </w:pPr>
    </w:p>
    <w:p w14:paraId="6F320AC3">
      <w:pPr>
        <w:spacing w:line="360" w:lineRule="auto"/>
        <w:jc w:val="center"/>
        <w:outlineLvl w:val="0"/>
        <w:rPr>
          <w:rFonts w:hint="eastAsia" w:ascii="宋体" w:hAnsi="宋体" w:eastAsia="宋体"/>
          <w:b/>
          <w:color w:val="auto"/>
          <w:sz w:val="28"/>
          <w:highlight w:val="none"/>
        </w:rPr>
      </w:pPr>
    </w:p>
    <w:p w14:paraId="5CD84ED7">
      <w:pPr>
        <w:spacing w:line="360" w:lineRule="auto"/>
        <w:jc w:val="center"/>
        <w:outlineLvl w:val="0"/>
        <w:rPr>
          <w:rFonts w:hint="eastAsia" w:ascii="宋体" w:hAnsi="宋体" w:eastAsia="宋体"/>
          <w:b/>
          <w:color w:val="auto"/>
          <w:sz w:val="28"/>
          <w:highlight w:val="none"/>
        </w:rPr>
      </w:pPr>
    </w:p>
    <w:p w14:paraId="1D580B58">
      <w:pPr>
        <w:spacing w:line="360" w:lineRule="auto"/>
        <w:jc w:val="center"/>
        <w:outlineLvl w:val="0"/>
        <w:rPr>
          <w:rFonts w:hint="eastAsia" w:ascii="宋体" w:hAnsi="宋体" w:eastAsia="宋体"/>
          <w:b/>
          <w:color w:val="auto"/>
          <w:sz w:val="28"/>
          <w:highlight w:val="none"/>
        </w:rPr>
      </w:pPr>
    </w:p>
    <w:p w14:paraId="36481923">
      <w:pPr>
        <w:spacing w:line="360" w:lineRule="auto"/>
        <w:jc w:val="center"/>
        <w:outlineLvl w:val="0"/>
        <w:rPr>
          <w:rFonts w:hint="eastAsia" w:ascii="宋体" w:hAnsi="宋体" w:eastAsia="宋体"/>
          <w:b/>
          <w:color w:val="auto"/>
          <w:sz w:val="28"/>
          <w:highlight w:val="none"/>
        </w:rPr>
      </w:pPr>
    </w:p>
    <w:p w14:paraId="67D6428E">
      <w:pPr>
        <w:spacing w:line="360" w:lineRule="auto"/>
        <w:jc w:val="center"/>
        <w:outlineLvl w:val="0"/>
        <w:rPr>
          <w:rFonts w:hint="eastAsia" w:ascii="宋体" w:hAnsi="宋体" w:eastAsia="宋体"/>
          <w:b/>
          <w:color w:val="auto"/>
          <w:sz w:val="28"/>
          <w:highlight w:val="none"/>
        </w:rPr>
      </w:pPr>
    </w:p>
    <w:p w14:paraId="451291A3">
      <w:pPr>
        <w:spacing w:line="360" w:lineRule="auto"/>
        <w:jc w:val="center"/>
        <w:outlineLvl w:val="0"/>
        <w:rPr>
          <w:rFonts w:hint="eastAsia" w:ascii="宋体" w:hAnsi="宋体" w:eastAsia="宋体"/>
          <w:b/>
          <w:color w:val="auto"/>
          <w:sz w:val="28"/>
          <w:highlight w:val="none"/>
        </w:rPr>
      </w:pPr>
    </w:p>
    <w:p w14:paraId="7DF857F2">
      <w:pPr>
        <w:spacing w:line="360" w:lineRule="auto"/>
        <w:jc w:val="center"/>
        <w:outlineLvl w:val="0"/>
        <w:rPr>
          <w:rFonts w:hint="eastAsia" w:ascii="宋体" w:hAnsi="宋体" w:eastAsia="宋体"/>
          <w:b/>
          <w:color w:val="auto"/>
          <w:sz w:val="28"/>
          <w:highlight w:val="none"/>
        </w:rPr>
      </w:pPr>
    </w:p>
    <w:p w14:paraId="7AD904B2">
      <w:pPr>
        <w:spacing w:line="360" w:lineRule="auto"/>
        <w:jc w:val="center"/>
        <w:outlineLvl w:val="0"/>
        <w:rPr>
          <w:rFonts w:hint="eastAsia" w:ascii="宋体" w:hAnsi="宋体" w:eastAsia="宋体"/>
          <w:b/>
          <w:color w:val="auto"/>
          <w:sz w:val="28"/>
          <w:highlight w:val="none"/>
        </w:rPr>
      </w:pPr>
    </w:p>
    <w:p w14:paraId="30D782D3">
      <w:pPr>
        <w:spacing w:line="360" w:lineRule="auto"/>
        <w:jc w:val="center"/>
        <w:outlineLvl w:val="0"/>
        <w:rPr>
          <w:rFonts w:hint="eastAsia" w:ascii="宋体" w:hAnsi="宋体" w:eastAsia="宋体"/>
          <w:b/>
          <w:color w:val="auto"/>
          <w:sz w:val="28"/>
          <w:highlight w:val="none"/>
        </w:rPr>
      </w:pPr>
    </w:p>
    <w:p w14:paraId="536B9807">
      <w:pPr>
        <w:spacing w:line="360" w:lineRule="auto"/>
        <w:jc w:val="center"/>
        <w:outlineLvl w:val="0"/>
        <w:rPr>
          <w:rFonts w:hint="eastAsia" w:ascii="宋体" w:hAnsi="宋体" w:eastAsia="宋体"/>
          <w:b/>
          <w:color w:val="auto"/>
          <w:sz w:val="28"/>
          <w:highlight w:val="none"/>
        </w:rPr>
      </w:pPr>
    </w:p>
    <w:p w14:paraId="2BB94C9E">
      <w:pPr>
        <w:spacing w:line="360" w:lineRule="auto"/>
        <w:jc w:val="center"/>
        <w:outlineLvl w:val="0"/>
        <w:rPr>
          <w:rFonts w:hint="eastAsia" w:ascii="宋体" w:hAnsi="宋体" w:eastAsia="宋体"/>
          <w:b/>
          <w:color w:val="auto"/>
          <w:sz w:val="28"/>
          <w:highlight w:val="none"/>
        </w:rPr>
      </w:pPr>
    </w:p>
    <w:p w14:paraId="6CEE1796">
      <w:pPr>
        <w:spacing w:line="360" w:lineRule="auto"/>
        <w:jc w:val="center"/>
        <w:outlineLvl w:val="0"/>
        <w:rPr>
          <w:rFonts w:hint="eastAsia" w:ascii="宋体" w:hAnsi="宋体" w:eastAsia="宋体"/>
          <w:b/>
          <w:color w:val="auto"/>
          <w:sz w:val="28"/>
          <w:highlight w:val="none"/>
        </w:rPr>
      </w:pPr>
    </w:p>
    <w:p w14:paraId="217BC249">
      <w:pPr>
        <w:spacing w:line="360" w:lineRule="auto"/>
        <w:jc w:val="center"/>
        <w:outlineLvl w:val="0"/>
        <w:rPr>
          <w:rFonts w:hint="eastAsia" w:ascii="宋体" w:hAnsi="宋体" w:eastAsia="宋体"/>
          <w:b/>
          <w:color w:val="auto"/>
          <w:sz w:val="28"/>
          <w:highlight w:val="none"/>
        </w:rPr>
      </w:pPr>
    </w:p>
    <w:p w14:paraId="567AB715">
      <w:pPr>
        <w:spacing w:line="360" w:lineRule="auto"/>
        <w:jc w:val="center"/>
        <w:outlineLvl w:val="0"/>
        <w:rPr>
          <w:rFonts w:hint="eastAsia" w:ascii="宋体" w:hAnsi="宋体" w:eastAsia="宋体"/>
          <w:b/>
          <w:color w:val="auto"/>
          <w:sz w:val="28"/>
          <w:highlight w:val="none"/>
        </w:rPr>
      </w:pPr>
    </w:p>
    <w:p w14:paraId="12ED393A">
      <w:pPr>
        <w:spacing w:line="360" w:lineRule="auto"/>
        <w:jc w:val="center"/>
        <w:outlineLvl w:val="1"/>
        <w:rPr>
          <w:rFonts w:ascii="宋体" w:hAnsi="宋体" w:eastAsia="宋体"/>
          <w:b/>
          <w:color w:val="auto"/>
          <w:sz w:val="24"/>
          <w:highlight w:val="none"/>
        </w:rPr>
      </w:pPr>
      <w:bookmarkStart w:id="66" w:name="_Toc28960"/>
      <w:bookmarkStart w:id="67" w:name="_Toc5555"/>
      <w:r>
        <w:rPr>
          <w:rFonts w:hint="eastAsia" w:ascii="宋体" w:hAnsi="宋体" w:eastAsia="宋体"/>
          <w:b/>
          <w:color w:val="auto"/>
          <w:sz w:val="24"/>
          <w:highlight w:val="none"/>
        </w:rPr>
        <w:t>一、开标一览表</w:t>
      </w:r>
      <w:bookmarkEnd w:id="66"/>
      <w:bookmarkEnd w:id="67"/>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006C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44734233">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4D5FD9E5">
            <w:pPr>
              <w:keepNext w:val="0"/>
              <w:keepLines w:val="0"/>
              <w:suppressLineNumbers w:val="0"/>
              <w:spacing w:before="0" w:beforeAutospacing="0" w:after="0" w:afterAutospacing="0" w:line="360" w:lineRule="exact"/>
              <w:ind w:left="0" w:right="0"/>
              <w:jc w:val="center"/>
              <w:rPr>
                <w:rFonts w:hint="default" w:ascii="宋体" w:hAnsi="宋体" w:eastAsia="宋体"/>
                <w:bCs/>
                <w:color w:val="auto"/>
                <w:sz w:val="24"/>
                <w:szCs w:val="20"/>
                <w:highlight w:val="none"/>
                <w:u w:val="single"/>
              </w:rPr>
            </w:pPr>
          </w:p>
        </w:tc>
      </w:tr>
      <w:tr w14:paraId="5CE0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6D1B27B">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投标人全称</w:t>
            </w:r>
          </w:p>
        </w:tc>
        <w:tc>
          <w:tcPr>
            <w:tcW w:w="3648" w:type="pct"/>
            <w:tcBorders>
              <w:top w:val="nil"/>
            </w:tcBorders>
            <w:vAlign w:val="center"/>
          </w:tcPr>
          <w:p w14:paraId="0FA8B895">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0CA1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C7AA917">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3102462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01E0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D5B646C">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投标报价</w:t>
            </w:r>
          </w:p>
        </w:tc>
        <w:tc>
          <w:tcPr>
            <w:tcW w:w="3648" w:type="pct"/>
            <w:tcBorders>
              <w:top w:val="nil"/>
            </w:tcBorders>
            <w:vAlign w:val="center"/>
          </w:tcPr>
          <w:p w14:paraId="66A4980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B87D8A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宋体" w:hAnsi="宋体" w:eastAsia="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3EA6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40E441CD">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2CD6D852">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6B76B566">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5D3C8D06">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2AA38BF0">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7E9707FD">
      <w:pPr>
        <w:spacing w:line="360" w:lineRule="auto"/>
        <w:ind w:firstLine="360" w:firstLineChars="150"/>
        <w:rPr>
          <w:rFonts w:ascii="宋体" w:hAnsi="宋体" w:eastAsia="宋体"/>
          <w:color w:val="auto"/>
          <w:sz w:val="24"/>
          <w:highlight w:val="none"/>
        </w:rPr>
      </w:pPr>
    </w:p>
    <w:p w14:paraId="6018A0C1">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79A0A2A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30C430F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14FA7042">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41EF1E43">
      <w:pPr>
        <w:spacing w:line="360" w:lineRule="auto"/>
        <w:jc w:val="center"/>
        <w:outlineLvl w:val="1"/>
        <w:rPr>
          <w:rFonts w:ascii="宋体" w:hAnsi="宋体" w:eastAsia="宋体"/>
          <w:b/>
          <w:color w:val="auto"/>
          <w:sz w:val="24"/>
          <w:highlight w:val="none"/>
        </w:rPr>
      </w:pPr>
      <w:bookmarkStart w:id="68" w:name="_Toc6441"/>
      <w:bookmarkStart w:id="69" w:name="_Toc18010"/>
      <w:r>
        <w:rPr>
          <w:rFonts w:hint="eastAsia" w:ascii="宋体" w:hAnsi="宋体" w:eastAsia="宋体"/>
          <w:b/>
          <w:color w:val="auto"/>
          <w:sz w:val="24"/>
          <w:highlight w:val="none"/>
        </w:rPr>
        <w:t>二、投标函</w:t>
      </w:r>
      <w:bookmarkEnd w:id="68"/>
      <w:bookmarkEnd w:id="69"/>
    </w:p>
    <w:p w14:paraId="7966749D">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FDF4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3523AF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144ED6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24EBC32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59A062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1883F353">
      <w:pPr>
        <w:spacing w:line="360" w:lineRule="auto"/>
        <w:ind w:firstLine="4800" w:firstLineChars="2000"/>
        <w:rPr>
          <w:rFonts w:ascii="宋体" w:hAnsi="宋体" w:eastAsia="宋体"/>
          <w:color w:val="auto"/>
          <w:sz w:val="24"/>
          <w:highlight w:val="none"/>
        </w:rPr>
      </w:pPr>
    </w:p>
    <w:p w14:paraId="6EA6C7D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0AE2496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86D4561">
      <w:pPr>
        <w:spacing w:line="360" w:lineRule="auto"/>
        <w:jc w:val="center"/>
        <w:outlineLvl w:val="0"/>
        <w:rPr>
          <w:rFonts w:hint="eastAsia" w:ascii="宋体" w:hAnsi="宋体" w:eastAsia="宋体"/>
          <w:b/>
          <w:color w:val="auto"/>
          <w:sz w:val="28"/>
          <w:highlight w:val="none"/>
        </w:rPr>
      </w:pPr>
    </w:p>
    <w:p w14:paraId="52C7CBBE">
      <w:pPr>
        <w:spacing w:line="360" w:lineRule="auto"/>
        <w:jc w:val="center"/>
        <w:outlineLvl w:val="0"/>
        <w:rPr>
          <w:rFonts w:hint="eastAsia" w:ascii="宋体" w:hAnsi="宋体" w:eastAsia="宋体"/>
          <w:b/>
          <w:color w:val="auto"/>
          <w:sz w:val="28"/>
          <w:highlight w:val="none"/>
        </w:rPr>
      </w:pPr>
    </w:p>
    <w:p w14:paraId="1563F7A6">
      <w:pPr>
        <w:spacing w:line="360" w:lineRule="auto"/>
        <w:jc w:val="center"/>
        <w:outlineLvl w:val="0"/>
        <w:rPr>
          <w:rFonts w:hint="eastAsia" w:ascii="宋体" w:hAnsi="宋体" w:eastAsia="宋体"/>
          <w:b/>
          <w:color w:val="auto"/>
          <w:sz w:val="28"/>
          <w:highlight w:val="none"/>
        </w:rPr>
      </w:pPr>
    </w:p>
    <w:p w14:paraId="7D1FD8E4">
      <w:pPr>
        <w:spacing w:line="360" w:lineRule="auto"/>
        <w:jc w:val="center"/>
        <w:outlineLvl w:val="0"/>
        <w:rPr>
          <w:rFonts w:hint="eastAsia" w:ascii="宋体" w:hAnsi="宋体" w:eastAsia="宋体"/>
          <w:b/>
          <w:color w:val="auto"/>
          <w:sz w:val="28"/>
          <w:highlight w:val="none"/>
        </w:rPr>
      </w:pPr>
    </w:p>
    <w:p w14:paraId="745081F9">
      <w:pPr>
        <w:spacing w:line="360" w:lineRule="auto"/>
        <w:jc w:val="center"/>
        <w:outlineLvl w:val="0"/>
        <w:rPr>
          <w:rFonts w:hint="eastAsia" w:ascii="宋体" w:hAnsi="宋体" w:eastAsia="宋体"/>
          <w:b/>
          <w:color w:val="auto"/>
          <w:sz w:val="28"/>
          <w:highlight w:val="none"/>
        </w:rPr>
      </w:pPr>
    </w:p>
    <w:p w14:paraId="1BACB8F4">
      <w:pPr>
        <w:spacing w:line="360" w:lineRule="auto"/>
        <w:jc w:val="center"/>
        <w:outlineLvl w:val="0"/>
        <w:rPr>
          <w:rFonts w:hint="eastAsia" w:ascii="宋体" w:hAnsi="宋体" w:eastAsia="宋体"/>
          <w:b/>
          <w:color w:val="auto"/>
          <w:sz w:val="28"/>
          <w:highlight w:val="none"/>
        </w:rPr>
      </w:pPr>
    </w:p>
    <w:p w14:paraId="45AC9FDE">
      <w:pPr>
        <w:spacing w:line="360" w:lineRule="auto"/>
        <w:jc w:val="center"/>
        <w:outlineLvl w:val="0"/>
        <w:rPr>
          <w:rFonts w:hint="eastAsia" w:ascii="宋体" w:hAnsi="宋体" w:eastAsia="宋体"/>
          <w:b/>
          <w:color w:val="auto"/>
          <w:sz w:val="28"/>
          <w:highlight w:val="none"/>
        </w:rPr>
      </w:pPr>
    </w:p>
    <w:p w14:paraId="0CD0DD82">
      <w:pPr>
        <w:spacing w:line="360" w:lineRule="auto"/>
        <w:jc w:val="center"/>
        <w:outlineLvl w:val="1"/>
        <w:rPr>
          <w:rFonts w:hint="eastAsia" w:ascii="宋体" w:hAnsi="宋体" w:eastAsia="宋体"/>
          <w:b/>
          <w:color w:val="auto"/>
          <w:sz w:val="24"/>
          <w:highlight w:val="none"/>
        </w:rPr>
      </w:pPr>
      <w:bookmarkStart w:id="70" w:name="_Toc31991"/>
      <w:bookmarkStart w:id="71" w:name="_Toc6796"/>
    </w:p>
    <w:p w14:paraId="4BC72D6F">
      <w:pPr>
        <w:spacing w:line="360" w:lineRule="auto"/>
        <w:jc w:val="center"/>
        <w:outlineLvl w:val="1"/>
        <w:rPr>
          <w:rFonts w:hint="eastAsia" w:ascii="宋体" w:hAnsi="宋体" w:eastAsia="宋体"/>
          <w:b/>
          <w:color w:val="auto"/>
          <w:sz w:val="24"/>
          <w:highlight w:val="none"/>
        </w:rPr>
      </w:pPr>
    </w:p>
    <w:p w14:paraId="2D8EC476">
      <w:pPr>
        <w:pStyle w:val="25"/>
        <w:rPr>
          <w:rFonts w:hint="eastAsia"/>
        </w:rPr>
      </w:pPr>
    </w:p>
    <w:p w14:paraId="4D16DDC5">
      <w:pPr>
        <w:spacing w:line="360" w:lineRule="auto"/>
        <w:jc w:val="center"/>
        <w:outlineLvl w:val="1"/>
        <w:rPr>
          <w:rFonts w:hint="eastAsia" w:ascii="宋体" w:hAnsi="宋体" w:eastAsia="宋体"/>
          <w:b/>
          <w:color w:val="auto"/>
          <w:sz w:val="24"/>
          <w:highlight w:val="none"/>
        </w:rPr>
      </w:pPr>
    </w:p>
    <w:p w14:paraId="4F948567">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70"/>
      <w:bookmarkEnd w:id="71"/>
    </w:p>
    <w:p w14:paraId="6142A808">
      <w:pPr>
        <w:spacing w:line="360" w:lineRule="auto"/>
        <w:ind w:firstLine="435"/>
        <w:rPr>
          <w:rFonts w:ascii="宋体" w:hAnsi="宋体" w:eastAsia="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21D3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435E5767">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0180D975">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货物名称</w:t>
            </w:r>
          </w:p>
        </w:tc>
        <w:tc>
          <w:tcPr>
            <w:tcW w:w="773" w:type="pct"/>
            <w:vAlign w:val="center"/>
          </w:tcPr>
          <w:p w14:paraId="417ADA06">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品牌、型</w:t>
            </w:r>
          </w:p>
          <w:p w14:paraId="1528E8C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号</w:t>
            </w:r>
          </w:p>
        </w:tc>
        <w:tc>
          <w:tcPr>
            <w:tcW w:w="773" w:type="pct"/>
            <w:vAlign w:val="center"/>
          </w:tcPr>
          <w:p w14:paraId="283C2DDE">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原产地及</w:t>
            </w:r>
          </w:p>
          <w:p w14:paraId="41EDA0F5">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生产厂商</w:t>
            </w:r>
          </w:p>
        </w:tc>
        <w:tc>
          <w:tcPr>
            <w:tcW w:w="394" w:type="pct"/>
            <w:vAlign w:val="center"/>
          </w:tcPr>
          <w:p w14:paraId="60FA2CBC">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单位</w:t>
            </w:r>
          </w:p>
        </w:tc>
        <w:tc>
          <w:tcPr>
            <w:tcW w:w="394" w:type="pct"/>
            <w:vAlign w:val="center"/>
          </w:tcPr>
          <w:p w14:paraId="2291893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数量</w:t>
            </w:r>
          </w:p>
        </w:tc>
        <w:tc>
          <w:tcPr>
            <w:tcW w:w="551" w:type="pct"/>
            <w:vAlign w:val="center"/>
          </w:tcPr>
          <w:p w14:paraId="5BBD8792">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单价</w:t>
            </w:r>
          </w:p>
          <w:p w14:paraId="473516E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551" w:type="pct"/>
            <w:vAlign w:val="center"/>
          </w:tcPr>
          <w:p w14:paraId="37C74E7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小计</w:t>
            </w:r>
          </w:p>
          <w:p w14:paraId="2306105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393" w:type="pct"/>
            <w:vAlign w:val="center"/>
          </w:tcPr>
          <w:p w14:paraId="649A1EFF">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备注</w:t>
            </w:r>
          </w:p>
        </w:tc>
      </w:tr>
      <w:tr w14:paraId="6070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3CB543B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777" w:type="pct"/>
          </w:tcPr>
          <w:p w14:paraId="5C100D2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101E7F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7D6CB7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252E39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154CD8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3EEA7D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F74766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4CA3FA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5FF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2A15F4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777" w:type="pct"/>
          </w:tcPr>
          <w:p w14:paraId="13F3AD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660D70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FE5786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538E7E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975FA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88899C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48F69C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89E8EA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327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CECF99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777" w:type="pct"/>
          </w:tcPr>
          <w:p w14:paraId="76EC5DC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12E8FE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7A8890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4CDA1F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16CCA9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0C24EF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3AFA83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4D87271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2676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528887E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777" w:type="pct"/>
          </w:tcPr>
          <w:p w14:paraId="78F0684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1379F2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A46230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F847D6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C395CA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0FE982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054CB2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2BC3EA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6B3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89B3BB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5</w:t>
            </w:r>
          </w:p>
        </w:tc>
        <w:tc>
          <w:tcPr>
            <w:tcW w:w="777" w:type="pct"/>
          </w:tcPr>
          <w:p w14:paraId="5837119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9FC785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36F41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0AF2EB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053937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22C62B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E6F564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B57DAE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3771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50E26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6</w:t>
            </w:r>
          </w:p>
        </w:tc>
        <w:tc>
          <w:tcPr>
            <w:tcW w:w="777" w:type="pct"/>
          </w:tcPr>
          <w:p w14:paraId="01CD091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7D7DA1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5F582A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BFA10D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0745FD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CBF069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3EAE9B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C29DA7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A1D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02ECC1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7</w:t>
            </w:r>
          </w:p>
        </w:tc>
        <w:tc>
          <w:tcPr>
            <w:tcW w:w="777" w:type="pct"/>
          </w:tcPr>
          <w:p w14:paraId="576B4BC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C4AA5F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8D851A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B6DB60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0B1C69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40F9C1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ADE5BA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2925E0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8DF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8B3A96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8</w:t>
            </w:r>
          </w:p>
        </w:tc>
        <w:tc>
          <w:tcPr>
            <w:tcW w:w="777" w:type="pct"/>
          </w:tcPr>
          <w:p w14:paraId="7C2A436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284EB6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91E8D9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835CF7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2BD43B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351D8A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ED10B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79731E8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FEE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CA9291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9</w:t>
            </w:r>
          </w:p>
        </w:tc>
        <w:tc>
          <w:tcPr>
            <w:tcW w:w="777" w:type="pct"/>
          </w:tcPr>
          <w:p w14:paraId="2528B93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35D051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C820CD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E60D7E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4504B7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47BB09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845FC0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B5E776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F26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EBFD40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10</w:t>
            </w:r>
          </w:p>
        </w:tc>
        <w:tc>
          <w:tcPr>
            <w:tcW w:w="777" w:type="pct"/>
          </w:tcPr>
          <w:p w14:paraId="78C53E7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DE36DF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F782B2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43E816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2A0BDD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3E412D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12405C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400B57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6351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14387E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11</w:t>
            </w:r>
          </w:p>
        </w:tc>
        <w:tc>
          <w:tcPr>
            <w:tcW w:w="777" w:type="pct"/>
          </w:tcPr>
          <w:p w14:paraId="486320F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B0F4AC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24C9D6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3ED2A4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7FA86D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046E5A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8C5933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796C06B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879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CCA013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12</w:t>
            </w:r>
          </w:p>
        </w:tc>
        <w:tc>
          <w:tcPr>
            <w:tcW w:w="777" w:type="pct"/>
          </w:tcPr>
          <w:p w14:paraId="03056DA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5F054D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C84983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62A07B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82F814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B5270E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529FCE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44D2F7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FC9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21D11C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13</w:t>
            </w:r>
          </w:p>
        </w:tc>
        <w:tc>
          <w:tcPr>
            <w:tcW w:w="777" w:type="pct"/>
          </w:tcPr>
          <w:p w14:paraId="2CA53F8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5A9734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F81B2E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B279B0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27B473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89A2B4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6C9258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EBF5A4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8E4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183D21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vAlign w:val="center"/>
          </w:tcPr>
          <w:p w14:paraId="5189F898">
            <w:pPr>
              <w:pStyle w:val="42"/>
              <w:keepNext w:val="0"/>
              <w:keepLines w:val="0"/>
              <w:suppressLineNumbers w:val="0"/>
              <w:spacing w:before="0" w:beforeAutospacing="0" w:after="0" w:afterAutospacing="0"/>
              <w:ind w:left="0" w:right="0"/>
              <w:rPr>
                <w:rFonts w:hint="default" w:ascii="宋体" w:hAnsi="宋体" w:eastAsia="宋体"/>
                <w:color w:val="auto"/>
                <w:szCs w:val="20"/>
                <w:highlight w:val="none"/>
              </w:rPr>
            </w:pPr>
            <w:r>
              <w:rPr>
                <w:rFonts w:hint="eastAsia" w:ascii="宋体" w:hAnsi="宋体" w:eastAsia="宋体"/>
                <w:color w:val="auto"/>
                <w:szCs w:val="20"/>
                <w:highlight w:val="none"/>
              </w:rPr>
              <w:t>其他费用</w:t>
            </w:r>
          </w:p>
        </w:tc>
        <w:tc>
          <w:tcPr>
            <w:tcW w:w="773" w:type="pct"/>
          </w:tcPr>
          <w:p w14:paraId="588977C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BC8325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B21A06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5BC27A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EA8C47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115182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3F3D6E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4E4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EC3B98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5708EDA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773" w:type="pct"/>
          </w:tcPr>
          <w:p w14:paraId="297364E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1D0D33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BFC1CC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70FD52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49DB30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DEB8CD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0D9053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2FF4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B1B853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45C32AA7">
            <w:pPr>
              <w:pStyle w:val="42"/>
              <w:keepNext w:val="0"/>
              <w:keepLines w:val="0"/>
              <w:suppressLineNumbers w:val="0"/>
              <w:spacing w:before="0" w:beforeAutospacing="0" w:after="0" w:afterAutospacing="0"/>
              <w:ind w:left="0" w:right="0"/>
              <w:rPr>
                <w:rFonts w:hint="default" w:ascii="宋体" w:hAnsi="宋体" w:eastAsia="宋体"/>
                <w:color w:val="auto"/>
                <w:szCs w:val="20"/>
                <w:highlight w:val="none"/>
              </w:rPr>
            </w:pPr>
            <w:r>
              <w:rPr>
                <w:rFonts w:hint="eastAsia" w:ascii="宋体" w:hAnsi="宋体" w:eastAsia="宋体"/>
                <w:color w:val="auto"/>
                <w:szCs w:val="20"/>
                <w:highlight w:val="none"/>
              </w:rPr>
              <w:t>…</w:t>
            </w:r>
          </w:p>
        </w:tc>
        <w:tc>
          <w:tcPr>
            <w:tcW w:w="773" w:type="pct"/>
          </w:tcPr>
          <w:p w14:paraId="0B75E05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FDE42D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9D7A78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65F637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BA1F54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DB3D3C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0ADAC4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572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D6273C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58752B2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773" w:type="pct"/>
          </w:tcPr>
          <w:p w14:paraId="577B28D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24ABDE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37CA46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07F744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0FC13C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C00B42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6AC4F5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2918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7F98BCCC">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r>
              <w:rPr>
                <w:rFonts w:hint="eastAsia" w:ascii="宋体" w:hAnsi="宋体" w:eastAsia="宋体"/>
                <w:color w:val="auto"/>
                <w:szCs w:val="20"/>
                <w:highlight w:val="none"/>
              </w:rPr>
              <w:t>合计（元）</w:t>
            </w:r>
          </w:p>
        </w:tc>
        <w:tc>
          <w:tcPr>
            <w:tcW w:w="773" w:type="pct"/>
          </w:tcPr>
          <w:p w14:paraId="43CA150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22C4F7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D09065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88C8AB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7CCB42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9D5A0A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EE857F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bl>
    <w:p w14:paraId="084953D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59D60A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C8D34FA">
      <w:pPr>
        <w:adjustRightInd w:val="0"/>
        <w:snapToGrid w:val="0"/>
        <w:spacing w:line="360" w:lineRule="auto"/>
        <w:rPr>
          <w:rFonts w:ascii="宋体" w:hAnsi="宋体" w:eastAsia="宋体"/>
          <w:b/>
          <w:bCs/>
          <w:color w:val="auto"/>
          <w:sz w:val="24"/>
          <w:szCs w:val="28"/>
          <w:highlight w:val="none"/>
        </w:rPr>
      </w:pPr>
    </w:p>
    <w:p w14:paraId="6E23545B">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3873B5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13B9843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1CA2C9E5">
      <w:pPr>
        <w:spacing w:line="360" w:lineRule="auto"/>
        <w:jc w:val="center"/>
        <w:outlineLvl w:val="1"/>
        <w:rPr>
          <w:rFonts w:hint="default" w:ascii="宋体" w:hAnsi="宋体" w:eastAsia="宋体"/>
          <w:b/>
          <w:color w:val="auto"/>
          <w:sz w:val="24"/>
          <w:highlight w:val="none"/>
          <w:lang w:val="en-US" w:eastAsia="zh-CN"/>
        </w:rPr>
      </w:pPr>
      <w:bookmarkStart w:id="72" w:name="_Toc20329"/>
      <w:bookmarkStart w:id="73" w:name="_Toc11940"/>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72"/>
      <w:bookmarkEnd w:id="73"/>
    </w:p>
    <w:p w14:paraId="74E7A767">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F6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28FFAF7D">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64679166">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0E5E5CB2">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42FF1EBE">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12A131AF">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063D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B021E2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1</w:t>
            </w:r>
          </w:p>
        </w:tc>
        <w:tc>
          <w:tcPr>
            <w:tcW w:w="1124" w:type="pct"/>
            <w:vAlign w:val="center"/>
          </w:tcPr>
          <w:p w14:paraId="7250876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付款方式</w:t>
            </w:r>
          </w:p>
        </w:tc>
        <w:tc>
          <w:tcPr>
            <w:tcW w:w="1465" w:type="pct"/>
            <w:vAlign w:val="center"/>
          </w:tcPr>
          <w:p w14:paraId="30A80A0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797DB91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13A790A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6B77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406C5D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24" w:type="pct"/>
            <w:vAlign w:val="center"/>
          </w:tcPr>
          <w:p w14:paraId="27D4342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4B533DB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4886E11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409FA52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3BA3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E1B069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124" w:type="pct"/>
            <w:vAlign w:val="center"/>
          </w:tcPr>
          <w:p w14:paraId="57A86B8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供货及安装期限</w:t>
            </w:r>
          </w:p>
        </w:tc>
        <w:tc>
          <w:tcPr>
            <w:tcW w:w="1465" w:type="pct"/>
            <w:vAlign w:val="center"/>
          </w:tcPr>
          <w:p w14:paraId="6CB2980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4E291C6B">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475" w:type="pct"/>
            <w:vAlign w:val="center"/>
          </w:tcPr>
          <w:p w14:paraId="0EC1623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B83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C90717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24" w:type="pct"/>
            <w:vAlign w:val="center"/>
          </w:tcPr>
          <w:p w14:paraId="1738AA4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免费质保期</w:t>
            </w:r>
          </w:p>
        </w:tc>
        <w:tc>
          <w:tcPr>
            <w:tcW w:w="1465" w:type="pct"/>
            <w:vAlign w:val="center"/>
          </w:tcPr>
          <w:p w14:paraId="061675E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0A675CA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701D7F0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409D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CB1CB2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1124" w:type="pct"/>
            <w:vAlign w:val="center"/>
          </w:tcPr>
          <w:p w14:paraId="3F69AAE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3B76404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1D4D25A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52A6344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05213423">
      <w:pPr>
        <w:spacing w:line="360" w:lineRule="auto"/>
        <w:ind w:firstLine="4800" w:firstLineChars="2000"/>
        <w:rPr>
          <w:rFonts w:hint="eastAsia" w:ascii="宋体" w:hAnsi="宋体" w:eastAsia="宋体"/>
          <w:color w:val="auto"/>
          <w:sz w:val="24"/>
          <w:highlight w:val="none"/>
        </w:rPr>
      </w:pPr>
    </w:p>
    <w:p w14:paraId="21A86618">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4B391C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24ED7D1">
      <w:pPr>
        <w:spacing w:line="360" w:lineRule="auto"/>
        <w:ind w:firstLine="435"/>
        <w:rPr>
          <w:rFonts w:hint="eastAsia" w:ascii="宋体" w:hAnsi="宋体" w:eastAsia="宋体"/>
          <w:color w:val="auto"/>
          <w:sz w:val="24"/>
          <w:highlight w:val="none"/>
        </w:rPr>
      </w:pPr>
    </w:p>
    <w:p w14:paraId="60F74F71">
      <w:pPr>
        <w:spacing w:line="360" w:lineRule="auto"/>
        <w:jc w:val="center"/>
        <w:outlineLvl w:val="0"/>
        <w:rPr>
          <w:rFonts w:hint="eastAsia" w:ascii="宋体" w:hAnsi="宋体" w:eastAsia="宋体"/>
          <w:b/>
          <w:color w:val="auto"/>
          <w:sz w:val="28"/>
          <w:highlight w:val="none"/>
        </w:rPr>
      </w:pPr>
    </w:p>
    <w:p w14:paraId="58C52249">
      <w:pPr>
        <w:spacing w:line="360" w:lineRule="auto"/>
        <w:jc w:val="center"/>
        <w:outlineLvl w:val="0"/>
        <w:rPr>
          <w:rFonts w:hint="eastAsia" w:ascii="宋体" w:hAnsi="宋体" w:eastAsia="宋体"/>
          <w:b/>
          <w:color w:val="auto"/>
          <w:sz w:val="28"/>
          <w:highlight w:val="none"/>
        </w:rPr>
      </w:pPr>
    </w:p>
    <w:p w14:paraId="30146526">
      <w:pPr>
        <w:spacing w:line="360" w:lineRule="auto"/>
        <w:jc w:val="center"/>
        <w:outlineLvl w:val="0"/>
        <w:rPr>
          <w:rFonts w:hint="eastAsia" w:ascii="宋体" w:hAnsi="宋体" w:eastAsia="宋体"/>
          <w:b/>
          <w:color w:val="auto"/>
          <w:sz w:val="28"/>
          <w:highlight w:val="none"/>
        </w:rPr>
      </w:pPr>
    </w:p>
    <w:p w14:paraId="016C7FE3">
      <w:pPr>
        <w:spacing w:line="360" w:lineRule="auto"/>
        <w:jc w:val="center"/>
        <w:outlineLvl w:val="0"/>
        <w:rPr>
          <w:rFonts w:hint="eastAsia" w:ascii="宋体" w:hAnsi="宋体" w:eastAsia="宋体"/>
          <w:b/>
          <w:color w:val="auto"/>
          <w:sz w:val="28"/>
          <w:highlight w:val="none"/>
        </w:rPr>
      </w:pPr>
    </w:p>
    <w:p w14:paraId="0F8E5FDF">
      <w:pPr>
        <w:spacing w:line="360" w:lineRule="auto"/>
        <w:jc w:val="center"/>
        <w:outlineLvl w:val="0"/>
        <w:rPr>
          <w:rFonts w:hint="eastAsia" w:ascii="宋体" w:hAnsi="宋体" w:eastAsia="宋体"/>
          <w:b/>
          <w:color w:val="auto"/>
          <w:sz w:val="28"/>
          <w:highlight w:val="none"/>
        </w:rPr>
      </w:pPr>
    </w:p>
    <w:p w14:paraId="77806940">
      <w:pPr>
        <w:spacing w:line="360" w:lineRule="auto"/>
        <w:jc w:val="center"/>
        <w:outlineLvl w:val="0"/>
        <w:rPr>
          <w:rFonts w:hint="eastAsia" w:ascii="宋体" w:hAnsi="宋体" w:eastAsia="宋体"/>
          <w:b/>
          <w:color w:val="auto"/>
          <w:sz w:val="28"/>
          <w:highlight w:val="none"/>
        </w:rPr>
      </w:pPr>
    </w:p>
    <w:p w14:paraId="212ED475">
      <w:pPr>
        <w:spacing w:line="360" w:lineRule="auto"/>
        <w:jc w:val="center"/>
        <w:outlineLvl w:val="0"/>
        <w:rPr>
          <w:rFonts w:hint="eastAsia" w:ascii="宋体" w:hAnsi="宋体" w:eastAsia="宋体"/>
          <w:b/>
          <w:color w:val="auto"/>
          <w:sz w:val="28"/>
          <w:highlight w:val="none"/>
        </w:rPr>
      </w:pPr>
    </w:p>
    <w:p w14:paraId="1734EE6C">
      <w:pPr>
        <w:spacing w:line="360" w:lineRule="auto"/>
        <w:jc w:val="center"/>
        <w:outlineLvl w:val="0"/>
        <w:rPr>
          <w:rFonts w:hint="eastAsia" w:ascii="宋体" w:hAnsi="宋体" w:eastAsia="宋体"/>
          <w:b/>
          <w:color w:val="auto"/>
          <w:sz w:val="28"/>
          <w:highlight w:val="none"/>
        </w:rPr>
      </w:pPr>
    </w:p>
    <w:p w14:paraId="71856494">
      <w:pPr>
        <w:spacing w:line="360" w:lineRule="auto"/>
        <w:jc w:val="center"/>
        <w:outlineLvl w:val="0"/>
        <w:rPr>
          <w:rFonts w:hint="eastAsia" w:ascii="宋体" w:hAnsi="宋体" w:eastAsia="宋体"/>
          <w:b/>
          <w:color w:val="auto"/>
          <w:sz w:val="28"/>
          <w:highlight w:val="none"/>
        </w:rPr>
      </w:pPr>
    </w:p>
    <w:p w14:paraId="099C3EB9">
      <w:pPr>
        <w:spacing w:line="360" w:lineRule="auto"/>
        <w:jc w:val="center"/>
        <w:outlineLvl w:val="0"/>
        <w:rPr>
          <w:rFonts w:hint="eastAsia" w:ascii="宋体" w:hAnsi="宋体" w:eastAsia="宋体"/>
          <w:b/>
          <w:color w:val="auto"/>
          <w:sz w:val="28"/>
          <w:highlight w:val="none"/>
        </w:rPr>
      </w:pPr>
    </w:p>
    <w:p w14:paraId="61247FB2">
      <w:pPr>
        <w:spacing w:line="360" w:lineRule="auto"/>
        <w:jc w:val="center"/>
        <w:outlineLvl w:val="0"/>
        <w:rPr>
          <w:rFonts w:hint="eastAsia" w:ascii="宋体" w:hAnsi="宋体" w:eastAsia="宋体"/>
          <w:b/>
          <w:color w:val="auto"/>
          <w:sz w:val="28"/>
          <w:highlight w:val="none"/>
        </w:rPr>
      </w:pPr>
    </w:p>
    <w:p w14:paraId="52383B5F">
      <w:pPr>
        <w:spacing w:line="360" w:lineRule="auto"/>
        <w:jc w:val="center"/>
        <w:outlineLvl w:val="0"/>
        <w:rPr>
          <w:rFonts w:hint="eastAsia" w:ascii="宋体" w:hAnsi="宋体" w:eastAsia="宋体"/>
          <w:b/>
          <w:color w:val="auto"/>
          <w:sz w:val="28"/>
          <w:highlight w:val="none"/>
        </w:rPr>
      </w:pPr>
    </w:p>
    <w:p w14:paraId="7FACF1A2">
      <w:pPr>
        <w:spacing w:line="360" w:lineRule="auto"/>
        <w:jc w:val="center"/>
        <w:outlineLvl w:val="0"/>
        <w:rPr>
          <w:rFonts w:hint="eastAsia" w:ascii="宋体" w:hAnsi="宋体" w:eastAsia="宋体"/>
          <w:b/>
          <w:color w:val="auto"/>
          <w:sz w:val="28"/>
          <w:highlight w:val="none"/>
        </w:rPr>
      </w:pPr>
    </w:p>
    <w:p w14:paraId="357100F3">
      <w:pPr>
        <w:spacing w:line="360" w:lineRule="auto"/>
        <w:jc w:val="center"/>
        <w:outlineLvl w:val="0"/>
        <w:rPr>
          <w:rFonts w:hint="eastAsia" w:ascii="宋体" w:hAnsi="宋体" w:eastAsia="宋体"/>
          <w:b/>
          <w:color w:val="auto"/>
          <w:sz w:val="28"/>
          <w:highlight w:val="none"/>
        </w:rPr>
      </w:pPr>
    </w:p>
    <w:p w14:paraId="5C8EC313">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64"/>
      <w:bookmarkEnd w:id="65"/>
    </w:p>
    <w:p w14:paraId="2AC4603A">
      <w:pPr>
        <w:spacing w:line="360" w:lineRule="auto"/>
        <w:jc w:val="center"/>
        <w:outlineLvl w:val="1"/>
        <w:rPr>
          <w:rFonts w:ascii="仿宋" w:hAnsi="仿宋" w:eastAsia="仿宋" w:cs="仿宋"/>
          <w:b/>
          <w:bCs/>
          <w:color w:val="auto"/>
          <w:sz w:val="32"/>
          <w:szCs w:val="44"/>
          <w:highlight w:val="none"/>
        </w:rPr>
      </w:pPr>
      <w:bookmarkStart w:id="74" w:name="_Toc27159"/>
      <w:bookmarkStart w:id="75" w:name="_Toc27489"/>
      <w:r>
        <w:rPr>
          <w:rFonts w:hint="eastAsia" w:ascii="仿宋" w:hAnsi="仿宋" w:eastAsia="仿宋" w:cs="仿宋"/>
          <w:b/>
          <w:bCs/>
          <w:color w:val="auto"/>
          <w:sz w:val="32"/>
          <w:szCs w:val="44"/>
          <w:highlight w:val="none"/>
        </w:rPr>
        <w:t>询问函范本</w:t>
      </w:r>
      <w:bookmarkEnd w:id="74"/>
      <w:bookmarkEnd w:id="75"/>
    </w:p>
    <w:p w14:paraId="5396B6DA">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2053E46">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29914FA2">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6" w:name="_Toc13899"/>
      <w:r>
        <w:rPr>
          <w:rFonts w:hint="eastAsia" w:ascii="宋体" w:hAnsi="宋体" w:eastAsia="宋体" w:cs="仿宋"/>
          <w:color w:val="auto"/>
          <w:sz w:val="24"/>
          <w:szCs w:val="24"/>
          <w:highlight w:val="none"/>
        </w:rPr>
        <w:t>一、(事项一)</w:t>
      </w:r>
      <w:bookmarkEnd w:id="76"/>
    </w:p>
    <w:p w14:paraId="6747F3B9">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55574E2D">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0F1F314E">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5CC77E33">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7" w:name="_Toc3352"/>
      <w:r>
        <w:rPr>
          <w:rFonts w:hint="eastAsia" w:ascii="宋体" w:hAnsi="宋体" w:eastAsia="宋体" w:cs="仿宋"/>
          <w:color w:val="auto"/>
          <w:sz w:val="24"/>
          <w:szCs w:val="24"/>
          <w:highlight w:val="none"/>
        </w:rPr>
        <w:t>二、(事项二)</w:t>
      </w:r>
      <w:bookmarkEnd w:id="77"/>
    </w:p>
    <w:p w14:paraId="0ABD7C9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704216E">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3F8EC218">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42F8F795">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4E630062">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3D0EF4A">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260100C9">
      <w:pPr>
        <w:jc w:val="center"/>
        <w:outlineLvl w:val="1"/>
        <w:rPr>
          <w:rFonts w:ascii="仿宋" w:hAnsi="仿宋" w:eastAsia="仿宋" w:cs="仿宋"/>
          <w:b/>
          <w:bCs/>
          <w:color w:val="auto"/>
          <w:sz w:val="32"/>
          <w:szCs w:val="44"/>
          <w:highlight w:val="none"/>
        </w:rPr>
      </w:pPr>
      <w:bookmarkStart w:id="78" w:name="_Toc1575"/>
      <w:bookmarkStart w:id="79" w:name="_Toc3245"/>
      <w:r>
        <w:rPr>
          <w:rFonts w:hint="eastAsia" w:ascii="仿宋" w:hAnsi="仿宋" w:eastAsia="仿宋" w:cs="仿宋"/>
          <w:b/>
          <w:bCs/>
          <w:color w:val="auto"/>
          <w:sz w:val="32"/>
          <w:szCs w:val="44"/>
          <w:highlight w:val="none"/>
        </w:rPr>
        <w:t>质疑函范本</w:t>
      </w:r>
      <w:bookmarkEnd w:id="78"/>
      <w:bookmarkEnd w:id="79"/>
    </w:p>
    <w:p w14:paraId="027CFF16">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80" w:name="_Toc21381"/>
      <w:r>
        <w:rPr>
          <w:rFonts w:hint="eastAsia" w:ascii="宋体" w:hAnsi="宋体" w:eastAsia="宋体" w:cs="仿宋"/>
          <w:b/>
          <w:bCs/>
          <w:color w:val="auto"/>
          <w:sz w:val="24"/>
          <w:szCs w:val="24"/>
          <w:highlight w:val="none"/>
        </w:rPr>
        <w:t>一、质疑供应商基本信息</w:t>
      </w:r>
      <w:bookmarkEnd w:id="80"/>
    </w:p>
    <w:p w14:paraId="422D454D">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1F423C6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5FB7A79">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56E7AA43">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6DD18229">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002D0FD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0FF6557B">
      <w:pPr>
        <w:adjustRightInd w:val="0"/>
        <w:snapToGrid w:val="0"/>
        <w:spacing w:line="360" w:lineRule="auto"/>
        <w:outlineLvl w:val="9"/>
        <w:rPr>
          <w:rFonts w:ascii="宋体" w:hAnsi="宋体" w:eastAsia="宋体" w:cs="仿宋"/>
          <w:b/>
          <w:bCs/>
          <w:color w:val="auto"/>
          <w:sz w:val="24"/>
          <w:szCs w:val="24"/>
          <w:highlight w:val="none"/>
        </w:rPr>
      </w:pPr>
      <w:bookmarkStart w:id="81" w:name="_Toc28415"/>
      <w:r>
        <w:rPr>
          <w:rFonts w:hint="eastAsia" w:ascii="宋体" w:hAnsi="宋体" w:eastAsia="宋体" w:cs="仿宋"/>
          <w:b/>
          <w:bCs/>
          <w:color w:val="auto"/>
          <w:sz w:val="24"/>
          <w:szCs w:val="24"/>
          <w:highlight w:val="none"/>
        </w:rPr>
        <w:t>二、质疑项目基本情况</w:t>
      </w:r>
      <w:bookmarkEnd w:id="81"/>
    </w:p>
    <w:p w14:paraId="6AC80C9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07EA189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2028901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2AADBD5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64B456F1">
      <w:pPr>
        <w:adjustRightInd w:val="0"/>
        <w:snapToGrid w:val="0"/>
        <w:spacing w:line="360" w:lineRule="auto"/>
        <w:outlineLvl w:val="9"/>
        <w:rPr>
          <w:rFonts w:ascii="宋体" w:hAnsi="宋体" w:eastAsia="宋体" w:cs="仿宋"/>
          <w:b/>
          <w:bCs/>
          <w:color w:val="auto"/>
          <w:sz w:val="24"/>
          <w:szCs w:val="24"/>
          <w:highlight w:val="none"/>
        </w:rPr>
      </w:pPr>
      <w:bookmarkStart w:id="82" w:name="_Toc19014"/>
      <w:r>
        <w:rPr>
          <w:rFonts w:hint="eastAsia" w:ascii="宋体" w:hAnsi="宋体" w:eastAsia="宋体" w:cs="仿宋"/>
          <w:b/>
          <w:bCs/>
          <w:color w:val="auto"/>
          <w:sz w:val="24"/>
          <w:szCs w:val="24"/>
          <w:highlight w:val="none"/>
        </w:rPr>
        <w:t>三、质疑事项具体内容</w:t>
      </w:r>
      <w:bookmarkEnd w:id="82"/>
    </w:p>
    <w:p w14:paraId="342DCBC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67D1FCF7">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58D7B57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1423FD5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595D44A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4A80322B">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944333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05AEC733">
      <w:pPr>
        <w:adjustRightInd w:val="0"/>
        <w:snapToGrid w:val="0"/>
        <w:spacing w:line="360" w:lineRule="auto"/>
        <w:outlineLvl w:val="9"/>
        <w:rPr>
          <w:rFonts w:ascii="宋体" w:hAnsi="宋体" w:eastAsia="宋体" w:cs="仿宋"/>
          <w:b/>
          <w:bCs/>
          <w:color w:val="auto"/>
          <w:sz w:val="24"/>
          <w:szCs w:val="24"/>
          <w:highlight w:val="none"/>
        </w:rPr>
      </w:pPr>
      <w:bookmarkStart w:id="83" w:name="_Toc17919"/>
      <w:r>
        <w:rPr>
          <w:rFonts w:hint="eastAsia" w:ascii="宋体" w:hAnsi="宋体" w:eastAsia="宋体" w:cs="仿宋"/>
          <w:b/>
          <w:bCs/>
          <w:color w:val="auto"/>
          <w:sz w:val="24"/>
          <w:szCs w:val="24"/>
          <w:highlight w:val="none"/>
        </w:rPr>
        <w:t>四、与质疑事项相关的质疑请求</w:t>
      </w:r>
      <w:bookmarkEnd w:id="83"/>
    </w:p>
    <w:p w14:paraId="534BA3D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5FFE6739">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hint="eastAsia" w:ascii="宋体" w:hAnsi="宋体" w:eastAsia="宋体"/>
          <w:color w:val="auto"/>
          <w:sz w:val="24"/>
          <w:szCs w:val="24"/>
          <w:highlight w:val="none"/>
          <w:lang w:eastAsia="zh-CN"/>
        </w:rPr>
        <w:t>盖章</w:t>
      </w:r>
      <w:r>
        <w:rPr>
          <w:rFonts w:hint="eastAsia" w:ascii="宋体" w:hAnsi="宋体" w:eastAsia="宋体"/>
          <w:color w:val="auto"/>
          <w:sz w:val="24"/>
          <w:szCs w:val="24"/>
          <w:highlight w:val="none"/>
        </w:rPr>
        <w:t xml:space="preserve">)：                   公章：                      </w:t>
      </w:r>
    </w:p>
    <w:p w14:paraId="6A7AB88A">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516B4BEA">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753110C8">
      <w:pPr>
        <w:outlineLvl w:val="0"/>
        <w:rPr>
          <w:rFonts w:ascii="宋体" w:hAnsi="宋体" w:eastAsia="宋体"/>
          <w:b/>
          <w:color w:val="auto"/>
          <w:sz w:val="28"/>
          <w:szCs w:val="32"/>
          <w:highlight w:val="none"/>
        </w:rPr>
      </w:pPr>
      <w:bookmarkStart w:id="84" w:name="_Toc26836"/>
      <w:bookmarkStart w:id="85" w:name="_Toc9754"/>
      <w:r>
        <w:rPr>
          <w:rFonts w:hint="eastAsia" w:ascii="宋体" w:hAnsi="宋体" w:eastAsia="宋体"/>
          <w:b/>
          <w:color w:val="auto"/>
          <w:sz w:val="28"/>
          <w:szCs w:val="32"/>
          <w:highlight w:val="none"/>
        </w:rPr>
        <w:t>质疑函制作说明：</w:t>
      </w:r>
      <w:bookmarkEnd w:id="84"/>
      <w:bookmarkEnd w:id="85"/>
    </w:p>
    <w:p w14:paraId="33410B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2B7753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3423B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390160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63F8A6E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051522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7BC03ADE"/>
    <w:p w14:paraId="48B90492"/>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B1BEA">
    <w:pPr>
      <w:pStyle w:val="17"/>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BD4C2">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FB3341B">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7FB3341B">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99C7">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F600D8F">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5F600D8F">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5DF09">
    <w:pPr>
      <w:pStyle w:val="18"/>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49B76">
    <w:pPr>
      <w:pStyle w:val="18"/>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3E0F">
    <w:pPr>
      <w:pStyle w:val="18"/>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000B9"/>
    <w:multiLevelType w:val="singleLevel"/>
    <w:tmpl w:val="D2B000B9"/>
    <w:lvl w:ilvl="0" w:tentative="0">
      <w:start w:val="1"/>
      <w:numFmt w:val="decimal"/>
      <w:suff w:val="nothing"/>
      <w:lvlText w:val="（%1）"/>
      <w:lvlJc w:val="left"/>
    </w:lvl>
  </w:abstractNum>
  <w:abstractNum w:abstractNumId="1">
    <w:nsid w:val="00000000"/>
    <w:multiLevelType w:val="singleLevel"/>
    <w:tmpl w:val="00000000"/>
    <w:lvl w:ilvl="0" w:tentative="0">
      <w:start w:val="16"/>
      <w:numFmt w:val="decimal"/>
      <w:suff w:val="space"/>
      <w:lvlText w:val="%1."/>
      <w:lvlJc w:val="left"/>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2"/>
    <w:multiLevelType w:val="singleLevel"/>
    <w:tmpl w:val="00000002"/>
    <w:lvl w:ilvl="0" w:tentative="0">
      <w:start w:val="6"/>
      <w:numFmt w:val="decimal"/>
      <w:suff w:val="space"/>
      <w:lvlText w:val="%1."/>
      <w:lvlJc w:val="left"/>
    </w:lvl>
  </w:abstractNum>
  <w:abstractNum w:abstractNumId="4">
    <w:nsid w:val="00000003"/>
    <w:multiLevelType w:val="singleLevel"/>
    <w:tmpl w:val="00000003"/>
    <w:lvl w:ilvl="0" w:tentative="0">
      <w:start w:val="2"/>
      <w:numFmt w:val="decimal"/>
      <w:suff w:val="space"/>
      <w:lvlText w:val="%1."/>
      <w:lvlJc w:val="left"/>
    </w:lvl>
  </w:abstractNum>
  <w:abstractNum w:abstractNumId="5">
    <w:nsid w:val="00000004"/>
    <w:multiLevelType w:val="singleLevel"/>
    <w:tmpl w:val="00000004"/>
    <w:lvl w:ilvl="0" w:tentative="0">
      <w:start w:val="23"/>
      <w:numFmt w:val="decimal"/>
      <w:suff w:val="space"/>
      <w:lvlText w:val="%1."/>
      <w:lvlJc w:val="left"/>
    </w:lvl>
  </w:abstractNum>
  <w:abstractNum w:abstractNumId="6">
    <w:nsid w:val="00000005"/>
    <w:multiLevelType w:val="singleLevel"/>
    <w:tmpl w:val="00000005"/>
    <w:lvl w:ilvl="0" w:tentative="0">
      <w:start w:val="1"/>
      <w:numFmt w:val="decimal"/>
      <w:suff w:val="nothing"/>
      <w:lvlText w:val="（%1）"/>
      <w:lvlJc w:val="left"/>
    </w:lvl>
  </w:abstractNum>
  <w:abstractNum w:abstractNumId="7">
    <w:nsid w:val="00000006"/>
    <w:multiLevelType w:val="singleLevel"/>
    <w:tmpl w:val="00000006"/>
    <w:lvl w:ilvl="0" w:tentative="0">
      <w:start w:val="1"/>
      <w:numFmt w:val="decimal"/>
      <w:suff w:val="space"/>
      <w:lvlText w:val="%1."/>
      <w:lvlJc w:val="left"/>
    </w:lvl>
  </w:abstractNum>
  <w:num w:numId="1">
    <w:abstractNumId w:val="7"/>
  </w:num>
  <w:num w:numId="2">
    <w:abstractNumId w:val="2"/>
  </w:num>
  <w:num w:numId="3">
    <w:abstractNumId w:val="6"/>
  </w:num>
  <w:num w:numId="4">
    <w:abstractNumId w:val="4"/>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172A27"/>
    <w:rsid w:val="00092AE4"/>
    <w:rsid w:val="00135135"/>
    <w:rsid w:val="0180098F"/>
    <w:rsid w:val="01B3556A"/>
    <w:rsid w:val="01E25ABE"/>
    <w:rsid w:val="01E925F2"/>
    <w:rsid w:val="025E7D96"/>
    <w:rsid w:val="02686F3C"/>
    <w:rsid w:val="03077138"/>
    <w:rsid w:val="034877EC"/>
    <w:rsid w:val="034D095E"/>
    <w:rsid w:val="03A82CAD"/>
    <w:rsid w:val="03DF1EFE"/>
    <w:rsid w:val="04275653"/>
    <w:rsid w:val="04B50EB1"/>
    <w:rsid w:val="04DA2664"/>
    <w:rsid w:val="05377B18"/>
    <w:rsid w:val="05597A8E"/>
    <w:rsid w:val="05882122"/>
    <w:rsid w:val="05A6031B"/>
    <w:rsid w:val="05AA02EA"/>
    <w:rsid w:val="05B227CB"/>
    <w:rsid w:val="05DA343D"/>
    <w:rsid w:val="064B4CFE"/>
    <w:rsid w:val="06606BFB"/>
    <w:rsid w:val="06846D8D"/>
    <w:rsid w:val="06DC0977"/>
    <w:rsid w:val="076822F3"/>
    <w:rsid w:val="08297BEC"/>
    <w:rsid w:val="08387FA9"/>
    <w:rsid w:val="0870581B"/>
    <w:rsid w:val="08FD4BD5"/>
    <w:rsid w:val="093305F6"/>
    <w:rsid w:val="094E3682"/>
    <w:rsid w:val="096E162E"/>
    <w:rsid w:val="0983678C"/>
    <w:rsid w:val="0A430D0D"/>
    <w:rsid w:val="0A5E78F5"/>
    <w:rsid w:val="0A6749FB"/>
    <w:rsid w:val="0A79472F"/>
    <w:rsid w:val="0A9E0C56"/>
    <w:rsid w:val="0AB45767"/>
    <w:rsid w:val="0AC736EC"/>
    <w:rsid w:val="0B310B66"/>
    <w:rsid w:val="0BF436E1"/>
    <w:rsid w:val="0BFE1B0E"/>
    <w:rsid w:val="0BFE313E"/>
    <w:rsid w:val="0C1C1816"/>
    <w:rsid w:val="0C5B0590"/>
    <w:rsid w:val="0C9E222B"/>
    <w:rsid w:val="0CEE6D0E"/>
    <w:rsid w:val="0CF54541"/>
    <w:rsid w:val="0D076022"/>
    <w:rsid w:val="0D5A0848"/>
    <w:rsid w:val="0D870F11"/>
    <w:rsid w:val="0DFA5B87"/>
    <w:rsid w:val="0E0A401C"/>
    <w:rsid w:val="0E8F2773"/>
    <w:rsid w:val="0E9315ED"/>
    <w:rsid w:val="0EA31D7A"/>
    <w:rsid w:val="0ED91C40"/>
    <w:rsid w:val="0F9D2C6D"/>
    <w:rsid w:val="0FBA381F"/>
    <w:rsid w:val="0FFA3C1C"/>
    <w:rsid w:val="10026281"/>
    <w:rsid w:val="10207B26"/>
    <w:rsid w:val="10BB33AB"/>
    <w:rsid w:val="10E6007E"/>
    <w:rsid w:val="11785740"/>
    <w:rsid w:val="11B524F0"/>
    <w:rsid w:val="11DF756D"/>
    <w:rsid w:val="121F796A"/>
    <w:rsid w:val="12527D3F"/>
    <w:rsid w:val="128232CE"/>
    <w:rsid w:val="129621B1"/>
    <w:rsid w:val="12A12A75"/>
    <w:rsid w:val="12A72B1B"/>
    <w:rsid w:val="12AC38F3"/>
    <w:rsid w:val="130A061A"/>
    <w:rsid w:val="13207E3D"/>
    <w:rsid w:val="133E6515"/>
    <w:rsid w:val="13693592"/>
    <w:rsid w:val="13E316E0"/>
    <w:rsid w:val="13ED41C3"/>
    <w:rsid w:val="1422388F"/>
    <w:rsid w:val="142E658A"/>
    <w:rsid w:val="1437543F"/>
    <w:rsid w:val="14A64372"/>
    <w:rsid w:val="14D67581"/>
    <w:rsid w:val="14ED3D4F"/>
    <w:rsid w:val="158E72E0"/>
    <w:rsid w:val="15EC4007"/>
    <w:rsid w:val="1602382A"/>
    <w:rsid w:val="160C28FB"/>
    <w:rsid w:val="161146EA"/>
    <w:rsid w:val="164F5AF3"/>
    <w:rsid w:val="16685D83"/>
    <w:rsid w:val="17285513"/>
    <w:rsid w:val="172B6DB1"/>
    <w:rsid w:val="17435EA8"/>
    <w:rsid w:val="17B80644"/>
    <w:rsid w:val="17E4768B"/>
    <w:rsid w:val="18506ACF"/>
    <w:rsid w:val="185B5474"/>
    <w:rsid w:val="18814EDA"/>
    <w:rsid w:val="189C5D78"/>
    <w:rsid w:val="18DA7278"/>
    <w:rsid w:val="190C483A"/>
    <w:rsid w:val="192D284D"/>
    <w:rsid w:val="1945415A"/>
    <w:rsid w:val="194A5652"/>
    <w:rsid w:val="195425EF"/>
    <w:rsid w:val="19BD0194"/>
    <w:rsid w:val="1A8D5817"/>
    <w:rsid w:val="1AAE4346"/>
    <w:rsid w:val="1AF851FC"/>
    <w:rsid w:val="1B4D379A"/>
    <w:rsid w:val="1B933CF4"/>
    <w:rsid w:val="1BAD248A"/>
    <w:rsid w:val="1BC21F3A"/>
    <w:rsid w:val="1BE17132"/>
    <w:rsid w:val="1C1E610B"/>
    <w:rsid w:val="1C8A6328"/>
    <w:rsid w:val="1C9F6277"/>
    <w:rsid w:val="1CB810E7"/>
    <w:rsid w:val="1D3D7B17"/>
    <w:rsid w:val="1D4B1E70"/>
    <w:rsid w:val="1D7C0366"/>
    <w:rsid w:val="1DE101C9"/>
    <w:rsid w:val="1E081BFA"/>
    <w:rsid w:val="1E7554E1"/>
    <w:rsid w:val="1EC024D4"/>
    <w:rsid w:val="1F1771BC"/>
    <w:rsid w:val="1FDA1374"/>
    <w:rsid w:val="204E5EB7"/>
    <w:rsid w:val="20586E69"/>
    <w:rsid w:val="20E63CC8"/>
    <w:rsid w:val="21374CD0"/>
    <w:rsid w:val="22066450"/>
    <w:rsid w:val="22272617"/>
    <w:rsid w:val="22596EC8"/>
    <w:rsid w:val="22833F45"/>
    <w:rsid w:val="22A5210D"/>
    <w:rsid w:val="22E545B0"/>
    <w:rsid w:val="22EC1AEA"/>
    <w:rsid w:val="2302130E"/>
    <w:rsid w:val="23360FB7"/>
    <w:rsid w:val="233A2855"/>
    <w:rsid w:val="234353D1"/>
    <w:rsid w:val="23D9610A"/>
    <w:rsid w:val="23E568B3"/>
    <w:rsid w:val="24013373"/>
    <w:rsid w:val="247B1377"/>
    <w:rsid w:val="24E011DB"/>
    <w:rsid w:val="252B16E4"/>
    <w:rsid w:val="25302162"/>
    <w:rsid w:val="257007B0"/>
    <w:rsid w:val="2593624D"/>
    <w:rsid w:val="25A8619C"/>
    <w:rsid w:val="25FE400E"/>
    <w:rsid w:val="26AA02F7"/>
    <w:rsid w:val="26B10373"/>
    <w:rsid w:val="27225ADA"/>
    <w:rsid w:val="27AB1F74"/>
    <w:rsid w:val="27DC6D7C"/>
    <w:rsid w:val="27FF4722"/>
    <w:rsid w:val="280A6664"/>
    <w:rsid w:val="2883374E"/>
    <w:rsid w:val="28CD4903"/>
    <w:rsid w:val="290A4A78"/>
    <w:rsid w:val="29663529"/>
    <w:rsid w:val="297B3BC8"/>
    <w:rsid w:val="2987431B"/>
    <w:rsid w:val="2A7A3E7F"/>
    <w:rsid w:val="2B2500DD"/>
    <w:rsid w:val="2BC929C8"/>
    <w:rsid w:val="2BCB321D"/>
    <w:rsid w:val="2BD33847"/>
    <w:rsid w:val="2C894F11"/>
    <w:rsid w:val="2CB74F17"/>
    <w:rsid w:val="2D1C121E"/>
    <w:rsid w:val="2D35295B"/>
    <w:rsid w:val="2DC0604D"/>
    <w:rsid w:val="2E50117F"/>
    <w:rsid w:val="2E8B0409"/>
    <w:rsid w:val="2EB060C2"/>
    <w:rsid w:val="2EF37D5C"/>
    <w:rsid w:val="2F43069B"/>
    <w:rsid w:val="2F882B9B"/>
    <w:rsid w:val="2F9334A5"/>
    <w:rsid w:val="2FCB375B"/>
    <w:rsid w:val="2FCC6F2B"/>
    <w:rsid w:val="30314FE0"/>
    <w:rsid w:val="30442B30"/>
    <w:rsid w:val="30B874AF"/>
    <w:rsid w:val="311A0999"/>
    <w:rsid w:val="31344D88"/>
    <w:rsid w:val="315301E3"/>
    <w:rsid w:val="319475D5"/>
    <w:rsid w:val="31C87F98"/>
    <w:rsid w:val="320578B6"/>
    <w:rsid w:val="320E382B"/>
    <w:rsid w:val="325A6415"/>
    <w:rsid w:val="326351F9"/>
    <w:rsid w:val="32A95302"/>
    <w:rsid w:val="32F040AA"/>
    <w:rsid w:val="32F12805"/>
    <w:rsid w:val="32F96543"/>
    <w:rsid w:val="330B4429"/>
    <w:rsid w:val="3381002D"/>
    <w:rsid w:val="33A37FA3"/>
    <w:rsid w:val="33CB5089"/>
    <w:rsid w:val="3417273F"/>
    <w:rsid w:val="341F137F"/>
    <w:rsid w:val="3463365C"/>
    <w:rsid w:val="34AA6624"/>
    <w:rsid w:val="34B00F04"/>
    <w:rsid w:val="350902DA"/>
    <w:rsid w:val="35B538E8"/>
    <w:rsid w:val="35CF31EE"/>
    <w:rsid w:val="37147EBE"/>
    <w:rsid w:val="37695060"/>
    <w:rsid w:val="388D19F8"/>
    <w:rsid w:val="38B874ED"/>
    <w:rsid w:val="38CC3AF8"/>
    <w:rsid w:val="39094D4C"/>
    <w:rsid w:val="39334707"/>
    <w:rsid w:val="3971469F"/>
    <w:rsid w:val="39A95BE7"/>
    <w:rsid w:val="39B0341A"/>
    <w:rsid w:val="39BD0A5B"/>
    <w:rsid w:val="3A074661"/>
    <w:rsid w:val="3A881CA1"/>
    <w:rsid w:val="3AE25855"/>
    <w:rsid w:val="3B00217F"/>
    <w:rsid w:val="3B561D9F"/>
    <w:rsid w:val="3B5B7B12"/>
    <w:rsid w:val="3B7010B2"/>
    <w:rsid w:val="3B8B3D12"/>
    <w:rsid w:val="3B9A7EDD"/>
    <w:rsid w:val="3BD50179"/>
    <w:rsid w:val="3C033CD5"/>
    <w:rsid w:val="3C0E4427"/>
    <w:rsid w:val="3C17152E"/>
    <w:rsid w:val="3C3E2F5F"/>
    <w:rsid w:val="3D05582A"/>
    <w:rsid w:val="3D202664"/>
    <w:rsid w:val="3D264775"/>
    <w:rsid w:val="3D933161"/>
    <w:rsid w:val="3E497999"/>
    <w:rsid w:val="3E5E3444"/>
    <w:rsid w:val="3E900306"/>
    <w:rsid w:val="3EB66F78"/>
    <w:rsid w:val="3F0D6C18"/>
    <w:rsid w:val="3F161F71"/>
    <w:rsid w:val="3F3D42AB"/>
    <w:rsid w:val="3F5E56C6"/>
    <w:rsid w:val="3F8A0269"/>
    <w:rsid w:val="3F9F1F66"/>
    <w:rsid w:val="3FD37E62"/>
    <w:rsid w:val="406D3E12"/>
    <w:rsid w:val="41462BC1"/>
    <w:rsid w:val="41846EB2"/>
    <w:rsid w:val="41913B31"/>
    <w:rsid w:val="419E3311"/>
    <w:rsid w:val="421E223B"/>
    <w:rsid w:val="426B1F2F"/>
    <w:rsid w:val="42AA2522"/>
    <w:rsid w:val="43655275"/>
    <w:rsid w:val="43784FA8"/>
    <w:rsid w:val="43903CDF"/>
    <w:rsid w:val="443864E5"/>
    <w:rsid w:val="44615A3C"/>
    <w:rsid w:val="452F5B3A"/>
    <w:rsid w:val="45455285"/>
    <w:rsid w:val="457B0D80"/>
    <w:rsid w:val="45A57BAB"/>
    <w:rsid w:val="45C2075D"/>
    <w:rsid w:val="45CA5863"/>
    <w:rsid w:val="460912BA"/>
    <w:rsid w:val="46297A13"/>
    <w:rsid w:val="46E55481"/>
    <w:rsid w:val="4723522B"/>
    <w:rsid w:val="473C453F"/>
    <w:rsid w:val="489857A5"/>
    <w:rsid w:val="489932CB"/>
    <w:rsid w:val="48AB5A85"/>
    <w:rsid w:val="48C12F4D"/>
    <w:rsid w:val="48E94BB7"/>
    <w:rsid w:val="499B0F49"/>
    <w:rsid w:val="49BC54C3"/>
    <w:rsid w:val="49E538D1"/>
    <w:rsid w:val="4A2F2482"/>
    <w:rsid w:val="4AF3565B"/>
    <w:rsid w:val="4B076EEB"/>
    <w:rsid w:val="4B4C0B1A"/>
    <w:rsid w:val="4B964046"/>
    <w:rsid w:val="4BB016BF"/>
    <w:rsid w:val="4C2B0BB7"/>
    <w:rsid w:val="4C4023DB"/>
    <w:rsid w:val="4CBB5F06"/>
    <w:rsid w:val="4CE03BBE"/>
    <w:rsid w:val="4D573E80"/>
    <w:rsid w:val="4D7049C3"/>
    <w:rsid w:val="4DD7388E"/>
    <w:rsid w:val="4E157897"/>
    <w:rsid w:val="4E52289A"/>
    <w:rsid w:val="4E5877A0"/>
    <w:rsid w:val="4E604FB7"/>
    <w:rsid w:val="4EFB4CDF"/>
    <w:rsid w:val="4F786330"/>
    <w:rsid w:val="4F842056"/>
    <w:rsid w:val="4FE47521"/>
    <w:rsid w:val="50E023DF"/>
    <w:rsid w:val="50E579F5"/>
    <w:rsid w:val="510065DD"/>
    <w:rsid w:val="51053BF3"/>
    <w:rsid w:val="511C6E87"/>
    <w:rsid w:val="51284CD2"/>
    <w:rsid w:val="514209A3"/>
    <w:rsid w:val="519F142B"/>
    <w:rsid w:val="51A82AC2"/>
    <w:rsid w:val="51E57C49"/>
    <w:rsid w:val="520E2096"/>
    <w:rsid w:val="526D2AE1"/>
    <w:rsid w:val="52D61080"/>
    <w:rsid w:val="52EF06B7"/>
    <w:rsid w:val="52FC2DD4"/>
    <w:rsid w:val="530B18F6"/>
    <w:rsid w:val="543260AD"/>
    <w:rsid w:val="545B7804"/>
    <w:rsid w:val="54857525"/>
    <w:rsid w:val="54B75204"/>
    <w:rsid w:val="54F57D75"/>
    <w:rsid w:val="55020B76"/>
    <w:rsid w:val="55197C6D"/>
    <w:rsid w:val="55313209"/>
    <w:rsid w:val="554F2432"/>
    <w:rsid w:val="55556B89"/>
    <w:rsid w:val="55872E29"/>
    <w:rsid w:val="55B55BE8"/>
    <w:rsid w:val="55C45E2B"/>
    <w:rsid w:val="55F33CC5"/>
    <w:rsid w:val="56075D18"/>
    <w:rsid w:val="565020BD"/>
    <w:rsid w:val="56837A94"/>
    <w:rsid w:val="56A47A0A"/>
    <w:rsid w:val="56AA5540"/>
    <w:rsid w:val="56BA722E"/>
    <w:rsid w:val="577A1924"/>
    <w:rsid w:val="57945CD1"/>
    <w:rsid w:val="57B11E20"/>
    <w:rsid w:val="57B36733"/>
    <w:rsid w:val="5853793A"/>
    <w:rsid w:val="585F6F22"/>
    <w:rsid w:val="58CD434A"/>
    <w:rsid w:val="58FC1D80"/>
    <w:rsid w:val="59896639"/>
    <w:rsid w:val="599B6DB6"/>
    <w:rsid w:val="5A327942"/>
    <w:rsid w:val="5A8738CB"/>
    <w:rsid w:val="5ADD173D"/>
    <w:rsid w:val="5B286E5C"/>
    <w:rsid w:val="5BE32D83"/>
    <w:rsid w:val="5BF76B9A"/>
    <w:rsid w:val="5C441A74"/>
    <w:rsid w:val="5C45759A"/>
    <w:rsid w:val="5CA93FCD"/>
    <w:rsid w:val="5CED210B"/>
    <w:rsid w:val="5CFE60C6"/>
    <w:rsid w:val="5D047455"/>
    <w:rsid w:val="5D0A075D"/>
    <w:rsid w:val="5D1E09AC"/>
    <w:rsid w:val="5D9E6F62"/>
    <w:rsid w:val="5DC56BE4"/>
    <w:rsid w:val="5DCC7F73"/>
    <w:rsid w:val="5E08087F"/>
    <w:rsid w:val="5E091947"/>
    <w:rsid w:val="5E203E1A"/>
    <w:rsid w:val="5F7268F8"/>
    <w:rsid w:val="5F773F0E"/>
    <w:rsid w:val="5F9C3975"/>
    <w:rsid w:val="5FCD3B2E"/>
    <w:rsid w:val="5FE570CA"/>
    <w:rsid w:val="5FF2089A"/>
    <w:rsid w:val="60373C42"/>
    <w:rsid w:val="60694A74"/>
    <w:rsid w:val="607466A0"/>
    <w:rsid w:val="60813C60"/>
    <w:rsid w:val="60A70823"/>
    <w:rsid w:val="60DA0BF8"/>
    <w:rsid w:val="60F90953"/>
    <w:rsid w:val="60FA51E3"/>
    <w:rsid w:val="6111492D"/>
    <w:rsid w:val="611539DF"/>
    <w:rsid w:val="617A5F38"/>
    <w:rsid w:val="61D46475"/>
    <w:rsid w:val="62402CDD"/>
    <w:rsid w:val="624432E1"/>
    <w:rsid w:val="629152E7"/>
    <w:rsid w:val="62976675"/>
    <w:rsid w:val="629E0205"/>
    <w:rsid w:val="62EA2C49"/>
    <w:rsid w:val="62ED5038"/>
    <w:rsid w:val="63387E58"/>
    <w:rsid w:val="63770981"/>
    <w:rsid w:val="638E799C"/>
    <w:rsid w:val="63957059"/>
    <w:rsid w:val="63B14A74"/>
    <w:rsid w:val="6445282D"/>
    <w:rsid w:val="646F2D60"/>
    <w:rsid w:val="64A137DB"/>
    <w:rsid w:val="64F16511"/>
    <w:rsid w:val="656A02C9"/>
    <w:rsid w:val="65C6174B"/>
    <w:rsid w:val="66106E6A"/>
    <w:rsid w:val="663E7D2D"/>
    <w:rsid w:val="66AA4BC9"/>
    <w:rsid w:val="66C20165"/>
    <w:rsid w:val="67A27F96"/>
    <w:rsid w:val="67CE6F5C"/>
    <w:rsid w:val="6813679E"/>
    <w:rsid w:val="685B7E50"/>
    <w:rsid w:val="68662D72"/>
    <w:rsid w:val="68FE11FC"/>
    <w:rsid w:val="693D7F76"/>
    <w:rsid w:val="698A2A90"/>
    <w:rsid w:val="69935DE8"/>
    <w:rsid w:val="69DA1D9A"/>
    <w:rsid w:val="69FF790C"/>
    <w:rsid w:val="6A4175F2"/>
    <w:rsid w:val="6A7B2ACF"/>
    <w:rsid w:val="6AC717A6"/>
    <w:rsid w:val="6AF74155"/>
    <w:rsid w:val="6BE75F78"/>
    <w:rsid w:val="6D316241"/>
    <w:rsid w:val="6D7101EF"/>
    <w:rsid w:val="6E565636"/>
    <w:rsid w:val="6EA6036C"/>
    <w:rsid w:val="6EB03039"/>
    <w:rsid w:val="6EB44436"/>
    <w:rsid w:val="6EE175F6"/>
    <w:rsid w:val="6EE3336E"/>
    <w:rsid w:val="6F0155A2"/>
    <w:rsid w:val="6F607BC9"/>
    <w:rsid w:val="6F6607E6"/>
    <w:rsid w:val="6F8F7052"/>
    <w:rsid w:val="6FBE3493"/>
    <w:rsid w:val="6FCD12F8"/>
    <w:rsid w:val="6FD1766A"/>
    <w:rsid w:val="6FDB4045"/>
    <w:rsid w:val="700E68D0"/>
    <w:rsid w:val="70412B49"/>
    <w:rsid w:val="70EB650A"/>
    <w:rsid w:val="71ED1E0E"/>
    <w:rsid w:val="722E00BF"/>
    <w:rsid w:val="723D2D95"/>
    <w:rsid w:val="72C74D55"/>
    <w:rsid w:val="73216213"/>
    <w:rsid w:val="734B7734"/>
    <w:rsid w:val="73C52B0E"/>
    <w:rsid w:val="73E3796C"/>
    <w:rsid w:val="73E7745D"/>
    <w:rsid w:val="73EF00BF"/>
    <w:rsid w:val="74485A21"/>
    <w:rsid w:val="746740F9"/>
    <w:rsid w:val="75105270"/>
    <w:rsid w:val="7554492F"/>
    <w:rsid w:val="756B5E6B"/>
    <w:rsid w:val="75F45E61"/>
    <w:rsid w:val="765D3A06"/>
    <w:rsid w:val="766E0BFE"/>
    <w:rsid w:val="7686785D"/>
    <w:rsid w:val="76DD5829"/>
    <w:rsid w:val="77690189"/>
    <w:rsid w:val="77AF64E3"/>
    <w:rsid w:val="78250553"/>
    <w:rsid w:val="78393FFF"/>
    <w:rsid w:val="786365E0"/>
    <w:rsid w:val="78A21D8D"/>
    <w:rsid w:val="78AE3973"/>
    <w:rsid w:val="791F31F5"/>
    <w:rsid w:val="79951709"/>
    <w:rsid w:val="79CD2C51"/>
    <w:rsid w:val="79FC1788"/>
    <w:rsid w:val="7A4D1FE3"/>
    <w:rsid w:val="7A7C39B1"/>
    <w:rsid w:val="7AA26AD8"/>
    <w:rsid w:val="7ACA7190"/>
    <w:rsid w:val="7B8330AA"/>
    <w:rsid w:val="7B914152"/>
    <w:rsid w:val="7BB05D2A"/>
    <w:rsid w:val="7BDD1298"/>
    <w:rsid w:val="7BFC5A6F"/>
    <w:rsid w:val="7C0C265A"/>
    <w:rsid w:val="7C270A0F"/>
    <w:rsid w:val="7C45096D"/>
    <w:rsid w:val="7C490589"/>
    <w:rsid w:val="7C52568F"/>
    <w:rsid w:val="7C5C650E"/>
    <w:rsid w:val="7C9E08D4"/>
    <w:rsid w:val="7CB974BC"/>
    <w:rsid w:val="7CEF2EDE"/>
    <w:rsid w:val="7D2D1C58"/>
    <w:rsid w:val="7DC154DE"/>
    <w:rsid w:val="7DD141C0"/>
    <w:rsid w:val="7DDC134B"/>
    <w:rsid w:val="7E17093E"/>
    <w:rsid w:val="7E8F2A06"/>
    <w:rsid w:val="7E9B156F"/>
    <w:rsid w:val="7ECB1729"/>
    <w:rsid w:val="7EE342FA"/>
    <w:rsid w:val="7F1E5CFC"/>
    <w:rsid w:val="7F3B0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8"/>
    <w:qFormat/>
    <w:uiPriority w:val="0"/>
    <w:pPr>
      <w:jc w:val="left"/>
    </w:pPr>
    <w:rPr>
      <w:rFonts w:ascii="Arial" w:hAnsi="Arial" w:eastAsia="黑体" w:cs="Arial"/>
    </w:rPr>
  </w:style>
  <w:style w:type="paragraph" w:styleId="9">
    <w:name w:val="Body Text"/>
    <w:basedOn w:val="1"/>
    <w:next w:val="1"/>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8"/>
    <w:qFormat/>
    <w:uiPriority w:val="99"/>
    <w:rPr>
      <w:rFonts w:ascii="宋体" w:hAnsi="Courier New" w:eastAsia="宋体" w:cs="宋体"/>
      <w:szCs w:val="22"/>
    </w:rPr>
  </w:style>
  <w:style w:type="paragraph" w:styleId="15">
    <w:name w:val="Date"/>
    <w:basedOn w:val="1"/>
    <w:next w:val="1"/>
    <w:link w:val="45"/>
    <w:qFormat/>
    <w:uiPriority w:val="0"/>
    <w:rPr>
      <w:rFonts w:ascii="Arial" w:hAnsi="Arial" w:eastAsia="宋体" w:cs="Arial"/>
      <w:b/>
      <w:sz w:val="28"/>
    </w:rPr>
  </w:style>
  <w:style w:type="paragraph" w:styleId="16">
    <w:name w:val="Balloon Text"/>
    <w:basedOn w:val="1"/>
    <w:link w:val="32"/>
    <w:qFormat/>
    <w:uiPriority w:val="99"/>
    <w:rPr>
      <w:sz w:val="18"/>
      <w:szCs w:val="18"/>
    </w:rPr>
  </w:style>
  <w:style w:type="paragraph" w:styleId="17">
    <w:name w:val="footer"/>
    <w:basedOn w:val="1"/>
    <w:link w:val="37"/>
    <w:qFormat/>
    <w:uiPriority w:val="99"/>
    <w:pPr>
      <w:tabs>
        <w:tab w:val="center" w:pos="4153"/>
        <w:tab w:val="right" w:pos="8306"/>
      </w:tabs>
      <w:snapToGrid w:val="0"/>
      <w:jc w:val="left"/>
    </w:pPr>
    <w:rPr>
      <w:sz w:val="18"/>
      <w:szCs w:val="18"/>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next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59"/>
    <w:qFormat/>
    <w:uiPriority w:val="99"/>
    <w:rPr>
      <w:rFonts w:ascii="@仿宋_GB2312" w:hAnsi="@仿宋_GB2312" w:eastAsia="@仿宋_GB2312" w:cs="@仿宋_GB2312"/>
      <w:b/>
      <w:bCs/>
    </w:rPr>
  </w:style>
  <w:style w:type="paragraph" w:styleId="24">
    <w:name w:val="Body Text First Indent"/>
    <w:basedOn w:val="9"/>
    <w:qFormat/>
    <w:uiPriority w:val="99"/>
    <w:pPr>
      <w:ind w:firstLine="420" w:firstLineChars="100"/>
    </w:pPr>
  </w:style>
  <w:style w:type="paragraph" w:styleId="25">
    <w:name w:val="Body Text First Indent 2"/>
    <w:next w:val="12"/>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6"/>
    <w:qFormat/>
    <w:uiPriority w:val="99"/>
    <w:rPr>
      <w:rFonts w:ascii="@仿宋_GB2312" w:hAnsi="@仿宋_GB2312" w:eastAsia="@仿宋_GB2312" w:cs="@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8"/>
    <w:qFormat/>
    <w:uiPriority w:val="99"/>
    <w:rPr>
      <w:rFonts w:ascii="@仿宋_GB2312" w:hAnsi="@仿宋_GB2312" w:eastAsia="@仿宋_GB2312" w:cs="@仿宋_GB2312"/>
      <w:sz w:val="18"/>
      <w:szCs w:val="18"/>
    </w:rPr>
  </w:style>
  <w:style w:type="character" w:customStyle="1" w:styleId="37">
    <w:name w:val="页脚 Char"/>
    <w:basedOn w:val="28"/>
    <w:link w:val="17"/>
    <w:qFormat/>
    <w:uiPriority w:val="99"/>
    <w:rPr>
      <w:rFonts w:ascii="@仿宋_GB2312" w:hAnsi="@仿宋_GB2312" w:eastAsia="@仿宋_GB2312" w:cs="@仿宋_GB2312"/>
      <w:sz w:val="18"/>
      <w:szCs w:val="18"/>
    </w:rPr>
  </w:style>
  <w:style w:type="character" w:customStyle="1" w:styleId="38">
    <w:name w:val="纯文本 Char"/>
    <w:link w:val="14"/>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仿宋_GB2312" w:hAnsi="@仿宋_GB2312" w:eastAsia="@仿宋_GB2312" w:cs="@仿宋_GB2312"/>
      <w:szCs w:val="20"/>
    </w:rPr>
  </w:style>
  <w:style w:type="character" w:customStyle="1" w:styleId="45">
    <w:name w:val="日期 Char"/>
    <w:link w:val="15"/>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仿宋_GB2312" w:hAnsi="@仿宋_GB2312" w:eastAsia="@仿宋_GB2312" w:cs="@仿宋_GB2312"/>
      <w:szCs w:val="20"/>
    </w:rPr>
  </w:style>
  <w:style w:type="character" w:customStyle="1" w:styleId="48">
    <w:name w:val="批注文字 Char1"/>
    <w:link w:val="8"/>
    <w:qFormat/>
    <w:uiPriority w:val="0"/>
    <w:rPr>
      <w:rFonts w:ascii="Arial" w:hAnsi="Arial" w:eastAsia="黑体" w:cs="Arial"/>
      <w:szCs w:val="20"/>
    </w:rPr>
  </w:style>
  <w:style w:type="character" w:customStyle="1" w:styleId="49">
    <w:name w:val="标题 1 Char"/>
    <w:basedOn w:val="28"/>
    <w:link w:val="2"/>
    <w:qFormat/>
    <w:uiPriority w:val="9"/>
    <w:rPr>
      <w:rFonts w:ascii="@仿宋_GB2312" w:hAnsi="@仿宋_GB2312" w:eastAsia="@仿宋_GB2312" w:cs="@仿宋_GB2312"/>
      <w:b/>
      <w:bCs/>
      <w:kern w:val="44"/>
      <w:sz w:val="44"/>
      <w:szCs w:val="44"/>
    </w:rPr>
  </w:style>
  <w:style w:type="paragraph" w:customStyle="1" w:styleId="50">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4"/>
    <w:qFormat/>
    <w:uiPriority w:val="9"/>
    <w:rPr>
      <w:rFonts w:ascii="@仿宋_GB2312" w:hAnsi="@仿宋_GB2312" w:eastAsia="@仿宋_GB2312" w:cs="@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imesNewRomanPSMT" w:hAnsi="TimesNewRomanPSMT"/>
      <w:color w:val="000000"/>
      <w:sz w:val="22"/>
      <w:szCs w:val="22"/>
    </w:rPr>
  </w:style>
  <w:style w:type="character" w:customStyle="1" w:styleId="5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5"/>
    <w:qFormat/>
    <w:uiPriority w:val="0"/>
    <w:rPr>
      <w:rFonts w:ascii="@仿宋_GB2312" w:hAnsi="@仿宋_GB2312" w:eastAsia="@仿宋_GB2312" w:cs="@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3"/>
    <w:qFormat/>
    <w:uiPriority w:val="99"/>
    <w:rPr>
      <w:rFonts w:ascii="@仿宋_GB2312" w:hAnsi="@仿宋_GB2312" w:eastAsia="@仿宋_GB2312" w:cs="@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65</Pages>
  <Words>4592</Words>
  <Characters>4904</Characters>
  <Lines>1</Lines>
  <Paragraphs>1</Paragraphs>
  <TotalTime>0</TotalTime>
  <ScaleCrop>false</ScaleCrop>
  <LinksUpToDate>false</LinksUpToDate>
  <CharactersWithSpaces>5146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2025-03-04T09:30:29Z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FA78B348D0634C198F0991A1E73DFD89_13</vt:lpwstr>
  </property>
  <property fmtid="{D5CDD505-2E9C-101B-9397-08002B2CF9AE}" pid="4" name="KSOTemplateDocerSaveRecord">
    <vt:lpwstr>eyJoZGlkIjoiZTQ5YWVjYzdjODE0ZmFhYmI4YTYxNDIwMDkxYjkzMjMiLCJ1c2VySWQiOiIzNzgzMjE3NjkifQ==</vt:lpwstr>
  </property>
</Properties>
</file>