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bookmarkStart w:id="83" w:name="_GoBack"/>
      <w:bookmarkEnd w:id="83"/>
      <w:bookmarkStart w:id="0" w:name="_Hlk9544796"/>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安徽省政府采购项目</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公开招标文件示范文本</w:t>
      </w:r>
      <w:bookmarkEnd w:id="0"/>
      <w:r>
        <w:rPr>
          <w:rFonts w:hint="eastAsia" w:ascii="宋体" w:hAnsi="宋体" w:eastAsia="宋体"/>
          <w:b/>
          <w:bCs/>
          <w:color w:val="000000" w:themeColor="text1"/>
          <w:sz w:val="52"/>
          <w:szCs w:val="52"/>
          <w:highlight w:val="none"/>
          <w14:textFill>
            <w14:solidFill>
              <w14:schemeClr w14:val="tx1"/>
            </w14:solidFill>
          </w14:textFill>
        </w:rPr>
        <w:t>（</w:t>
      </w:r>
      <w:r>
        <w:rPr>
          <w:rFonts w:hint="eastAsia" w:ascii="宋体" w:hAnsi="宋体" w:eastAsia="宋体"/>
          <w:b/>
          <w:bCs/>
          <w:color w:val="000000" w:themeColor="text1"/>
          <w:sz w:val="52"/>
          <w:szCs w:val="52"/>
          <w:highlight w:val="none"/>
          <w:lang w:val="en-US" w:eastAsia="zh-CN"/>
          <w14:textFill>
            <w14:solidFill>
              <w14:schemeClr w14:val="tx1"/>
            </w14:solidFill>
          </w14:textFill>
        </w:rPr>
        <w:t>货物</w:t>
      </w:r>
      <w:r>
        <w:rPr>
          <w:rFonts w:hint="eastAsia" w:ascii="宋体" w:hAnsi="宋体" w:eastAsia="宋体"/>
          <w:b/>
          <w:bCs/>
          <w:color w:val="000000" w:themeColor="text1"/>
          <w:sz w:val="52"/>
          <w:szCs w:val="52"/>
          <w:highlight w:val="none"/>
          <w14:textFill>
            <w14:solidFill>
              <w14:schemeClr w14:val="tx1"/>
            </w14:solidFill>
          </w14:textFill>
        </w:rPr>
        <w:t>类）</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52"/>
          <w:szCs w:val="52"/>
          <w:highlight w:val="none"/>
          <w14:textFill>
            <w14:solidFill>
              <w14:schemeClr w14:val="tx1"/>
            </w14:solidFill>
          </w14:textFill>
        </w:rPr>
      </w:pPr>
      <w:r>
        <w:rPr>
          <w:rFonts w:hint="eastAsia" w:ascii="宋体" w:hAnsi="宋体" w:eastAsia="宋体"/>
          <w:b/>
          <w:bCs/>
          <w:color w:val="000000" w:themeColor="text1"/>
          <w:sz w:val="52"/>
          <w:szCs w:val="52"/>
          <w:highlight w:val="none"/>
          <w14:textFill>
            <w14:solidFill>
              <w14:schemeClr w14:val="tx1"/>
            </w14:solidFill>
          </w14:textFill>
        </w:rPr>
        <w:t>（2024年版）</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000000" w:themeColor="text1"/>
          <w:sz w:val="44"/>
          <w:szCs w:val="44"/>
          <w:highlight w:val="none"/>
          <w14:textFill>
            <w14:solidFill>
              <w14:schemeClr w14:val="tx1"/>
            </w14:solidFill>
          </w14:textFill>
        </w:rPr>
      </w:pPr>
    </w:p>
    <w:p>
      <w:pPr>
        <w:autoSpaceDE w:val="0"/>
        <w:autoSpaceDN w:val="0"/>
        <w:adjustRightInd w:val="0"/>
        <w:snapToGrid w:val="0"/>
        <w:spacing w:line="360" w:lineRule="auto"/>
        <w:ind w:left="2444" w:leftChars="304" w:hanging="1806" w:hangingChars="500"/>
        <w:rPr>
          <w:rFonts w:hint="eastAsia" w:ascii="宋体" w:hAnsi="宋体" w:eastAsia="宋体"/>
          <w:b/>
          <w:color w:val="000000" w:themeColor="text1"/>
          <w:spacing w:val="20"/>
          <w:kern w:val="0"/>
          <w:sz w:val="32"/>
          <w:szCs w:val="32"/>
          <w:highlight w:val="none"/>
          <w:lang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项目名称：</w:t>
      </w:r>
      <w:r>
        <w:rPr>
          <w:rFonts w:hint="eastAsia" w:ascii="宋体" w:hAnsi="宋体" w:eastAsia="宋体" w:cs="宋体"/>
          <w:b/>
          <w:color w:val="000000" w:themeColor="text1"/>
          <w:spacing w:val="20"/>
          <w:kern w:val="0"/>
          <w:sz w:val="32"/>
          <w:szCs w:val="32"/>
          <w:highlight w:val="none"/>
          <w:u w:val="single"/>
          <w:lang w:eastAsia="zh-CN" w:bidi="ar"/>
          <w14:textFill>
            <w14:solidFill>
              <w14:schemeClr w14:val="tx1"/>
            </w14:solidFill>
          </w14:textFill>
        </w:rPr>
        <w:t>滁州市第一人民医院胸腔镜手术器械采购项目</w:t>
      </w:r>
    </w:p>
    <w:p>
      <w:pPr>
        <w:autoSpaceDE w:val="0"/>
        <w:autoSpaceDN w:val="0"/>
        <w:adjustRightInd w:val="0"/>
        <w:snapToGrid w:val="0"/>
        <w:spacing w:line="360" w:lineRule="auto"/>
        <w:ind w:firstLine="723" w:firstLineChars="200"/>
        <w:rPr>
          <w:rFonts w:hint="default" w:ascii="宋体" w:hAnsi="宋体" w:eastAsia="宋体"/>
          <w:b/>
          <w:color w:val="000000" w:themeColor="text1"/>
          <w:spacing w:val="20"/>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项目编号：</w:t>
      </w:r>
      <w:r>
        <w:rPr>
          <w:rFonts w:hint="eastAsia" w:ascii="宋体" w:hAnsi="宋体" w:eastAsia="宋体"/>
          <w:b/>
          <w:color w:val="000000" w:themeColor="text1"/>
          <w:spacing w:val="20"/>
          <w:kern w:val="0"/>
          <w:sz w:val="32"/>
          <w:szCs w:val="32"/>
          <w:highlight w:val="none"/>
          <w:u w:val="single"/>
          <w:lang w:eastAsia="zh-CN" w:bidi="ar"/>
          <w14:textFill>
            <w14:solidFill>
              <w14:schemeClr w14:val="tx1"/>
            </w14:solidFill>
          </w14:textFill>
        </w:rPr>
        <w:t>CZYY-2025-</w:t>
      </w:r>
      <w:r>
        <w:rPr>
          <w:rFonts w:hint="eastAsia" w:ascii="宋体" w:hAnsi="宋体" w:eastAsia="宋体"/>
          <w:b/>
          <w:color w:val="000000" w:themeColor="text1"/>
          <w:spacing w:val="20"/>
          <w:kern w:val="0"/>
          <w:sz w:val="32"/>
          <w:szCs w:val="32"/>
          <w:highlight w:val="none"/>
          <w:u w:val="single"/>
          <w:lang w:val="en-US" w:eastAsia="zh-CN" w:bidi="ar"/>
          <w14:textFill>
            <w14:solidFill>
              <w14:schemeClr w14:val="tx1"/>
            </w14:solidFill>
          </w14:textFill>
        </w:rPr>
        <w:t xml:space="preserve">26  </w:t>
      </w:r>
    </w:p>
    <w:p>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采</w:t>
      </w:r>
      <w:r>
        <w:rPr>
          <w:rFonts w:hint="eastAsia" w:ascii="宋体" w:hAnsi="宋体" w:eastAsia="宋体"/>
          <w:b/>
          <w:color w:val="000000" w:themeColor="text1"/>
          <w:spacing w:val="20"/>
          <w:kern w:val="0"/>
          <w:sz w:val="32"/>
          <w:szCs w:val="32"/>
          <w:highlight w:val="none"/>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购</w:t>
      </w:r>
      <w:r>
        <w:rPr>
          <w:rFonts w:hint="eastAsia" w:ascii="宋体" w:hAnsi="宋体" w:eastAsia="宋体"/>
          <w:b/>
          <w:color w:val="000000" w:themeColor="text1"/>
          <w:spacing w:val="20"/>
          <w:kern w:val="0"/>
          <w:sz w:val="32"/>
          <w:szCs w:val="32"/>
          <w:highlight w:val="none"/>
          <w:lang w:bidi="ar"/>
          <w14:textFill>
            <w14:solidFill>
              <w14:schemeClr w14:val="tx1"/>
            </w14:solidFill>
          </w14:textFill>
        </w:rPr>
        <w:t xml:space="preserve"> </w:t>
      </w: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人：</w:t>
      </w:r>
      <w:r>
        <w:rPr>
          <w:rFonts w:hint="eastAsia" w:ascii="宋体" w:hAnsi="宋体" w:eastAsia="宋体" w:cs="宋体"/>
          <w:b/>
          <w:color w:val="000000" w:themeColor="text1"/>
          <w:spacing w:val="20"/>
          <w:kern w:val="0"/>
          <w:sz w:val="32"/>
          <w:szCs w:val="32"/>
          <w:highlight w:val="none"/>
          <w:u w:val="single"/>
          <w:lang w:bidi="ar"/>
          <w14:textFill>
            <w14:solidFill>
              <w14:schemeClr w14:val="tx1"/>
            </w14:solidFill>
          </w14:textFill>
        </w:rPr>
        <w:t>滁州市第一人民医院</w:t>
      </w:r>
    </w:p>
    <w:p>
      <w:pPr>
        <w:autoSpaceDE w:val="0"/>
        <w:autoSpaceDN w:val="0"/>
        <w:adjustRightInd w:val="0"/>
        <w:snapToGrid w:val="0"/>
        <w:spacing w:line="360" w:lineRule="auto"/>
        <w:ind w:firstLine="723" w:firstLineChars="200"/>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宋体" w:hAnsi="宋体" w:eastAsia="宋体" w:cs="宋体"/>
          <w:b/>
          <w:color w:val="000000" w:themeColor="text1"/>
          <w:spacing w:val="20"/>
          <w:kern w:val="0"/>
          <w:sz w:val="32"/>
          <w:szCs w:val="32"/>
          <w:highlight w:val="none"/>
          <w:lang w:bidi="ar"/>
          <w14:textFill>
            <w14:solidFill>
              <w14:schemeClr w14:val="tx1"/>
            </w14:solidFill>
          </w14:textFill>
        </w:rPr>
        <w:t>采购代理机构：</w:t>
      </w:r>
      <w:r>
        <w:rPr>
          <w:rFonts w:hint="eastAsia" w:ascii="宋体" w:hAnsi="宋体" w:eastAsia="宋体" w:cs="宋体"/>
          <w:b/>
          <w:color w:val="000000" w:themeColor="text1"/>
          <w:spacing w:val="20"/>
          <w:kern w:val="0"/>
          <w:sz w:val="32"/>
          <w:szCs w:val="32"/>
          <w:highlight w:val="none"/>
          <w:u w:val="single"/>
          <w:lang w:bidi="ar"/>
          <w14:textFill>
            <w14:solidFill>
              <w14:schemeClr w14:val="tx1"/>
            </w14:solidFill>
          </w14:textFill>
        </w:rPr>
        <w:t>安徽百士德工程咨询有限公司</w:t>
      </w:r>
    </w:p>
    <w:p>
      <w:pPr>
        <w:spacing w:before="312" w:beforeLines="100" w:after="156" w:afterLines="50" w:line="500" w:lineRule="exact"/>
        <w:ind w:right="267" w:rightChars="127"/>
        <w:jc w:val="center"/>
        <w:rPr>
          <w:rFonts w:hint="eastAsia"/>
          <w:color w:val="000000" w:themeColor="text1"/>
          <w:highlight w:val="none"/>
          <w14:textFill>
            <w14:solidFill>
              <w14:schemeClr w14:val="tx1"/>
            </w14:solidFill>
          </w14:textFill>
        </w:rPr>
      </w:pPr>
      <w:r>
        <w:rPr>
          <w:rFonts w:hint="eastAsia" w:ascii="宋体" w:hAnsi="宋体" w:eastAsia="宋体" w:cs="宋体"/>
          <w:b/>
          <w:color w:val="000000" w:themeColor="text1"/>
          <w:sz w:val="36"/>
          <w:szCs w:val="36"/>
          <w:highlight w:val="none"/>
          <w:u w:val="single"/>
          <w:lang w:bidi="ar"/>
          <w14:textFill>
            <w14:solidFill>
              <w14:schemeClr w14:val="tx1"/>
            </w14:solidFill>
          </w14:textFill>
        </w:rPr>
        <w:t>202</w:t>
      </w:r>
      <w:r>
        <w:rPr>
          <w:rFonts w:hint="eastAsia" w:ascii="宋体" w:hAnsi="宋体" w:eastAsia="宋体" w:cs="宋体"/>
          <w:b/>
          <w:color w:val="000000" w:themeColor="text1"/>
          <w:sz w:val="36"/>
          <w:szCs w:val="36"/>
          <w:highlight w:val="none"/>
          <w:u w:val="single"/>
          <w:lang w:val="en-US" w:eastAsia="zh-CN" w:bidi="ar"/>
          <w14:textFill>
            <w14:solidFill>
              <w14:schemeClr w14:val="tx1"/>
            </w14:solidFill>
          </w14:textFill>
        </w:rPr>
        <w:t>5</w:t>
      </w:r>
      <w:r>
        <w:rPr>
          <w:rFonts w:hint="eastAsia" w:ascii="宋体" w:hAnsi="宋体" w:eastAsia="宋体" w:cs="宋体"/>
          <w:b/>
          <w:color w:val="000000" w:themeColor="text1"/>
          <w:sz w:val="36"/>
          <w:szCs w:val="36"/>
          <w:highlight w:val="none"/>
          <w:lang w:bidi="ar"/>
          <w14:textFill>
            <w14:solidFill>
              <w14:schemeClr w14:val="tx1"/>
            </w14:solidFill>
          </w14:textFill>
        </w:rPr>
        <w:t>年</w:t>
      </w:r>
      <w:r>
        <w:rPr>
          <w:rFonts w:hint="eastAsia" w:ascii="宋体" w:hAnsi="宋体" w:eastAsia="宋体" w:cs="宋体"/>
          <w:b/>
          <w:color w:val="000000" w:themeColor="text1"/>
          <w:sz w:val="36"/>
          <w:szCs w:val="36"/>
          <w:highlight w:val="none"/>
          <w:u w:val="single"/>
          <w:lang w:val="en-US" w:eastAsia="zh-CN" w:bidi="ar"/>
          <w14:textFill>
            <w14:solidFill>
              <w14:schemeClr w14:val="tx1"/>
            </w14:solidFill>
          </w14:textFill>
        </w:rPr>
        <w:t>4</w:t>
      </w:r>
      <w:r>
        <w:rPr>
          <w:rFonts w:hint="eastAsia" w:ascii="宋体" w:hAnsi="宋体" w:eastAsia="宋体" w:cs="宋体"/>
          <w:b/>
          <w:color w:val="000000" w:themeColor="text1"/>
          <w:sz w:val="36"/>
          <w:szCs w:val="36"/>
          <w:highlight w:val="none"/>
          <w:lang w:bidi="ar"/>
          <w14:textFill>
            <w14:solidFill>
              <w14:schemeClr w14:val="tx1"/>
            </w14:solidFill>
          </w14:textFill>
        </w:rPr>
        <w:t>月</w:t>
      </w:r>
    </w:p>
    <w:p>
      <w:pPr>
        <w:tabs>
          <w:tab w:val="left" w:pos="2410"/>
        </w:tabs>
        <w:autoSpaceDE w:val="0"/>
        <w:autoSpaceDN w:val="0"/>
        <w:adjustRightInd w:val="0"/>
        <w:snapToGrid w:val="0"/>
        <w:spacing w:line="360" w:lineRule="auto"/>
        <w:jc w:val="center"/>
        <w:rPr>
          <w:rFonts w:hint="eastAsia" w:ascii="宋体" w:hAnsi="宋体" w:eastAsia="宋体"/>
          <w:b/>
          <w:color w:val="000000" w:themeColor="text1"/>
          <w:sz w:val="28"/>
          <w:highlight w:val="none"/>
          <w14:textFill>
            <w14:solidFill>
              <w14:schemeClr w14:val="tx1"/>
            </w14:solidFill>
          </w14:textFill>
        </w:rPr>
      </w:pPr>
      <w:r>
        <w:rPr>
          <w:rFonts w:ascii="宋体" w:hAnsi="宋体" w:eastAsia="宋体"/>
          <w:b/>
          <w:color w:val="000000" w:themeColor="text1"/>
          <w:sz w:val="36"/>
          <w:highlight w:val="none"/>
          <w14:textFill>
            <w14:solidFill>
              <w14:schemeClr w14:val="tx1"/>
            </w14:solidFill>
          </w14:textFill>
        </w:rPr>
        <w:br w:type="page"/>
      </w:r>
      <w:r>
        <w:rPr>
          <w:rFonts w:hint="eastAsia" w:ascii="宋体" w:hAnsi="宋体" w:eastAsia="宋体"/>
          <w:b/>
          <w:color w:val="000000" w:themeColor="text1"/>
          <w:sz w:val="28"/>
          <w:highlight w:val="none"/>
          <w14:textFill>
            <w14:solidFill>
              <w14:schemeClr w14:val="tx1"/>
            </w14:solidFill>
          </w14:textFill>
        </w:rPr>
        <w:t>目  录</w:t>
      </w:r>
    </w:p>
    <w:p>
      <w:pPr>
        <w:pStyle w:val="22"/>
        <w:tabs>
          <w:tab w:val="right" w:leader="dot" w:pos="8306"/>
        </w:tabs>
        <w:rPr>
          <w:color w:val="000000" w:themeColor="text1"/>
          <w:sz w:val="24"/>
          <w:szCs w:val="24"/>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"_Toc23443"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第一章 </w:t>
      </w:r>
      <w:r>
        <w:rPr>
          <w:rFonts w:asciiTheme="minorEastAsia" w:hAnsiTheme="minorEastAsia"/>
          <w:color w:val="000000" w:themeColor="text1"/>
          <w:sz w:val="24"/>
          <w:szCs w:val="24"/>
          <w:highlight w:val="none"/>
          <w14:textFill>
            <w14:solidFill>
              <w14:schemeClr w14:val="tx1"/>
            </w14:solidFill>
          </w14:textFill>
        </w:rPr>
        <w:t xml:space="preserve"> 投标邀请</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_Toc23443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2"/>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"_Toc31935"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第二章</w:t>
      </w:r>
      <w:r>
        <w:rPr>
          <w:rFonts w:asciiTheme="minorEastAsia" w:hAnsi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 xml:space="preserve"> </w:t>
      </w:r>
      <w:r>
        <w:rPr>
          <w:rFonts w:asciiTheme="minorEastAsia" w:hAnsiTheme="minorEastAsia"/>
          <w:color w:val="000000" w:themeColor="text1"/>
          <w:sz w:val="24"/>
          <w:szCs w:val="24"/>
          <w:highlight w:val="none"/>
          <w14:textFill>
            <w14:solidFill>
              <w14:schemeClr w14:val="tx1"/>
            </w14:solidFill>
          </w14:textFill>
        </w:rPr>
        <w:t>投标人须知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_Toc31935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2"/>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"_Toc10891"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第三章  采购需求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_Toc10891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19</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2"/>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"_Toc4328"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第四章  评标方法和标准（最低评标价法）</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_Toc4328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19</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2"/>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"_Toc4682"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 xml:space="preserve">第五章  </w:t>
      </w:r>
      <w:r>
        <w:rPr>
          <w:rFonts w:asciiTheme="minorEastAsia" w:hAnsiTheme="minorEastAsia"/>
          <w:color w:val="000000" w:themeColor="text1"/>
          <w:sz w:val="24"/>
          <w:szCs w:val="24"/>
          <w:highlight w:val="none"/>
          <w14:textFill>
            <w14:solidFill>
              <w14:schemeClr w14:val="tx1"/>
            </w14:solidFill>
          </w14:textFill>
        </w:rPr>
        <w:t>政府采购合同</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_Toc4682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24</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2"/>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"_Toc22492"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第六章  投标文件格式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_Toc22492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24</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22"/>
        <w:tabs>
          <w:tab w:val="right" w:leader="dot" w:pos="8306"/>
        </w:tabs>
        <w:rPr>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"_Toc18131"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sz w:val="24"/>
          <w:szCs w:val="24"/>
          <w:highlight w:val="none"/>
          <w14:textFill>
            <w14:solidFill>
              <w14:schemeClr w14:val="tx1"/>
            </w14:solidFill>
          </w14:textFill>
        </w:rPr>
        <w:t>第七章</w:t>
      </w:r>
      <w:r>
        <w:rPr>
          <w:rFonts w:hint="eastAsia" w:ascii="宋体" w:hAnsi="宋体" w:eastAsia="宋体"/>
          <w:bCs/>
          <w:color w:val="000000" w:themeColor="text1"/>
          <w:sz w:val="24"/>
          <w:szCs w:val="24"/>
          <w:highlight w:val="none"/>
          <w14:textFill>
            <w14:solidFill>
              <w14:schemeClr w14:val="tx1"/>
            </w14:solidFill>
          </w14:textFill>
        </w:rPr>
        <w:t xml:space="preserve">  政府采购</w:t>
      </w:r>
      <w:r>
        <w:rPr>
          <w:rFonts w:hint="eastAsia" w:asciiTheme="minorEastAsia" w:hAnsiTheme="minorEastAsia"/>
          <w:color w:val="000000" w:themeColor="text1"/>
          <w:sz w:val="24"/>
          <w:szCs w:val="24"/>
          <w:highlight w:val="none"/>
          <w14:textFill>
            <w14:solidFill>
              <w14:schemeClr w14:val="tx1"/>
            </w14:solidFill>
          </w14:textFill>
        </w:rPr>
        <w:t>供应</w:t>
      </w:r>
      <w:r>
        <w:rPr>
          <w:rFonts w:hint="eastAsia" w:ascii="宋体" w:hAnsi="宋体" w:eastAsia="宋体"/>
          <w:bCs/>
          <w:color w:val="000000" w:themeColor="text1"/>
          <w:sz w:val="24"/>
          <w:szCs w:val="24"/>
          <w:highlight w:val="none"/>
          <w14:textFill>
            <w14:solidFill>
              <w14:schemeClr w14:val="tx1"/>
            </w14:solidFill>
          </w14:textFill>
        </w:rPr>
        <w:t>商询问函和质疑函范本</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_Toc18131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53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spacing w:line="360" w:lineRule="auto"/>
        <w:rPr>
          <w:rFonts w:hint="eastAsia" w:asciiTheme="minorEastAsia" w:hAnsiTheme="minorEastAsia" w:eastAsiaTheme="minorEastAsia"/>
          <w:b/>
          <w:color w:val="000000" w:themeColor="text1"/>
          <w:sz w:val="32"/>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fldChar w:fldCharType="end"/>
      </w:r>
    </w:p>
    <w:p>
      <w:pPr>
        <w:pStyle w:val="13"/>
        <w:rPr>
          <w:rFonts w:hint="eastAsia"/>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1" w:name="_Toc2344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投标邀请</w:t>
      </w:r>
      <w:bookmarkEnd w:id="1"/>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 w:name="_Toc1215"/>
      <w:bookmarkEnd w:id="2"/>
      <w:bookmarkStart w:id="3" w:name="_Toc31935"/>
      <w:r>
        <w:rPr>
          <w:rFonts w:hint="eastAsia" w:ascii="宋体" w:hAnsi="宋体" w:eastAsia="宋体" w:cs="宋体"/>
          <w:color w:val="000000" w:themeColor="text1"/>
          <w:sz w:val="24"/>
          <w:szCs w:val="24"/>
          <w:highlight w:val="none"/>
          <w:lang w:bidi="ar"/>
          <w14:textFill>
            <w14:solidFill>
              <w14:schemeClr w14:val="tx1"/>
            </w14:solidFill>
          </w14:textFill>
        </w:rPr>
        <w:t>项目概况</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bidi="ar"/>
          <w14:textFill>
            <w14:solidFill>
              <w14:schemeClr w14:val="tx1"/>
            </w14:solidFill>
          </w14:textFill>
        </w:rPr>
        <w:t>滁州市第一人民医院胸腔镜手术器械采购项目</w:t>
      </w:r>
      <w:r>
        <w:rPr>
          <w:rFonts w:hint="eastAsia" w:ascii="宋体" w:hAnsi="宋体" w:eastAsia="宋体" w:cs="宋体"/>
          <w:color w:val="000000" w:themeColor="text1"/>
          <w:sz w:val="24"/>
          <w:szCs w:val="24"/>
          <w:highlight w:val="none"/>
          <w:lang w:bidi="ar"/>
          <w14:textFill>
            <w14:solidFill>
              <w14:schemeClr w14:val="tx1"/>
            </w14:solidFill>
          </w14:textFill>
        </w:rPr>
        <w:t>招标项目的潜在投标人应在</w:t>
      </w:r>
      <w:r>
        <w:rPr>
          <w:rFonts w:hint="eastAsia" w:ascii="宋体" w:hAnsi="宋体" w:eastAsia="宋体" w:cs="宋体"/>
          <w:color w:val="000000" w:themeColor="text1"/>
          <w:sz w:val="24"/>
          <w:szCs w:val="24"/>
          <w:highlight w:val="none"/>
          <w:u w:val="single"/>
          <w:lang w:bidi="ar"/>
          <w14:textFill>
            <w14:solidFill>
              <w14:schemeClr w14:val="tx1"/>
            </w14:solidFill>
          </w14:textFill>
        </w:rPr>
        <w:t>滁州市第一人民医院网（http://www.czdyrmyy.com/）</w:t>
      </w:r>
      <w:r>
        <w:rPr>
          <w:rFonts w:hint="eastAsia" w:ascii="宋体" w:hAnsi="宋体" w:eastAsia="宋体" w:cs="宋体"/>
          <w:color w:val="000000" w:themeColor="text1"/>
          <w:sz w:val="24"/>
          <w:szCs w:val="24"/>
          <w:highlight w:val="none"/>
          <w:lang w:bidi="ar"/>
          <w14:textFill>
            <w14:solidFill>
              <w14:schemeClr w14:val="tx1"/>
            </w14:solidFill>
          </w14:textFill>
        </w:rPr>
        <w:t>获取招标文件，并于</w:t>
      </w:r>
      <w:r>
        <w:rPr>
          <w:rFonts w:hint="eastAsia" w:ascii="宋体" w:hAnsi="宋体" w:eastAsia="宋体" w:cs="宋体"/>
          <w:color w:val="0000FF"/>
          <w:sz w:val="24"/>
          <w:szCs w:val="24"/>
          <w:highlight w:val="none"/>
          <w:u w:val="single"/>
          <w:lang w:bidi="ar"/>
        </w:rPr>
        <w:t>202</w:t>
      </w:r>
      <w:r>
        <w:rPr>
          <w:rFonts w:hint="eastAsia" w:ascii="宋体" w:hAnsi="宋体" w:eastAsia="宋体" w:cs="宋体"/>
          <w:color w:val="0000FF"/>
          <w:sz w:val="24"/>
          <w:szCs w:val="24"/>
          <w:highlight w:val="none"/>
          <w:u w:val="single"/>
          <w:lang w:val="en-US" w:eastAsia="zh-CN" w:bidi="ar"/>
        </w:rPr>
        <w:t>5</w:t>
      </w:r>
      <w:r>
        <w:rPr>
          <w:rFonts w:hint="eastAsia" w:ascii="宋体" w:hAnsi="宋体" w:eastAsia="宋体" w:cs="宋体"/>
          <w:bCs/>
          <w:color w:val="0000FF"/>
          <w:sz w:val="24"/>
          <w:szCs w:val="24"/>
          <w:highlight w:val="none"/>
          <w:u w:val="single"/>
          <w:lang w:bidi="ar"/>
        </w:rPr>
        <w:t>年</w:t>
      </w:r>
      <w:r>
        <w:rPr>
          <w:rFonts w:hint="eastAsia" w:ascii="宋体" w:hAnsi="宋体" w:eastAsia="宋体" w:cs="宋体"/>
          <w:bCs/>
          <w:color w:val="0000FF"/>
          <w:sz w:val="24"/>
          <w:szCs w:val="24"/>
          <w:highlight w:val="none"/>
          <w:u w:val="single"/>
          <w:lang w:val="en-US" w:eastAsia="zh-CN" w:bidi="ar"/>
        </w:rPr>
        <w:t>5</w:t>
      </w:r>
      <w:r>
        <w:rPr>
          <w:rFonts w:hint="eastAsia" w:ascii="宋体" w:hAnsi="宋体" w:eastAsia="宋体" w:cs="宋体"/>
          <w:bCs/>
          <w:color w:val="0000FF"/>
          <w:sz w:val="24"/>
          <w:szCs w:val="24"/>
          <w:highlight w:val="none"/>
          <w:u w:val="single"/>
          <w:lang w:bidi="ar"/>
        </w:rPr>
        <w:t>月</w:t>
      </w:r>
      <w:r>
        <w:rPr>
          <w:rFonts w:hint="eastAsia" w:ascii="宋体" w:hAnsi="宋体" w:eastAsia="宋体" w:cs="宋体"/>
          <w:bCs/>
          <w:color w:val="0000FF"/>
          <w:sz w:val="24"/>
          <w:szCs w:val="24"/>
          <w:highlight w:val="none"/>
          <w:u w:val="single"/>
          <w:lang w:val="en-US" w:eastAsia="zh-CN" w:bidi="ar"/>
        </w:rPr>
        <w:t>7</w:t>
      </w:r>
      <w:r>
        <w:rPr>
          <w:rFonts w:hint="eastAsia" w:ascii="宋体" w:hAnsi="宋体" w:eastAsia="宋体" w:cs="宋体"/>
          <w:bCs/>
          <w:color w:val="0000FF"/>
          <w:sz w:val="24"/>
          <w:szCs w:val="24"/>
          <w:highlight w:val="none"/>
          <w:u w:val="single"/>
          <w:lang w:bidi="ar"/>
        </w:rPr>
        <w:t>日1</w:t>
      </w:r>
      <w:r>
        <w:rPr>
          <w:rFonts w:hint="eastAsia" w:ascii="宋体" w:hAnsi="宋体" w:eastAsia="宋体" w:cs="宋体"/>
          <w:bCs/>
          <w:color w:val="0000FF"/>
          <w:sz w:val="24"/>
          <w:szCs w:val="24"/>
          <w:highlight w:val="none"/>
          <w:u w:val="single"/>
          <w:lang w:val="en-US" w:eastAsia="zh-CN" w:bidi="ar"/>
        </w:rPr>
        <w:t>5</w:t>
      </w:r>
      <w:r>
        <w:rPr>
          <w:rFonts w:hint="eastAsia" w:ascii="宋体" w:hAnsi="宋体" w:eastAsia="宋体" w:cs="宋体"/>
          <w:bCs/>
          <w:color w:val="0000FF"/>
          <w:sz w:val="24"/>
          <w:szCs w:val="24"/>
          <w:highlight w:val="none"/>
          <w:u w:val="single"/>
          <w:lang w:bidi="ar"/>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28359079"/>
      <w:bookmarkEnd w:id="4"/>
      <w:bookmarkStart w:id="5" w:name="_Toc28359002"/>
      <w:bookmarkEnd w:id="5"/>
      <w:bookmarkStart w:id="6" w:name="_Toc35393621"/>
      <w:bookmarkEnd w:id="6"/>
      <w:bookmarkStart w:id="7" w:name="_Toc35393790"/>
      <w:bookmarkEnd w:id="7"/>
      <w:bookmarkStart w:id="8" w:name="_Toc58430305"/>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CZYY-2025-</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26 </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滁州市第一人民医院胸腔镜手术器械采购项目</w:t>
      </w:r>
    </w:p>
    <w:p>
      <w:pPr>
        <w:wordWrap w:val="0"/>
        <w:autoSpaceDE w:val="0"/>
        <w:spacing w:line="360" w:lineRule="auto"/>
        <w:ind w:firstLine="480" w:firstLineChars="200"/>
        <w:outlineLvl w:val="2"/>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kern w:val="0"/>
          <w:sz w:val="24"/>
          <w:szCs w:val="24"/>
          <w:highlight w:val="none"/>
          <w:lang w:eastAsia="zh-CN"/>
          <w14:textFill>
            <w14:solidFill>
              <w14:schemeClr w14:val="tx1"/>
            </w14:solidFill>
          </w14:textFill>
        </w:rPr>
        <w:t>160000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最高限价：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160000</w:t>
      </w:r>
      <w:r>
        <w:rPr>
          <w:rFonts w:hint="eastAsia" w:ascii="宋体" w:hAnsi="宋体" w:eastAsia="宋体" w:cs="宋体"/>
          <w:color w:val="000000" w:themeColor="text1"/>
          <w:sz w:val="24"/>
          <w:szCs w:val="24"/>
          <w:highlight w:val="none"/>
          <w:lang w:bidi="ar"/>
          <w14:textFill>
            <w14:solidFill>
              <w14:schemeClr w14:val="tx1"/>
            </w14:solidFill>
          </w14:textFill>
        </w:rPr>
        <w:t>元，</w:t>
      </w:r>
      <w:r>
        <w:rPr>
          <w:rFonts w:hint="eastAsia" w:ascii="宋体" w:hAnsi="宋体" w:eastAsia="宋体" w:cs="宋体"/>
          <w:color w:val="000000" w:themeColor="text1"/>
          <w:kern w:val="0"/>
          <w:sz w:val="24"/>
          <w:szCs w:val="24"/>
          <w:highlight w:val="none"/>
          <w14:textFill>
            <w14:solidFill>
              <w14:schemeClr w14:val="tx1"/>
            </w14:solidFill>
          </w14:textFill>
        </w:rPr>
        <w:t>投标人投标报价不得高于本项目设置最高限价，否则按无效投标处理。</w:t>
      </w:r>
    </w:p>
    <w:p>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本项目为满足医院心脏外科开展冠脉动脉旁路移植手术需要，采购精密器械一批，具体内容</w:t>
      </w:r>
      <w:r>
        <w:rPr>
          <w:rFonts w:hint="eastAsia" w:ascii="宋体" w:hAnsi="宋体" w:eastAsia="宋体" w:cs="宋体"/>
          <w:color w:val="000000" w:themeColor="text1"/>
          <w:kern w:val="0"/>
          <w:sz w:val="24"/>
          <w:szCs w:val="24"/>
          <w:highlight w:val="none"/>
          <w14:textFill>
            <w14:solidFill>
              <w14:schemeClr w14:val="tx1"/>
            </w14:solidFill>
          </w14:textFill>
        </w:rPr>
        <w:t>见招标文件“采购需求”。</w:t>
      </w:r>
    </w:p>
    <w:p>
      <w:pPr>
        <w:pStyle w:val="25"/>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宋体" w:hAnsi="宋体" w:eastAsia="宋体" w:cs="宋体"/>
          <w:color w:val="000000" w:themeColor="text1"/>
          <w:kern w:val="2"/>
          <w:szCs w:val="24"/>
          <w:highlight w:val="none"/>
          <w:lang w:val="en-US" w:eastAsia="zh-CN" w:bidi="ar"/>
          <w14:textFill>
            <w14:solidFill>
              <w14:schemeClr w14:val="tx1"/>
            </w14:solidFill>
          </w14:textFill>
        </w:rPr>
        <w:t>合同签订之日起</w:t>
      </w:r>
      <w:r>
        <w:rPr>
          <w:rFonts w:hint="eastAsia" w:ascii="宋体" w:hAnsi="宋体" w:eastAsia="宋体"/>
          <w:bCs/>
          <w:color w:val="000000" w:themeColor="text1"/>
          <w:kern w:val="0"/>
          <w:sz w:val="24"/>
          <w:szCs w:val="28"/>
          <w:highlight w:val="none"/>
          <w:lang w:val="en-US" w:eastAsia="zh-CN"/>
          <w14:textFill>
            <w14:solidFill>
              <w14:schemeClr w14:val="tx1"/>
            </w14:solidFill>
          </w14:textFill>
        </w:rPr>
        <w:t>7个日历天</w:t>
      </w:r>
      <w:r>
        <w:rPr>
          <w:rFonts w:hint="eastAsia" w:ascii="宋体" w:hAnsi="宋体" w:eastAsia="宋体" w:cs="宋体"/>
          <w:color w:val="000000" w:themeColor="text1"/>
          <w:kern w:val="2"/>
          <w:szCs w:val="24"/>
          <w:highlight w:val="none"/>
          <w:lang w:bidi="ar"/>
          <w14:textFill>
            <w14:solidFill>
              <w14:schemeClr w14:val="tx1"/>
            </w14:solidFill>
          </w14:textFill>
        </w:rPr>
        <w:t>。</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35393791"/>
      <w:bookmarkEnd w:id="10"/>
      <w:bookmarkStart w:id="11" w:name="_Toc28359003"/>
      <w:bookmarkEnd w:id="11"/>
      <w:bookmarkStart w:id="12" w:name="_Toc58430306"/>
      <w:bookmarkEnd w:id="12"/>
      <w:bookmarkStart w:id="13" w:name="_Toc35393622"/>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1.满足《中华人民共和国政府采购法》第二十二条规定；</w:t>
      </w:r>
    </w:p>
    <w:p>
      <w:pPr>
        <w:wordWrap w:val="0"/>
        <w:autoSpaceDE w:val="0"/>
        <w:spacing w:line="360" w:lineRule="auto"/>
        <w:ind w:firstLine="480" w:firstLineChars="200"/>
        <w:outlineLvl w:val="2"/>
        <w:rPr>
          <w:rFonts w:hint="eastAsia" w:ascii="宋体" w:hAnsi="宋体" w:eastAsia="宋体" w:cs="宋体"/>
          <w:i/>
          <w:iCs/>
          <w:color w:val="000000" w:themeColor="text1"/>
          <w:sz w:val="24"/>
          <w:szCs w:val="24"/>
          <w:highlight w:val="none"/>
          <w:u w:val="single"/>
          <w14:textFill>
            <w14:solidFill>
              <w14:schemeClr w14:val="tx1"/>
            </w14:solidFill>
          </w14:textFill>
        </w:rPr>
      </w:pPr>
      <w:bookmarkStart w:id="15" w:name="_Toc28359081"/>
      <w:bookmarkEnd w:id="15"/>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000000" w:themeColor="text1"/>
          <w:sz w:val="24"/>
          <w:szCs w:val="24"/>
          <w:highlight w:val="none"/>
          <w:u w:val="single"/>
          <w:lang w:bidi="ar"/>
          <w14:textFill>
            <w14:solidFill>
              <w14:schemeClr w14:val="tx1"/>
            </w14:solidFill>
          </w14:textFill>
        </w:rPr>
        <w:t>。</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.信誉要求：投标人不得存在以下情形：</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①投标人被人民法院列入失信被执行人的；</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②投标人或其法定代表人或拟派项目经理（项目负责人）前三年有行贿犯罪行为的；</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③投标人被市场监督管理部门列入经营异常名录或者严重违法企业名单，且未被移除的；</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④投标人被税务部门列入重大税收违法案件当事人的；</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⑤投标人被政府采购监管部门列入政府采购严重违法失信行为记录名单的；</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⑥在“信用中国”网站上披露仍在公示期的严重失信行为的。</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sz w:val="24"/>
          <w:szCs w:val="24"/>
          <w:highlight w:val="none"/>
          <w:lang w:bidi="ar"/>
          <w14:textFill>
            <w14:solidFill>
              <w14:schemeClr w14:val="tx1"/>
            </w14:solidFill>
          </w14:textFill>
        </w:rPr>
        <w:t>.投标人所属分公司、办事处等分支机构存在第</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款信誉要求①-⑥项情形之一的，接受投标人参加本项目。</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备注：第</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sz w:val="24"/>
          <w:szCs w:val="24"/>
          <w:highlight w:val="none"/>
          <w:lang w:bidi="ar"/>
          <w14:textFill>
            <w14:solidFill>
              <w14:schemeClr w14:val="tx1"/>
            </w14:solidFill>
          </w14:textFill>
        </w:rPr>
        <w:t>条按照“关于联合惩戒失信行为加强信用查询管理的通知”查询或承诺。</w:t>
      </w:r>
    </w:p>
    <w:p>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6" w:name="_Toc35393623"/>
      <w:bookmarkEnd w:id="16"/>
      <w:bookmarkStart w:id="17" w:name="_Toc35393792"/>
      <w:bookmarkEnd w:id="17"/>
      <w:bookmarkStart w:id="18" w:name="_Toc58430307"/>
      <w:r>
        <w:rPr>
          <w:rFonts w:hint="eastAsia" w:ascii="宋体" w:hAnsi="宋体" w:eastAsia="宋体" w:cs="宋体"/>
          <w:b/>
          <w:bCs/>
          <w:color w:val="000000" w:themeColor="text1"/>
          <w:sz w:val="24"/>
          <w:szCs w:val="24"/>
          <w:highlight w:val="none"/>
          <w:lang w:bidi="ar"/>
          <w14:textFill>
            <w14:solidFill>
              <w14:schemeClr w14:val="tx1"/>
            </w14:solidFill>
          </w14:textFill>
        </w:rPr>
        <w:t>三、获取招标文件</w:t>
      </w:r>
      <w:bookmarkEnd w:id="18"/>
    </w:p>
    <w:p>
      <w:pPr>
        <w:wordWrap w:val="0"/>
        <w:autoSpaceDE w:val="0"/>
        <w:spacing w:line="360" w:lineRule="auto"/>
        <w:ind w:firstLine="480" w:firstLineChars="200"/>
        <w:outlineLvl w:val="2"/>
        <w:rPr>
          <w:rFonts w:hint="eastAsia" w:ascii="宋体" w:hAnsi="宋体" w:eastAsia="宋体" w:cs="宋体"/>
          <w:i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时间：</w:t>
      </w:r>
      <w:r>
        <w:rPr>
          <w:rFonts w:hint="eastAsia" w:ascii="宋体" w:hAnsi="宋体" w:eastAsia="宋体" w:cs="宋体"/>
          <w:color w:val="0000FF"/>
          <w:sz w:val="24"/>
          <w:szCs w:val="24"/>
          <w:highlight w:val="none"/>
          <w:u w:val="single"/>
          <w:lang w:bidi="ar"/>
        </w:rPr>
        <w:t>202</w:t>
      </w:r>
      <w:r>
        <w:rPr>
          <w:rFonts w:hint="eastAsia" w:ascii="宋体" w:hAnsi="宋体" w:eastAsia="宋体" w:cs="宋体"/>
          <w:color w:val="0000FF"/>
          <w:sz w:val="24"/>
          <w:szCs w:val="24"/>
          <w:highlight w:val="none"/>
          <w:u w:val="single"/>
          <w:lang w:val="en-US" w:eastAsia="zh-CN" w:bidi="ar"/>
        </w:rPr>
        <w:t>5</w:t>
      </w:r>
      <w:r>
        <w:rPr>
          <w:rFonts w:hint="eastAsia" w:ascii="宋体" w:hAnsi="宋体" w:eastAsia="宋体" w:cs="宋体"/>
          <w:color w:val="0000FF"/>
          <w:sz w:val="24"/>
          <w:szCs w:val="24"/>
          <w:highlight w:val="none"/>
          <w:u w:val="single"/>
          <w:lang w:bidi="ar"/>
        </w:rPr>
        <w:t>年</w:t>
      </w:r>
      <w:r>
        <w:rPr>
          <w:rFonts w:hint="eastAsia" w:ascii="宋体" w:hAnsi="宋体" w:eastAsia="宋体" w:cs="宋体"/>
          <w:color w:val="0000FF"/>
          <w:sz w:val="24"/>
          <w:szCs w:val="24"/>
          <w:highlight w:val="none"/>
          <w:u w:val="single"/>
          <w:lang w:val="en-US" w:eastAsia="zh-CN" w:bidi="ar"/>
        </w:rPr>
        <w:t>4</w:t>
      </w:r>
      <w:r>
        <w:rPr>
          <w:rFonts w:hint="eastAsia" w:ascii="宋体" w:hAnsi="宋体" w:eastAsia="宋体" w:cs="宋体"/>
          <w:color w:val="0000FF"/>
          <w:sz w:val="24"/>
          <w:szCs w:val="24"/>
          <w:highlight w:val="none"/>
          <w:u w:val="single"/>
          <w:lang w:bidi="ar"/>
        </w:rPr>
        <w:t>月</w:t>
      </w:r>
      <w:r>
        <w:rPr>
          <w:rFonts w:hint="eastAsia" w:ascii="宋体" w:hAnsi="宋体" w:eastAsia="宋体" w:cs="宋体"/>
          <w:color w:val="0000FF"/>
          <w:sz w:val="24"/>
          <w:szCs w:val="24"/>
          <w:highlight w:val="none"/>
          <w:u w:val="single"/>
          <w:lang w:val="en-US" w:eastAsia="zh-CN" w:bidi="ar"/>
        </w:rPr>
        <w:t>27</w:t>
      </w:r>
      <w:r>
        <w:rPr>
          <w:rFonts w:hint="eastAsia" w:ascii="宋体" w:hAnsi="宋体" w:eastAsia="宋体" w:cs="宋体"/>
          <w:color w:val="0000FF"/>
          <w:sz w:val="24"/>
          <w:szCs w:val="24"/>
          <w:highlight w:val="none"/>
          <w:u w:val="single"/>
          <w:lang w:bidi="ar"/>
        </w:rPr>
        <w:t>日至202</w:t>
      </w:r>
      <w:r>
        <w:rPr>
          <w:rFonts w:hint="eastAsia" w:ascii="宋体" w:hAnsi="宋体" w:eastAsia="宋体" w:cs="宋体"/>
          <w:color w:val="0000FF"/>
          <w:sz w:val="24"/>
          <w:szCs w:val="24"/>
          <w:highlight w:val="none"/>
          <w:u w:val="single"/>
          <w:lang w:val="en-US" w:eastAsia="zh-CN" w:bidi="ar"/>
        </w:rPr>
        <w:t>5</w:t>
      </w:r>
      <w:r>
        <w:rPr>
          <w:rFonts w:hint="eastAsia" w:ascii="宋体" w:hAnsi="宋体" w:eastAsia="宋体" w:cs="宋体"/>
          <w:color w:val="0000FF"/>
          <w:sz w:val="24"/>
          <w:szCs w:val="24"/>
          <w:highlight w:val="none"/>
          <w:u w:val="single"/>
          <w:lang w:bidi="ar"/>
        </w:rPr>
        <w:t>年</w:t>
      </w:r>
      <w:r>
        <w:rPr>
          <w:rFonts w:hint="eastAsia" w:ascii="宋体" w:hAnsi="宋体" w:eastAsia="宋体" w:cs="宋体"/>
          <w:color w:val="0000FF"/>
          <w:sz w:val="24"/>
          <w:szCs w:val="24"/>
          <w:highlight w:val="none"/>
          <w:u w:val="single"/>
          <w:lang w:val="en-US" w:eastAsia="zh-CN" w:bidi="ar"/>
        </w:rPr>
        <w:t>5</w:t>
      </w:r>
      <w:r>
        <w:rPr>
          <w:rFonts w:hint="eastAsia" w:ascii="宋体" w:hAnsi="宋体" w:eastAsia="宋体" w:cs="宋体"/>
          <w:color w:val="0000FF"/>
          <w:sz w:val="24"/>
          <w:szCs w:val="24"/>
          <w:highlight w:val="none"/>
          <w:u w:val="single"/>
          <w:lang w:bidi="ar"/>
        </w:rPr>
        <w:t>月</w:t>
      </w:r>
      <w:r>
        <w:rPr>
          <w:rFonts w:hint="eastAsia" w:ascii="宋体" w:hAnsi="宋体" w:eastAsia="宋体" w:cs="宋体"/>
          <w:color w:val="0000FF"/>
          <w:sz w:val="24"/>
          <w:szCs w:val="24"/>
          <w:highlight w:val="none"/>
          <w:u w:val="single"/>
          <w:lang w:val="en-US" w:eastAsia="zh-CN" w:bidi="ar"/>
        </w:rPr>
        <w:t>7</w:t>
      </w:r>
      <w:r>
        <w:rPr>
          <w:rFonts w:hint="eastAsia" w:ascii="宋体" w:hAnsi="宋体" w:eastAsia="宋体" w:cs="宋体"/>
          <w:color w:val="0000FF"/>
          <w:sz w:val="24"/>
          <w:szCs w:val="24"/>
          <w:highlight w:val="none"/>
          <w:u w:val="single"/>
          <w:lang w:bidi="ar"/>
        </w:rPr>
        <w:t>日</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地点：滁州市第一人民医院网</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方式：网上下载</w:t>
      </w:r>
    </w:p>
    <w:p>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售价：0元</w:t>
      </w:r>
    </w:p>
    <w:p>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9" w:name="_Toc35393624"/>
      <w:bookmarkEnd w:id="19"/>
      <w:bookmarkStart w:id="20" w:name="_Toc28359005"/>
      <w:bookmarkEnd w:id="20"/>
      <w:bookmarkStart w:id="21" w:name="_Toc35393793"/>
      <w:bookmarkEnd w:id="21"/>
      <w:bookmarkStart w:id="22" w:name="_Toc28359082"/>
      <w:bookmarkEnd w:id="22"/>
      <w:bookmarkStart w:id="23" w:name="_Toc58430308"/>
      <w:r>
        <w:rPr>
          <w:rFonts w:hint="eastAsia" w:ascii="宋体" w:hAnsi="宋体" w:eastAsia="宋体" w:cs="宋体"/>
          <w:b/>
          <w:bCs/>
          <w:color w:val="000000" w:themeColor="text1"/>
          <w:sz w:val="24"/>
          <w:szCs w:val="24"/>
          <w:highlight w:val="none"/>
          <w:lang w:bidi="ar"/>
          <w14:textFill>
            <w14:solidFill>
              <w14:schemeClr w14:val="tx1"/>
            </w14:solidFill>
          </w14:textFill>
        </w:rPr>
        <w:t>四、提交投标文件</w:t>
      </w:r>
      <w:bookmarkEnd w:id="23"/>
      <w:r>
        <w:rPr>
          <w:rFonts w:hint="eastAsia" w:ascii="宋体" w:hAnsi="宋体" w:eastAsia="宋体" w:cs="宋体"/>
          <w:b/>
          <w:bCs/>
          <w:color w:val="000000" w:themeColor="text1"/>
          <w:sz w:val="24"/>
          <w:szCs w:val="24"/>
          <w:highlight w:val="none"/>
          <w:lang w:bidi="ar"/>
          <w14:textFill>
            <w14:solidFill>
              <w14:schemeClr w14:val="tx1"/>
            </w14:solidFill>
          </w14:textFill>
        </w:rPr>
        <w:t>截止时间</w:t>
      </w:r>
      <w:r>
        <w:rPr>
          <w:rFonts w:hint="eastAsia" w:ascii="宋体" w:hAnsi="宋体" w:eastAsia="宋体" w:cs="宋体"/>
          <w:b/>
          <w:bCs/>
          <w:color w:val="000000" w:themeColor="text1"/>
          <w:sz w:val="24"/>
          <w:szCs w:val="24"/>
          <w:highlight w:val="none"/>
          <w:lang w:eastAsia="zh-CN" w:bidi="ar"/>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开标时间</w:t>
      </w:r>
      <w:r>
        <w:rPr>
          <w:rFonts w:hint="eastAsia" w:ascii="宋体" w:hAnsi="宋体" w:eastAsia="宋体" w:cs="宋体"/>
          <w:b/>
          <w:bCs/>
          <w:color w:val="000000" w:themeColor="text1"/>
          <w:sz w:val="24"/>
          <w:szCs w:val="24"/>
          <w:highlight w:val="none"/>
          <w:lang w:bidi="ar"/>
          <w14:textFill>
            <w14:solidFill>
              <w14:schemeClr w14:val="tx1"/>
            </w14:solidFill>
          </w14:textFill>
        </w:rPr>
        <w:t>和地点</w:t>
      </w:r>
    </w:p>
    <w:p>
      <w:pPr>
        <w:wordWrap w:val="0"/>
        <w:autoSpaceDE w:val="0"/>
        <w:spacing w:line="360" w:lineRule="auto"/>
        <w:ind w:firstLine="480" w:firstLineChars="200"/>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FF"/>
          <w:sz w:val="24"/>
          <w:szCs w:val="24"/>
          <w:highlight w:val="none"/>
          <w:u w:val="single"/>
          <w:lang w:bidi="ar"/>
        </w:rPr>
        <w:t>202</w:t>
      </w:r>
      <w:r>
        <w:rPr>
          <w:rFonts w:hint="eastAsia" w:ascii="宋体" w:hAnsi="宋体" w:eastAsia="宋体" w:cs="宋体"/>
          <w:bCs/>
          <w:color w:val="0000FF"/>
          <w:sz w:val="24"/>
          <w:szCs w:val="24"/>
          <w:highlight w:val="none"/>
          <w:u w:val="single"/>
          <w:lang w:val="en-US" w:eastAsia="zh-CN" w:bidi="ar"/>
        </w:rPr>
        <w:t>5</w:t>
      </w:r>
      <w:r>
        <w:rPr>
          <w:rFonts w:hint="eastAsia" w:ascii="宋体" w:hAnsi="宋体" w:eastAsia="宋体" w:cs="宋体"/>
          <w:bCs/>
          <w:color w:val="0000FF"/>
          <w:sz w:val="24"/>
          <w:szCs w:val="24"/>
          <w:highlight w:val="none"/>
          <w:u w:val="single"/>
          <w:lang w:bidi="ar"/>
        </w:rPr>
        <w:t>年</w:t>
      </w:r>
      <w:r>
        <w:rPr>
          <w:rFonts w:hint="eastAsia" w:ascii="宋体" w:hAnsi="宋体" w:eastAsia="宋体" w:cs="宋体"/>
          <w:bCs/>
          <w:color w:val="0000FF"/>
          <w:sz w:val="24"/>
          <w:szCs w:val="24"/>
          <w:highlight w:val="none"/>
          <w:u w:val="single"/>
          <w:lang w:val="en-US" w:eastAsia="zh-CN" w:bidi="ar"/>
        </w:rPr>
        <w:t>5</w:t>
      </w:r>
      <w:r>
        <w:rPr>
          <w:rFonts w:hint="eastAsia" w:ascii="宋体" w:hAnsi="宋体" w:eastAsia="宋体" w:cs="宋体"/>
          <w:bCs/>
          <w:color w:val="0000FF"/>
          <w:sz w:val="24"/>
          <w:szCs w:val="24"/>
          <w:highlight w:val="none"/>
          <w:u w:val="single"/>
          <w:lang w:bidi="ar"/>
        </w:rPr>
        <w:t>月</w:t>
      </w:r>
      <w:r>
        <w:rPr>
          <w:rFonts w:hint="eastAsia" w:ascii="宋体" w:hAnsi="宋体" w:eastAsia="宋体" w:cs="宋体"/>
          <w:bCs/>
          <w:color w:val="0000FF"/>
          <w:sz w:val="24"/>
          <w:szCs w:val="24"/>
          <w:highlight w:val="none"/>
          <w:u w:val="single"/>
          <w:lang w:val="en-US" w:eastAsia="zh-CN" w:bidi="ar"/>
        </w:rPr>
        <w:t>7</w:t>
      </w:r>
      <w:r>
        <w:rPr>
          <w:rFonts w:hint="eastAsia" w:ascii="宋体" w:hAnsi="宋体" w:eastAsia="宋体" w:cs="宋体"/>
          <w:bCs/>
          <w:color w:val="0000FF"/>
          <w:sz w:val="24"/>
          <w:szCs w:val="24"/>
          <w:highlight w:val="none"/>
          <w:u w:val="single"/>
          <w:lang w:bidi="ar"/>
        </w:rPr>
        <w:t>日1</w:t>
      </w:r>
      <w:r>
        <w:rPr>
          <w:rFonts w:hint="eastAsia" w:ascii="宋体" w:hAnsi="宋体" w:eastAsia="宋体" w:cs="宋体"/>
          <w:bCs/>
          <w:color w:val="0000FF"/>
          <w:sz w:val="24"/>
          <w:szCs w:val="24"/>
          <w:highlight w:val="none"/>
          <w:u w:val="single"/>
          <w:lang w:val="en-US" w:eastAsia="zh-CN" w:bidi="ar"/>
        </w:rPr>
        <w:t>5</w:t>
      </w:r>
      <w:r>
        <w:rPr>
          <w:rFonts w:hint="eastAsia" w:ascii="宋体" w:hAnsi="宋体" w:eastAsia="宋体" w:cs="宋体"/>
          <w:bCs/>
          <w:color w:val="0000FF"/>
          <w:sz w:val="24"/>
          <w:szCs w:val="24"/>
          <w:highlight w:val="none"/>
          <w:u w:val="single"/>
          <w:lang w:bidi="ar"/>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pPr>
        <w:autoSpaceDE w:val="0"/>
        <w:spacing w:line="360" w:lineRule="auto"/>
        <w:ind w:firstLine="480" w:firstLineChars="200"/>
        <w:outlineLvl w:val="2"/>
        <w:rPr>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开标地点：</w:t>
      </w:r>
      <w:r>
        <w:rPr>
          <w:rFonts w:hint="eastAsia" w:ascii="宋体" w:hAnsi="宋体" w:eastAsia="宋体"/>
          <w:color w:val="000000" w:themeColor="text1"/>
          <w:sz w:val="24"/>
          <w:szCs w:val="18"/>
          <w:highlight w:val="none"/>
          <w14:textFill>
            <w14:solidFill>
              <w14:schemeClr w14:val="tx1"/>
            </w14:solidFill>
          </w14:textFill>
        </w:rPr>
        <w:t>滁州市第一人民医院南区行政部</w:t>
      </w:r>
      <w:r>
        <w:rPr>
          <w:rFonts w:hint="eastAsia" w:ascii="宋体" w:hAnsi="宋体" w:eastAsia="宋体"/>
          <w:color w:val="000000" w:themeColor="text1"/>
          <w:sz w:val="24"/>
          <w:szCs w:val="18"/>
          <w:highlight w:val="none"/>
          <w:lang w:val="en-US" w:eastAsia="zh-CN"/>
          <w14:textFill>
            <w14:solidFill>
              <w14:schemeClr w14:val="tx1"/>
            </w14:solidFill>
          </w14:textFill>
        </w:rPr>
        <w:t>六</w:t>
      </w:r>
      <w:r>
        <w:rPr>
          <w:rFonts w:hint="eastAsia" w:ascii="宋体" w:hAnsi="宋体" w:eastAsia="宋体"/>
          <w:color w:val="000000" w:themeColor="text1"/>
          <w:sz w:val="24"/>
          <w:szCs w:val="18"/>
          <w:highlight w:val="none"/>
          <w14:textFill>
            <w14:solidFill>
              <w14:schemeClr w14:val="tx1"/>
            </w14:solidFill>
          </w14:textFill>
        </w:rPr>
        <w:t>楼</w:t>
      </w:r>
      <w:r>
        <w:rPr>
          <w:rFonts w:hint="eastAsia" w:ascii="宋体" w:hAnsi="宋体" w:eastAsia="宋体"/>
          <w:color w:val="000000" w:themeColor="text1"/>
          <w:sz w:val="24"/>
          <w:szCs w:val="18"/>
          <w:highlight w:val="none"/>
          <w:lang w:val="en-US" w:eastAsia="zh-CN"/>
          <w14:textFill>
            <w14:solidFill>
              <w14:schemeClr w14:val="tx1"/>
            </w14:solidFill>
          </w14:textFill>
        </w:rPr>
        <w:t>会议室</w:t>
      </w:r>
    </w:p>
    <w:p>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投标文件递送（或邮寄）地址：滁</w:t>
      </w:r>
      <w:r>
        <w:rPr>
          <w:rFonts w:hint="eastAsia" w:ascii="宋体" w:hAnsi="宋体" w:eastAsia="宋体"/>
          <w:color w:val="000000" w:themeColor="text1"/>
          <w:sz w:val="24"/>
          <w:szCs w:val="18"/>
          <w:highlight w:val="none"/>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24" w:name="_Toc58430309"/>
      <w:bookmarkEnd w:id="24"/>
      <w:bookmarkStart w:id="25" w:name="_Toc28359007"/>
      <w:bookmarkEnd w:id="25"/>
      <w:bookmarkStart w:id="26" w:name="_Toc35393794"/>
      <w:bookmarkEnd w:id="26"/>
      <w:bookmarkStart w:id="27" w:name="_Toc35393625"/>
      <w:bookmarkEnd w:id="27"/>
      <w:bookmarkStart w:id="28" w:name="_Toc28359084"/>
      <w:r>
        <w:rPr>
          <w:rFonts w:hint="eastAsia" w:ascii="宋体" w:hAnsi="宋体" w:eastAsia="宋体" w:cs="宋体"/>
          <w:b/>
          <w:bCs/>
          <w:color w:val="000000" w:themeColor="text1"/>
          <w:sz w:val="24"/>
          <w:szCs w:val="24"/>
          <w:highlight w:val="none"/>
          <w:lang w:bidi="ar"/>
          <w14:textFill>
            <w14:solidFill>
              <w14:schemeClr w14:val="tx1"/>
            </w14:solidFill>
          </w14:textFill>
        </w:rPr>
        <w:t>五、公告期限</w:t>
      </w:r>
      <w:bookmarkEnd w:id="28"/>
    </w:p>
    <w:p>
      <w:pPr>
        <w:wordWrap w:val="0"/>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自本公告发布之日起5个工作日。</w:t>
      </w:r>
    </w:p>
    <w:p>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29" w:name="_Toc58430310"/>
      <w:bookmarkEnd w:id="29"/>
      <w:r>
        <w:rPr>
          <w:rFonts w:hint="eastAsia" w:ascii="宋体" w:hAnsi="宋体" w:eastAsia="宋体" w:cs="宋体"/>
          <w:b/>
          <w:bCs/>
          <w:color w:val="000000" w:themeColor="text1"/>
          <w:sz w:val="24"/>
          <w:szCs w:val="24"/>
          <w:highlight w:val="none"/>
          <w:lang w:bidi="ar"/>
          <w14:textFill>
            <w14:solidFill>
              <w14:schemeClr w14:val="tx1"/>
            </w14:solidFill>
          </w14:textFill>
        </w:rPr>
        <w:t>六、其他补充事宜</w:t>
      </w:r>
    </w:p>
    <w:p>
      <w:pPr>
        <w:spacing w:line="360" w:lineRule="auto"/>
        <w:ind w:firstLine="437"/>
        <w:outlineLvl w:val="1"/>
        <w:rPr>
          <w:rFonts w:hint="eastAsia" w:ascii="宋体" w:hAnsi="宋体" w:eastAsia="宋体" w:cs="宋体"/>
          <w:color w:val="000000" w:themeColor="text1"/>
          <w:sz w:val="24"/>
          <w:szCs w:val="24"/>
          <w:highlight w:val="none"/>
          <w:lang w:bidi="ar"/>
          <w14:textFill>
            <w14:solidFill>
              <w14:schemeClr w14:val="tx1"/>
            </w14:solidFill>
          </w14:textFill>
        </w:rPr>
      </w:pPr>
      <w:bookmarkStart w:id="30" w:name="_Toc7265"/>
      <w:bookmarkEnd w:id="30"/>
      <w:bookmarkStart w:id="31" w:name="_Toc3854"/>
      <w:r>
        <w:rPr>
          <w:rFonts w:hint="eastAsia" w:ascii="宋体" w:hAnsi="宋体" w:eastAsia="宋体" w:cs="宋体"/>
          <w:color w:val="000000" w:themeColor="text1"/>
          <w:sz w:val="24"/>
          <w:szCs w:val="24"/>
          <w:highlight w:val="none"/>
          <w:lang w:bidi="ar"/>
          <w14:textFill>
            <w14:solidFill>
              <w14:schemeClr w14:val="tx1"/>
            </w14:solidFill>
          </w14:textFill>
        </w:rPr>
        <w:t>无</w:t>
      </w:r>
    </w:p>
    <w:p>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七、</w:t>
      </w:r>
      <w:bookmarkEnd w:id="31"/>
      <w:r>
        <w:rPr>
          <w:rFonts w:hint="eastAsia" w:ascii="宋体" w:hAnsi="宋体" w:eastAsia="宋体" w:cs="宋体"/>
          <w:b/>
          <w:bCs/>
          <w:color w:val="000000" w:themeColor="text1"/>
          <w:sz w:val="24"/>
          <w:szCs w:val="24"/>
          <w:highlight w:val="none"/>
          <w:lang w:bidi="ar"/>
          <w14:textFill>
            <w14:solidFill>
              <w14:schemeClr w14:val="tx1"/>
            </w14:solidFill>
          </w14:textFill>
        </w:rPr>
        <w:t>对本次招标提出询问，请按以下方式联系</w:t>
      </w:r>
    </w:p>
    <w:p>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1.采购人信息</w:t>
      </w:r>
    </w:p>
    <w:p>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滁州市第一人民医院</w:t>
      </w:r>
    </w:p>
    <w:p>
      <w:pPr>
        <w:autoSpaceDE w:val="0"/>
        <w:spacing w:line="360" w:lineRule="auto"/>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滁州市醉翁西路369号</w:t>
      </w:r>
    </w:p>
    <w:p>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招标办</w:t>
      </w:r>
    </w:p>
    <w:p>
      <w:pPr>
        <w:autoSpaceDE w:val="0"/>
        <w:spacing w:line="360" w:lineRule="auto"/>
        <w:ind w:firstLine="480" w:firstLineChars="200"/>
        <w:outlineLvl w:val="2"/>
        <w:rPr>
          <w:rFonts w:hint="eastAsia" w:ascii="宋体" w:hAnsi="宋体" w:eastAsia="宋体"/>
          <w:color w:val="000000" w:themeColor="text1"/>
          <w:sz w:val="24"/>
          <w:szCs w:val="24"/>
          <w:highlight w:val="none"/>
          <w:u w:val="singl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联系方式：</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p>
    <w:p>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2.采购代理机构</w:t>
      </w:r>
      <w:r>
        <w:rPr>
          <w:rFonts w:hint="eastAsia" w:ascii="宋体" w:hAnsi="宋体" w:eastAsia="宋体" w:cs="宋体"/>
          <w:color w:val="000000" w:themeColor="text1"/>
          <w:sz w:val="24"/>
          <w:szCs w:val="24"/>
          <w:highlight w:val="none"/>
          <w:lang w:bidi="ar"/>
          <w14:textFill>
            <w14:solidFill>
              <w14:schemeClr w14:val="tx1"/>
            </w14:solidFill>
          </w14:textFill>
        </w:rPr>
        <w:t>信息</w:t>
      </w:r>
    </w:p>
    <w:p>
      <w:pPr>
        <w:autoSpaceDE w:val="0"/>
        <w:spacing w:line="360" w:lineRule="auto"/>
        <w:ind w:firstLine="480" w:firstLineChars="200"/>
        <w:outlineLvl w:val="2"/>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名  称：</w:t>
      </w:r>
      <w:r>
        <w:rPr>
          <w:rFonts w:hint="eastAsia" w:ascii="宋体" w:hAnsi="宋体" w:eastAsia="宋体"/>
          <w:color w:val="000000" w:themeColor="text1"/>
          <w:sz w:val="24"/>
          <w:szCs w:val="24"/>
          <w:highlight w:val="none"/>
          <w:u w:val="single"/>
          <w:lang w:bidi="ar"/>
          <w14:textFill>
            <w14:solidFill>
              <w14:schemeClr w14:val="tx1"/>
            </w14:solidFill>
          </w14:textFill>
        </w:rPr>
        <w:t>安徽百士德工程咨询有限公司</w:t>
      </w:r>
    </w:p>
    <w:p>
      <w:pPr>
        <w:autoSpaceDE w:val="0"/>
        <w:spacing w:line="360" w:lineRule="auto"/>
        <w:ind w:firstLine="480" w:firstLineChars="200"/>
        <w:outlineLvl w:val="2"/>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址：</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滁州市会峰西路72-11号 </w:t>
      </w:r>
    </w:p>
    <w:p>
      <w:pPr>
        <w:autoSpaceDE w:val="0"/>
        <w:spacing w:line="360" w:lineRule="auto"/>
        <w:ind w:firstLine="480" w:firstLineChars="200"/>
        <w:outlineLvl w:val="2"/>
        <w:rPr>
          <w:rFonts w:hint="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联系人：</w:t>
      </w:r>
      <w:r>
        <w:rPr>
          <w:rFonts w:hint="eastAsia" w:ascii="宋体" w:hAnsi="宋体" w:eastAsia="宋体"/>
          <w:color w:val="000000" w:themeColor="text1"/>
          <w:sz w:val="24"/>
          <w:szCs w:val="24"/>
          <w:highlight w:val="none"/>
          <w:u w:val="single"/>
          <w:lang w:bidi="ar"/>
          <w14:textFill>
            <w14:solidFill>
              <w14:schemeClr w14:val="tx1"/>
            </w14:solidFill>
          </w14:textFill>
        </w:rPr>
        <w:t>王力</w:t>
      </w:r>
    </w:p>
    <w:p>
      <w:pPr>
        <w:pStyle w:val="13"/>
        <w:ind w:firstLine="480" w:firstLineChars="200"/>
        <w:rPr>
          <w:rFonts w:hint="eastAsia" w:ascii="宋体" w:hAnsi="宋体" w:eastAsia="宋体" w:cs="@仿宋_GB2312"/>
          <w:color w:val="000000" w:themeColor="text1"/>
          <w:sz w:val="24"/>
          <w:highlight w:val="none"/>
          <w:u w:val="single"/>
          <w:lang w:val="en-US"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联系方式：</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0550-3011399、13955028781 </w:t>
      </w: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2"/>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5"/>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2"/>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5"/>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13"/>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pPr>
        <w:pStyle w:val="2"/>
        <w:rPr>
          <w:rFonts w:hint="eastAsia"/>
          <w:lang w:val="en-US"/>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asciiTheme="minorEastAsia" w:hAnsiTheme="minorEastAsia" w:eastAsiaTheme="minorEastAsia"/>
          <w:b/>
          <w:color w:val="000000" w:themeColor="text1"/>
          <w:sz w:val="28"/>
          <w:highlight w:val="none"/>
          <w14:textFill>
            <w14:solidFill>
              <w14:schemeClr w14:val="tx1"/>
            </w14:solidFill>
          </w14:textFill>
        </w:rPr>
        <w:t>投标人须知</w:t>
      </w:r>
      <w:bookmarkEnd w:id="3"/>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32" w:name="_Toc7178"/>
      <w:bookmarkStart w:id="33" w:name="_Toc3114"/>
      <w:r>
        <w:rPr>
          <w:rFonts w:hint="eastAsia" w:asciiTheme="minorEastAsia" w:hAnsiTheme="minorEastAsia" w:eastAsiaTheme="minorEastAsia"/>
          <w:b/>
          <w:color w:val="000000" w:themeColor="text1"/>
          <w:sz w:val="24"/>
          <w:highlight w:val="none"/>
          <w14:textFill>
            <w14:solidFill>
              <w14:schemeClr w14:val="tx1"/>
            </w14:solidFill>
          </w14:textFill>
        </w:rPr>
        <w:t>一、</w:t>
      </w:r>
      <w:r>
        <w:rPr>
          <w:rFonts w:asciiTheme="minorEastAsia" w:hAnsiTheme="minorEastAsia" w:eastAsiaTheme="minorEastAsia"/>
          <w:b/>
          <w:color w:val="000000" w:themeColor="text1"/>
          <w:sz w:val="24"/>
          <w:highlight w:val="none"/>
          <w14:textFill>
            <w14:solidFill>
              <w14:schemeClr w14:val="tx1"/>
            </w14:solidFill>
          </w14:textFill>
        </w:rPr>
        <w:t>投标人须知前附表</w:t>
      </w:r>
      <w:bookmarkEnd w:id="32"/>
      <w:bookmarkEnd w:id="33"/>
    </w:p>
    <w:p>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w:t>
      </w:r>
      <w:r>
        <w:rPr>
          <w:rFonts w:hint="eastAsia" w:ascii="宋体" w:hAnsi="宋体" w:eastAsia="宋体"/>
          <w:color w:val="000000" w:themeColor="text1"/>
          <w:sz w:val="24"/>
          <w:szCs w:val="18"/>
          <w:highlight w:val="none"/>
          <w14:textFill>
            <w14:solidFill>
              <w14:schemeClr w14:val="tx1"/>
            </w14:solidFill>
          </w14:textFill>
        </w:rPr>
        <w:t>本表是本项目的具体要求，是对投标人须知的具体补充和修改，如有不一致，以本表为准。</w:t>
      </w:r>
    </w:p>
    <w:tbl>
      <w:tblPr>
        <w:tblStyle w:val="40"/>
        <w:tblW w:w="8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4"/>
              <w:widowControl w:val="0"/>
              <w:spacing w:before="0" w:beforeAutospacing="0" w:after="0" w:afterAutospacing="0"/>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条款号</w:t>
            </w:r>
          </w:p>
        </w:tc>
        <w:tc>
          <w:tcPr>
            <w:tcW w:w="2033" w:type="dxa"/>
            <w:vAlign w:val="center"/>
          </w:tcPr>
          <w:p>
            <w:pPr>
              <w:pStyle w:val="44"/>
              <w:widowControl w:val="0"/>
              <w:spacing w:before="0" w:beforeAutospacing="0" w:after="0" w:afterAutospacing="0"/>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条款名称</w:t>
            </w:r>
          </w:p>
        </w:tc>
        <w:tc>
          <w:tcPr>
            <w:tcW w:w="5618" w:type="dxa"/>
            <w:vAlign w:val="center"/>
          </w:tcPr>
          <w:p>
            <w:pPr>
              <w:pStyle w:val="44"/>
              <w:widowControl w:val="0"/>
              <w:spacing w:before="0" w:beforeAutospacing="0" w:after="0" w:afterAutospacing="0"/>
              <w:rPr>
                <w:rFonts w:hint="eastAsia" w:ascii="宋体" w:hAnsi="宋体" w:eastAsia="宋体"/>
                <w:bCs w:val="0"/>
                <w:color w:val="000000" w:themeColor="text1"/>
                <w:kern w:val="2"/>
                <w:sz w:val="24"/>
                <w:szCs w:val="20"/>
                <w:highlight w:val="none"/>
                <w14:textFill>
                  <w14:solidFill>
                    <w14:schemeClr w14:val="tx1"/>
                  </w14:solidFill>
                </w14:textFill>
              </w:rPr>
            </w:pPr>
            <w:r>
              <w:rPr>
                <w:rFonts w:hint="eastAsia" w:ascii="宋体" w:hAnsi="宋体" w:eastAsia="宋体"/>
                <w:bCs w:val="0"/>
                <w:color w:val="000000" w:themeColor="text1"/>
                <w:kern w:val="2"/>
                <w:sz w:val="24"/>
                <w:szCs w:val="20"/>
                <w:highlight w:val="none"/>
                <w14:textFill>
                  <w14:solidFill>
                    <w14:schemeClr w14:val="tx1"/>
                  </w14:solidFill>
                </w14:textFill>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5</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left"/>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现场考察或标前答疑会</w:t>
            </w:r>
          </w:p>
        </w:tc>
        <w:tc>
          <w:tcPr>
            <w:tcW w:w="5618" w:type="dxa"/>
            <w:vAlign w:val="center"/>
          </w:tcPr>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sz w:val="24"/>
                <w:highlight w:val="none"/>
                <w14:textFill>
                  <w14:solidFill>
                    <w14:schemeClr w14:val="tx1"/>
                  </w14:solidFill>
                </w14:textFill>
              </w:rPr>
            </w:pPr>
            <w:r>
              <w:rPr>
                <w:rFonts w:ascii="Segoe UI Symbol" w:hAnsi="Segoe UI Symbol" w:eastAsia="宋体" w:cs="Segoe UI Symbol"/>
                <w:bCs/>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不组织或不召开</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bCs/>
                <w:color w:val="000000" w:themeColor="text1"/>
                <w:sz w:val="24"/>
                <w:highlight w:val="none"/>
                <w14:textFill>
                  <w14:solidFill>
                    <w14:schemeClr w14:val="tx1"/>
                  </w14:solidFill>
                </w14:textFill>
              </w:rPr>
              <w:t>统一组织或统一召开</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时间：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年</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月</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日</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时</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14:textFill>
                  <w14:solidFill>
                    <w14:schemeClr w14:val="tx1"/>
                  </w14:solidFill>
                </w14:textFill>
              </w:rPr>
              <w:t>分</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地点：</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sz w:val="24"/>
                <w:highlight w:val="none"/>
                <w:u w:val="singl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联系人及联系电话：</w:t>
            </w:r>
            <w:r>
              <w:rPr>
                <w:rFonts w:hint="eastAsia" w:ascii="宋体" w:hAnsi="宋体" w:eastAsia="宋体"/>
                <w:bCs/>
                <w:color w:val="000000" w:themeColor="text1"/>
                <w:sz w:val="24"/>
                <w:highlight w:val="none"/>
                <w:u w:val="single"/>
                <w14:textFill>
                  <w14:solidFill>
                    <w14:schemeClr w14:val="tx1"/>
                  </w14:solidFill>
                </w14:textFill>
              </w:rPr>
              <w:t xml:space="preserve"> </w:t>
            </w:r>
            <w:r>
              <w:rPr>
                <w:rFonts w:ascii="宋体" w:hAnsi="宋体" w:eastAsia="宋体"/>
                <w:bCs/>
                <w:color w:val="000000" w:themeColor="text1"/>
                <w:sz w:val="24"/>
                <w:highlight w:val="none"/>
                <w:u w:val="single"/>
                <w14:textFill>
                  <w14:solidFill>
                    <w14:schemeClr w14:val="tx1"/>
                  </w14:solidFill>
                </w14:textFill>
              </w:rPr>
              <w:t xml:space="preserve">  </w:t>
            </w:r>
            <w:r>
              <w:rPr>
                <w:rFonts w:hint="eastAsia" w:ascii="宋体" w:hAnsi="宋体" w:eastAsia="宋体"/>
                <w:bCs/>
                <w:color w:val="000000" w:themeColor="text1"/>
                <w:sz w:val="24"/>
                <w:highlight w:val="none"/>
                <w:u w:val="single"/>
                <w14:textFill>
                  <w14:solidFill>
                    <w14:schemeClr w14:val="tx1"/>
                  </w14:solidFill>
                </w14:textFill>
              </w:rPr>
              <w:t>/</w:t>
            </w:r>
            <w:r>
              <w:rPr>
                <w:rFonts w:ascii="宋体" w:hAnsi="宋体" w:eastAsia="宋体"/>
                <w:bCs/>
                <w:color w:val="000000" w:themeColor="text1"/>
                <w:sz w:val="24"/>
                <w:highlight w:val="none"/>
                <w:u w:val="single"/>
                <w14:textFill>
                  <w14:solidFill>
                    <w14:schemeClr w14:val="tx1"/>
                  </w14:solidFill>
                </w14:textFill>
              </w:rPr>
              <w:t xml:space="preserve">        </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left"/>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网上询问截止时间</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FF"/>
                <w:sz w:val="24"/>
                <w:highlight w:val="none"/>
                <w:u w:val="single"/>
              </w:rPr>
              <w:t>202</w:t>
            </w:r>
            <w:r>
              <w:rPr>
                <w:rFonts w:hint="eastAsia" w:ascii="宋体" w:hAnsi="宋体" w:eastAsia="宋体"/>
                <w:b w:val="0"/>
                <w:color w:val="0000FF"/>
                <w:sz w:val="24"/>
                <w:highlight w:val="none"/>
                <w:u w:val="single"/>
                <w:lang w:val="en-US" w:eastAsia="zh-CN"/>
              </w:rPr>
              <w:t>5</w:t>
            </w:r>
            <w:r>
              <w:rPr>
                <w:rFonts w:ascii="宋体" w:hAnsi="宋体" w:eastAsia="宋体"/>
                <w:b w:val="0"/>
                <w:color w:val="0000FF"/>
                <w:sz w:val="24"/>
                <w:highlight w:val="none"/>
              </w:rPr>
              <w:t>年</w:t>
            </w:r>
            <w:r>
              <w:rPr>
                <w:rFonts w:hint="eastAsia" w:ascii="宋体" w:hAnsi="宋体" w:eastAsia="宋体"/>
                <w:b w:val="0"/>
                <w:color w:val="0000FF"/>
                <w:sz w:val="24"/>
                <w:highlight w:val="none"/>
                <w:u w:val="single"/>
                <w:lang w:val="en-US" w:eastAsia="zh-CN"/>
              </w:rPr>
              <w:t xml:space="preserve"> 4</w:t>
            </w:r>
            <w:r>
              <w:rPr>
                <w:rFonts w:ascii="宋体" w:hAnsi="宋体" w:eastAsia="宋体"/>
                <w:b w:val="0"/>
                <w:color w:val="0000FF"/>
                <w:sz w:val="24"/>
                <w:highlight w:val="none"/>
              </w:rPr>
              <w:t>月</w:t>
            </w:r>
            <w:r>
              <w:rPr>
                <w:rFonts w:hint="eastAsia" w:ascii="宋体" w:hAnsi="宋体" w:eastAsia="宋体"/>
                <w:b w:val="0"/>
                <w:color w:val="0000FF"/>
                <w:sz w:val="24"/>
                <w:highlight w:val="none"/>
                <w:u w:val="single"/>
                <w:lang w:val="en-US" w:eastAsia="zh-CN"/>
              </w:rPr>
              <w:t>30</w:t>
            </w:r>
            <w:r>
              <w:rPr>
                <w:rFonts w:ascii="宋体" w:hAnsi="宋体" w:eastAsia="宋体"/>
                <w:b w:val="0"/>
                <w:color w:val="0000FF"/>
                <w:sz w:val="24"/>
                <w:highlight w:val="none"/>
              </w:rPr>
              <w:t>日</w:t>
            </w:r>
            <w:r>
              <w:rPr>
                <w:rFonts w:hint="eastAsia" w:ascii="宋体" w:hAnsi="宋体" w:eastAsia="宋体"/>
                <w:b w:val="0"/>
                <w:color w:val="0000FF"/>
                <w:sz w:val="24"/>
                <w:highlight w:val="none"/>
                <w:u w:val="single"/>
              </w:rPr>
              <w:t>17</w:t>
            </w:r>
            <w:r>
              <w:rPr>
                <w:rFonts w:ascii="宋体" w:hAnsi="宋体" w:eastAsia="宋体"/>
                <w:b w:val="0"/>
                <w:color w:val="0000FF"/>
                <w:sz w:val="24"/>
                <w:highlight w:val="none"/>
              </w:rPr>
              <w:t>时</w:t>
            </w:r>
            <w:r>
              <w:rPr>
                <w:rFonts w:hint="eastAsia" w:ascii="宋体" w:hAnsi="宋体" w:eastAsia="宋体"/>
                <w:b w:val="0"/>
                <w:color w:val="0000FF"/>
                <w:sz w:val="24"/>
                <w:highlight w:val="none"/>
                <w:u w:val="single"/>
                <w:lang w:val="en-US" w:eastAsia="zh-CN"/>
              </w:rPr>
              <w:t>0</w:t>
            </w:r>
            <w:r>
              <w:rPr>
                <w:rFonts w:hint="eastAsia" w:ascii="宋体" w:hAnsi="宋体" w:eastAsia="宋体"/>
                <w:b w:val="0"/>
                <w:color w:val="0000FF"/>
                <w:sz w:val="24"/>
                <w:highlight w:val="none"/>
                <w:u w:val="single"/>
              </w:rPr>
              <w:t>0</w:t>
            </w:r>
            <w:r>
              <w:rPr>
                <w:rFonts w:hint="eastAsia" w:ascii="宋体" w:hAnsi="宋体" w:eastAsia="宋体"/>
                <w:b w:val="0"/>
                <w:color w:val="0000FF"/>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left"/>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包别划分</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不分包     □分为</w:t>
            </w:r>
            <w:r>
              <w:rPr>
                <w:rFonts w:hint="eastAsia" w:ascii="宋体" w:hAnsi="宋体" w:eastAsia="宋体"/>
                <w:b w:val="0"/>
                <w:color w:val="000000" w:themeColor="text1"/>
                <w:sz w:val="24"/>
                <w:highlight w:val="none"/>
                <w:u w:val="single"/>
                <w14:textFill>
                  <w14:solidFill>
                    <w14:schemeClr w14:val="tx1"/>
                  </w14:solidFill>
                </w14:textFill>
              </w:rPr>
              <w:t>/</w:t>
            </w:r>
            <w:r>
              <w:rPr>
                <w:rFonts w:ascii="宋体" w:hAnsi="宋体" w:eastAsia="宋体"/>
                <w:b w:val="0"/>
                <w:color w:val="000000" w:themeColor="text1"/>
                <w:sz w:val="24"/>
                <w:highlight w:val="none"/>
                <w14:textFill>
                  <w14:solidFill>
                    <w14:schemeClr w14:val="tx1"/>
                  </w14:solidFill>
                </w14:textFill>
              </w:rPr>
              <w:t xml:space="preserve"> 个包</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投标人对多个包进行投标的中标</w:t>
            </w:r>
            <w:r>
              <w:rPr>
                <w:rFonts w:ascii="宋体" w:hAnsi="宋体" w:eastAsia="宋体"/>
                <w:b w:val="0"/>
                <w:color w:val="000000" w:themeColor="text1"/>
                <w:sz w:val="24"/>
                <w:highlight w:val="none"/>
                <w14:textFill>
                  <w14:solidFill>
                    <w14:schemeClr w14:val="tx1"/>
                  </w14:solidFill>
                </w14:textFill>
              </w:rPr>
              <w:t>包</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宋体"/>
                <w:b w:val="0"/>
                <w:bCs w:val="0"/>
                <w:color w:val="000000" w:themeColor="text1"/>
                <w:sz w:val="24"/>
                <w:szCs w:val="18"/>
                <w:highlight w:val="none"/>
                <w:u w:val="single"/>
                <w14:textFill>
                  <w14:solidFill>
                    <w14:schemeClr w14:val="tx1"/>
                  </w14:solidFill>
                </w14:textFill>
              </w:rPr>
              <w:t>/</w:t>
            </w:r>
            <w:r>
              <w:rPr>
                <w:rFonts w:ascii="宋体" w:hAnsi="宋体" w:eastAsia="宋体"/>
                <w:b w:val="0"/>
                <w:bCs w:val="0"/>
                <w:color w:val="000000" w:themeColor="text1"/>
                <w:sz w:val="24"/>
                <w:szCs w:val="18"/>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10</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left"/>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投标保证金</w:t>
            </w:r>
          </w:p>
        </w:tc>
        <w:tc>
          <w:tcPr>
            <w:tcW w:w="5618" w:type="dxa"/>
            <w:vAlign w:val="center"/>
          </w:tcPr>
          <w:p>
            <w:pPr>
              <w:keepNext w:val="0"/>
              <w:keepLines w:val="0"/>
              <w:pageBreakBefore w:val="0"/>
              <w:kinsoku/>
              <w:wordWrap/>
              <w:overflowPunct/>
              <w:topLinePunct w:val="0"/>
              <w:autoSpaceDN/>
              <w:bidi w:val="0"/>
              <w:adjustRightInd/>
              <w:snapToGrid/>
              <w:spacing w:line="420" w:lineRule="exact"/>
              <w:textAlignment w:val="auto"/>
              <w:rPr>
                <w:rFonts w:hint="eastAsia"/>
                <w:color w:val="000000" w:themeColor="text1"/>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11</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投标有效期</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6</w:t>
            </w:r>
            <w:r>
              <w:rPr>
                <w:rFonts w:hint="eastAsia" w:ascii="宋体" w:hAnsi="宋体" w:eastAsia="宋体"/>
                <w:b w:val="0"/>
                <w:color w:val="000000" w:themeColor="text1"/>
                <w:sz w:val="24"/>
                <w:highlight w:val="none"/>
                <w:u w:val="single"/>
                <w14:textFill>
                  <w14:solidFill>
                    <w14:schemeClr w14:val="tx1"/>
                  </w14:solidFill>
                </w14:textFill>
              </w:rPr>
              <w:t>0 个</w:t>
            </w:r>
            <w:r>
              <w:rPr>
                <w:rFonts w:hint="eastAsia" w:ascii="宋体" w:hAnsi="宋体" w:eastAsia="宋体"/>
                <w:b w:val="0"/>
                <w:color w:val="000000" w:themeColor="text1"/>
                <w:sz w:val="24"/>
                <w:highlight w:val="none"/>
                <w14:textFill>
                  <w14:solidFill>
                    <w14:schemeClr w14:val="tx1"/>
                  </w14:solidFill>
                </w14:textFill>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12.3</w:t>
            </w:r>
          </w:p>
        </w:tc>
        <w:tc>
          <w:tcPr>
            <w:tcW w:w="2033" w:type="dxa"/>
            <w:vAlign w:val="center"/>
          </w:tcPr>
          <w:p>
            <w:pPr>
              <w:keepNext w:val="0"/>
              <w:keepLines w:val="0"/>
              <w:pageBreakBefore w:val="0"/>
              <w:widowControl/>
              <w:kinsoku/>
              <w:wordWrap/>
              <w:overflowPunct/>
              <w:topLinePunct w:val="0"/>
              <w:autoSpaceDN/>
              <w:bidi w:val="0"/>
              <w:adjustRightInd/>
              <w:snapToGrid/>
              <w:spacing w:line="420" w:lineRule="exact"/>
              <w:jc w:val="left"/>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提交投标文件截止时间和地点</w:t>
            </w:r>
          </w:p>
        </w:tc>
        <w:tc>
          <w:tcPr>
            <w:tcW w:w="5618" w:type="dxa"/>
            <w:vAlign w:val="center"/>
          </w:tcPr>
          <w:p>
            <w:pPr>
              <w:keepNext w:val="0"/>
              <w:keepLines w:val="0"/>
              <w:pageBreakBefore w:val="0"/>
              <w:kinsoku/>
              <w:wordWrap/>
              <w:overflowPunct/>
              <w:topLinePunct w:val="0"/>
              <w:autoSpaceDE w:val="0"/>
              <w:autoSpaceDN/>
              <w:bidi w:val="0"/>
              <w:adjustRightInd/>
              <w:snapToGrid/>
              <w:spacing w:line="420" w:lineRule="exact"/>
              <w:textAlignment w:val="auto"/>
              <w:outlineLvl w:val="2"/>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时间：</w:t>
            </w:r>
            <w:r>
              <w:rPr>
                <w:rFonts w:hint="eastAsia" w:ascii="宋体" w:hAnsi="宋体" w:eastAsia="宋体"/>
                <w:b w:val="0"/>
                <w:color w:val="0000FF"/>
                <w:sz w:val="24"/>
                <w:highlight w:val="none"/>
                <w:u w:val="single"/>
              </w:rPr>
              <w:t>202</w:t>
            </w:r>
            <w:r>
              <w:rPr>
                <w:rFonts w:hint="eastAsia" w:ascii="宋体" w:hAnsi="宋体" w:eastAsia="宋体"/>
                <w:b w:val="0"/>
                <w:color w:val="0000FF"/>
                <w:sz w:val="24"/>
                <w:highlight w:val="none"/>
                <w:u w:val="single"/>
                <w:lang w:val="en-US" w:eastAsia="zh-CN"/>
              </w:rPr>
              <w:t>5</w:t>
            </w:r>
            <w:r>
              <w:rPr>
                <w:rFonts w:ascii="宋体" w:hAnsi="宋体" w:eastAsia="宋体"/>
                <w:b w:val="0"/>
                <w:color w:val="0000FF"/>
                <w:sz w:val="24"/>
                <w:highlight w:val="none"/>
              </w:rPr>
              <w:t>年</w:t>
            </w:r>
            <w:r>
              <w:rPr>
                <w:rFonts w:hint="eastAsia" w:ascii="宋体" w:hAnsi="宋体" w:eastAsia="宋体"/>
                <w:b w:val="0"/>
                <w:color w:val="0000FF"/>
                <w:sz w:val="24"/>
                <w:highlight w:val="none"/>
                <w:u w:val="single"/>
                <w:lang w:val="en-US" w:eastAsia="zh-CN"/>
              </w:rPr>
              <w:t>5</w:t>
            </w:r>
            <w:r>
              <w:rPr>
                <w:rFonts w:ascii="宋体" w:hAnsi="宋体" w:eastAsia="宋体"/>
                <w:b w:val="0"/>
                <w:color w:val="0000FF"/>
                <w:sz w:val="24"/>
                <w:highlight w:val="none"/>
              </w:rPr>
              <w:t>月</w:t>
            </w:r>
            <w:r>
              <w:rPr>
                <w:rFonts w:hint="eastAsia" w:ascii="宋体" w:hAnsi="宋体" w:eastAsia="宋体"/>
                <w:b w:val="0"/>
                <w:color w:val="0000FF"/>
                <w:sz w:val="24"/>
                <w:highlight w:val="none"/>
                <w:u w:val="single"/>
                <w:lang w:val="en-US" w:eastAsia="zh-CN"/>
              </w:rPr>
              <w:t>7</w:t>
            </w:r>
            <w:r>
              <w:rPr>
                <w:rFonts w:ascii="宋体" w:hAnsi="宋体" w:eastAsia="宋体"/>
                <w:b w:val="0"/>
                <w:color w:val="0000FF"/>
                <w:sz w:val="24"/>
                <w:highlight w:val="none"/>
              </w:rPr>
              <w:t>日</w:t>
            </w:r>
            <w:r>
              <w:rPr>
                <w:rFonts w:hint="eastAsia" w:ascii="宋体" w:hAnsi="宋体" w:eastAsia="宋体" w:cs="宋体"/>
                <w:bCs/>
                <w:color w:val="0000FF"/>
                <w:sz w:val="24"/>
                <w:szCs w:val="24"/>
                <w:highlight w:val="none"/>
                <w:u w:val="single"/>
                <w:lang w:bidi="ar"/>
              </w:rPr>
              <w:t>1</w:t>
            </w:r>
            <w:r>
              <w:rPr>
                <w:rFonts w:hint="eastAsia" w:ascii="宋体" w:hAnsi="宋体" w:eastAsia="宋体" w:cs="宋体"/>
                <w:bCs/>
                <w:color w:val="0000FF"/>
                <w:sz w:val="24"/>
                <w:szCs w:val="24"/>
                <w:highlight w:val="none"/>
                <w:u w:val="single"/>
                <w:lang w:val="en-US" w:eastAsia="zh-CN" w:bidi="ar"/>
              </w:rPr>
              <w:t>5</w:t>
            </w:r>
            <w:r>
              <w:rPr>
                <w:rFonts w:hint="eastAsia" w:ascii="宋体" w:hAnsi="宋体" w:eastAsia="宋体" w:cs="宋体"/>
                <w:bCs/>
                <w:color w:val="0000FF"/>
                <w:sz w:val="24"/>
                <w:szCs w:val="24"/>
                <w:highlight w:val="none"/>
                <w:u w:val="single"/>
                <w:lang w:bidi="ar"/>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w:t>
            </w:r>
          </w:p>
          <w:p>
            <w:pPr>
              <w:keepNext w:val="0"/>
              <w:keepLines w:val="0"/>
              <w:pageBreakBefore w:val="0"/>
              <w:kinsoku/>
              <w:wordWrap/>
              <w:overflowPunct/>
              <w:topLinePunct w:val="0"/>
              <w:autoSpaceDE w:val="0"/>
              <w:autoSpaceDN/>
              <w:bidi w:val="0"/>
              <w:adjustRightInd/>
              <w:snapToGrid/>
              <w:spacing w:line="420" w:lineRule="exact"/>
              <w:textAlignment w:val="auto"/>
              <w:outlineLvl w:val="2"/>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地点：</w:t>
            </w:r>
            <w:r>
              <w:rPr>
                <w:rFonts w:hint="eastAsia" w:asciiTheme="minorEastAsia" w:hAnsiTheme="minorEastAsia" w:eastAsiaTheme="minorEastAsia"/>
                <w:color w:val="000000" w:themeColor="text1"/>
                <w:sz w:val="24"/>
                <w:szCs w:val="18"/>
                <w:highlight w:val="none"/>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default" w:ascii="宋体" w:hAnsi="宋体" w:eastAsia="宋体"/>
                <w:bCs/>
                <w:color w:val="000000" w:themeColor="text1"/>
                <w:kern w:val="2"/>
                <w:highlight w:val="none"/>
                <w:lang w:val="en-US"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13.1</w:t>
            </w:r>
          </w:p>
        </w:tc>
        <w:tc>
          <w:tcPr>
            <w:tcW w:w="2033" w:type="dxa"/>
            <w:shd w:val="clear" w:color="auto" w:fill="auto"/>
            <w:vAlign w:val="center"/>
          </w:tcPr>
          <w:p>
            <w:pPr>
              <w:keepNext w:val="0"/>
              <w:keepLines w:val="0"/>
              <w:pageBreakBefore w:val="0"/>
              <w:widowControl/>
              <w:kinsoku/>
              <w:wordWrap/>
              <w:overflowPunct/>
              <w:topLinePunct w:val="0"/>
              <w:autoSpaceDN/>
              <w:bidi w:val="0"/>
              <w:adjustRightInd/>
              <w:snapToGrid/>
              <w:spacing w:line="420" w:lineRule="exact"/>
              <w:jc w:val="left"/>
              <w:textAlignment w:val="auto"/>
              <w:rPr>
                <w:rFonts w:hint="default"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开标时间和地点</w:t>
            </w:r>
          </w:p>
        </w:tc>
        <w:tc>
          <w:tcPr>
            <w:tcW w:w="5618" w:type="dxa"/>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420" w:lineRule="exact"/>
              <w:ind w:left="0" w:right="0"/>
              <w:textAlignment w:val="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开标</w:t>
            </w:r>
            <w:r>
              <w:rPr>
                <w:rFonts w:hint="eastAsia" w:ascii="宋体" w:hAnsi="宋体" w:eastAsia="宋体" w:cs="宋体"/>
                <w:color w:val="000000" w:themeColor="text1"/>
                <w:kern w:val="0"/>
                <w:sz w:val="24"/>
                <w:szCs w:val="20"/>
                <w:highlight w:val="none"/>
                <w14:textFill>
                  <w14:solidFill>
                    <w14:schemeClr w14:val="tx1"/>
                  </w14:solidFill>
                </w14:textFill>
              </w:rPr>
              <w:t>时间：</w:t>
            </w:r>
            <w:r>
              <w:rPr>
                <w:rFonts w:hint="eastAsia" w:ascii="宋体" w:hAnsi="宋体" w:eastAsia="宋体" w:cs="宋体"/>
                <w:color w:val="0000FF"/>
                <w:sz w:val="24"/>
                <w:szCs w:val="20"/>
                <w:highlight w:val="none"/>
              </w:rPr>
              <w:t>2025年</w:t>
            </w:r>
            <w:r>
              <w:rPr>
                <w:rFonts w:hint="eastAsia" w:ascii="宋体" w:hAnsi="宋体" w:eastAsia="宋体" w:cs="宋体"/>
                <w:color w:val="0000FF"/>
                <w:sz w:val="24"/>
                <w:szCs w:val="20"/>
                <w:highlight w:val="none"/>
                <w:lang w:val="en-US" w:eastAsia="zh-CN"/>
              </w:rPr>
              <w:t>5</w:t>
            </w:r>
            <w:r>
              <w:rPr>
                <w:rFonts w:hint="eastAsia" w:ascii="宋体" w:hAnsi="宋体" w:eastAsia="宋体" w:cs="宋体"/>
                <w:color w:val="0000FF"/>
                <w:sz w:val="24"/>
                <w:szCs w:val="20"/>
                <w:highlight w:val="none"/>
              </w:rPr>
              <w:t>月</w:t>
            </w:r>
            <w:r>
              <w:rPr>
                <w:rFonts w:hint="eastAsia" w:ascii="宋体" w:hAnsi="宋体" w:eastAsia="宋体" w:cs="宋体"/>
                <w:color w:val="0000FF"/>
                <w:sz w:val="24"/>
                <w:szCs w:val="20"/>
                <w:highlight w:val="none"/>
                <w:lang w:val="en-US" w:eastAsia="zh-CN"/>
              </w:rPr>
              <w:t>7</w:t>
            </w:r>
            <w:r>
              <w:rPr>
                <w:rFonts w:hint="eastAsia" w:ascii="宋体" w:hAnsi="宋体" w:eastAsia="宋体" w:cs="宋体"/>
                <w:color w:val="0000FF"/>
                <w:sz w:val="24"/>
                <w:szCs w:val="20"/>
                <w:highlight w:val="none"/>
              </w:rPr>
              <w:t>日15 时00分</w:t>
            </w:r>
            <w:r>
              <w:rPr>
                <w:rFonts w:hint="eastAsia" w:ascii="宋体" w:hAnsi="宋体" w:eastAsia="宋体" w:cs="宋体"/>
                <w:color w:val="000000" w:themeColor="text1"/>
                <w:sz w:val="24"/>
                <w:szCs w:val="20"/>
                <w:highlight w:val="none"/>
                <w14:textFill>
                  <w14:solidFill>
                    <w14:schemeClr w14:val="tx1"/>
                  </w14:solidFill>
                </w14:textFill>
              </w:rPr>
              <w:t xml:space="preserve">   </w:t>
            </w:r>
          </w:p>
          <w:p>
            <w:pPr>
              <w:keepNext w:val="0"/>
              <w:keepLines w:val="0"/>
              <w:pageBreakBefore w:val="0"/>
              <w:kinsoku/>
              <w:wordWrap/>
              <w:overflowPunct/>
              <w:topLinePunct w:val="0"/>
              <w:autoSpaceDE w:val="0"/>
              <w:autoSpaceDN/>
              <w:bidi w:val="0"/>
              <w:adjustRightInd/>
              <w:snapToGrid/>
              <w:spacing w:line="420" w:lineRule="exact"/>
              <w:textAlignment w:val="auto"/>
              <w:outlineLvl w:val="2"/>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开标</w:t>
            </w:r>
            <w:r>
              <w:rPr>
                <w:rFonts w:hint="eastAsia" w:ascii="宋体" w:hAnsi="宋体" w:eastAsia="宋体" w:cs="宋体"/>
                <w:color w:val="000000" w:themeColor="text1"/>
                <w:kern w:val="0"/>
                <w:sz w:val="24"/>
                <w:szCs w:val="20"/>
                <w:highlight w:val="none"/>
                <w14:textFill>
                  <w14:solidFill>
                    <w14:schemeClr w14:val="tx1"/>
                  </w14:solidFill>
                </w14:textFill>
              </w:rPr>
              <w:t>地点</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滁州市第一人民医院南区行政部</w:t>
            </w:r>
            <w:r>
              <w:rPr>
                <w:rFonts w:hint="eastAsia" w:ascii="宋体" w:hAnsi="宋体" w:eastAsia="宋体"/>
                <w:color w:val="000000" w:themeColor="text1"/>
                <w:sz w:val="24"/>
                <w:szCs w:val="18"/>
                <w:highlight w:val="none"/>
                <w:lang w:val="en-US" w:eastAsia="zh-CN"/>
                <w14:textFill>
                  <w14:solidFill>
                    <w14:schemeClr w14:val="tx1"/>
                  </w14:solidFill>
                </w14:textFill>
              </w:rPr>
              <w:t>六</w:t>
            </w:r>
            <w:r>
              <w:rPr>
                <w:rFonts w:hint="eastAsia" w:ascii="宋体" w:hAnsi="宋体" w:eastAsia="宋体"/>
                <w:color w:val="000000" w:themeColor="text1"/>
                <w:sz w:val="24"/>
                <w:szCs w:val="18"/>
                <w:highlight w:val="none"/>
                <w14:textFill>
                  <w14:solidFill>
                    <w14:schemeClr w14:val="tx1"/>
                  </w14:solidFill>
                </w14:textFill>
              </w:rPr>
              <w:t>楼</w:t>
            </w:r>
            <w:r>
              <w:rPr>
                <w:rFonts w:hint="eastAsia" w:ascii="宋体" w:hAnsi="宋体" w:eastAsia="宋体"/>
                <w:color w:val="000000" w:themeColor="text1"/>
                <w:sz w:val="24"/>
                <w:szCs w:val="18"/>
                <w:highlight w:val="none"/>
                <w:lang w:val="en-US" w:eastAsia="zh-CN"/>
                <w14:textFill>
                  <w14:solidFill>
                    <w14:schemeClr w14:val="tx1"/>
                  </w14:solidFill>
                </w14:textFill>
              </w:rPr>
              <w:t>会议室</w:t>
            </w:r>
            <w:r>
              <w:rPr>
                <w:rFonts w:hint="eastAsia" w:ascii="宋体" w:hAnsi="宋体" w:eastAsia="宋体" w:cs="宋体"/>
                <w:color w:val="000000" w:themeColor="text1"/>
                <w:sz w:val="24"/>
                <w:szCs w:val="20"/>
                <w:highlight w:val="none"/>
                <w:u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14.1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资格审查</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bCs w:val="0"/>
                <w:color w:val="000000" w:themeColor="text1"/>
                <w:sz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采购人审查</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u w:val="single"/>
                <w14:textFill>
                  <w14:solidFill>
                    <w14:schemeClr w14:val="tx1"/>
                  </w14:solidFill>
                </w14:textFill>
              </w:rPr>
            </w:pPr>
            <w:r>
              <w:rPr>
                <w:rFonts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highlight w:val="none"/>
                <w14:textFill>
                  <w14:solidFill>
                    <w14:schemeClr w14:val="tx1"/>
                  </w14:solidFill>
                </w14:textFill>
              </w:rPr>
              <w:t>采购人出具委托函委托采购代理机构进行审查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17</w:t>
            </w:r>
            <w:r>
              <w:rPr>
                <w:rFonts w:ascii="宋体" w:hAnsi="宋体" w:eastAsia="宋体"/>
                <w:bCs/>
                <w:color w:val="000000" w:themeColor="text1"/>
                <w:kern w:val="2"/>
                <w:highlight w:val="none"/>
                <w14:textFill>
                  <w14:solidFill>
                    <w14:schemeClr w14:val="tx1"/>
                  </w14:solidFill>
                </w14:textFill>
              </w:rPr>
              <w:t>.2</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评标方法</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最低评标价法</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szCs w:val="24"/>
                <w:highlight w:val="none"/>
                <w14:textFill>
                  <w14:solidFill>
                    <w14:schemeClr w14:val="tx1"/>
                  </w14:solidFill>
                </w14:textFill>
              </w:rPr>
              <w:t>□</w:t>
            </w:r>
            <w:r>
              <w:rPr>
                <w:rFonts w:hint="eastAsia" w:ascii="宋体" w:hAnsi="宋体" w:eastAsia="宋体"/>
                <w:b w:val="0"/>
                <w:color w:val="000000" w:themeColor="text1"/>
                <w:sz w:val="24"/>
                <w:highlight w:val="none"/>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评标委员会推荐</w:t>
            </w:r>
            <w:r>
              <w:rPr>
                <w:rFonts w:ascii="宋体" w:hAnsi="宋体" w:eastAsia="宋体"/>
                <w:b w:val="0"/>
                <w:color w:val="000000" w:themeColor="text1"/>
                <w:sz w:val="24"/>
                <w:highlight w:val="none"/>
                <w14:textFill>
                  <w14:solidFill>
                    <w14:schemeClr w14:val="tx1"/>
                  </w14:solidFill>
                </w14:textFill>
              </w:rPr>
              <w:t>中标候选</w:t>
            </w:r>
            <w:r>
              <w:rPr>
                <w:rFonts w:hint="eastAsia" w:ascii="宋体" w:hAnsi="宋体" w:eastAsia="宋体"/>
                <w:b w:val="0"/>
                <w:color w:val="000000" w:themeColor="text1"/>
                <w:sz w:val="24"/>
                <w:highlight w:val="none"/>
                <w14:textFill>
                  <w14:solidFill>
                    <w14:schemeClr w14:val="tx1"/>
                  </w14:solidFill>
                </w14:textFill>
              </w:rPr>
              <w:t>人的</w:t>
            </w:r>
            <w:r>
              <w:rPr>
                <w:rFonts w:ascii="宋体" w:hAnsi="宋体" w:eastAsia="宋体"/>
                <w:b w:val="0"/>
                <w:color w:val="000000" w:themeColor="text1"/>
                <w:sz w:val="24"/>
                <w:highlight w:val="none"/>
                <w14:textFill>
                  <w14:solidFill>
                    <w14:schemeClr w14:val="tx1"/>
                  </w14:solidFill>
                </w14:textFill>
              </w:rPr>
              <w:t>数量</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2</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确定中标人</w:t>
            </w:r>
          </w:p>
        </w:tc>
        <w:tc>
          <w:tcPr>
            <w:tcW w:w="5618" w:type="dxa"/>
            <w:vAlign w:val="center"/>
          </w:tcPr>
          <w:p>
            <w:pPr>
              <w:keepNext w:val="0"/>
              <w:keepLines w:val="0"/>
              <w:pageBreakBefore w:val="0"/>
              <w:kinsoku/>
              <w:wordWrap/>
              <w:overflowPunct/>
              <w:topLinePunct w:val="0"/>
              <w:autoSpaceDN/>
              <w:bidi w:val="0"/>
              <w:adjustRightInd/>
              <w:snapToGrid/>
              <w:spacing w:line="420" w:lineRule="exact"/>
              <w:textAlignment w:val="auto"/>
              <w:rPr>
                <w:rFonts w:hint="eastAsia"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highlight w:val="none"/>
                <w14:textFill>
                  <w14:solidFill>
                    <w14:schemeClr w14:val="tx1"/>
                  </w14:solidFill>
                </w14:textFill>
              </w:rPr>
              <w:t>采购人委托评标委员会确定</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kern w:val="2"/>
                <w:sz w:val="24"/>
                <w:szCs w:val="24"/>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highlight w:val="none"/>
                <w14:textFill>
                  <w14:solidFill>
                    <w14:schemeClr w14:val="tx1"/>
                  </w14:solidFill>
                </w14:textFill>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ascii="宋体" w:hAnsi="宋体" w:eastAsia="宋体"/>
                <w:bCs/>
                <w:color w:val="000000" w:themeColor="text1"/>
                <w:kern w:val="2"/>
                <w:highlight w:val="none"/>
                <w14:textFill>
                  <w14:solidFill>
                    <w14:schemeClr w14:val="tx1"/>
                  </w14:solidFill>
                </w14:textFill>
              </w:rPr>
              <w:t>2</w:t>
            </w:r>
            <w:r>
              <w:rPr>
                <w:rFonts w:hint="eastAsia" w:ascii="宋体" w:hAnsi="宋体" w:eastAsia="宋体"/>
                <w:bCs/>
                <w:color w:val="000000" w:themeColor="text1"/>
                <w:kern w:val="2"/>
                <w:highlight w:val="none"/>
                <w14:textFill>
                  <w14:solidFill>
                    <w14:schemeClr w14:val="tx1"/>
                  </w14:solidFill>
                </w14:textFill>
              </w:rPr>
              <w:t>3</w:t>
            </w:r>
            <w:r>
              <w:rPr>
                <w:rFonts w:ascii="宋体" w:hAnsi="宋体" w:eastAsia="宋体"/>
                <w:bCs/>
                <w:color w:val="000000" w:themeColor="text1"/>
                <w:kern w:val="2"/>
                <w:highlight w:val="none"/>
                <w14:textFill>
                  <w14:solidFill>
                    <w14:schemeClr w14:val="tx1"/>
                  </w14:solidFill>
                </w14:textFill>
              </w:rPr>
              <w:t>.3</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随中标结果公告同时公告的内容</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w:t>
            </w:r>
            <w:r>
              <w:rPr>
                <w:rFonts w:hint="eastAsia" w:ascii="宋体" w:hAnsi="宋体" w:eastAsia="宋体"/>
                <w:b w:val="0"/>
                <w:color w:val="000000" w:themeColor="text1"/>
                <w:sz w:val="24"/>
                <w:highlight w:val="none"/>
                <w:lang w:val="en-US" w:eastAsia="zh-CN"/>
                <w14:textFill>
                  <w14:solidFill>
                    <w14:schemeClr w14:val="tx1"/>
                  </w14:solidFill>
                </w14:textFill>
              </w:rPr>
              <w:t>1</w:t>
            </w:r>
            <w:r>
              <w:rPr>
                <w:rFonts w:hint="eastAsia" w:ascii="宋体" w:hAnsi="宋体" w:eastAsia="宋体"/>
                <w:b w:val="0"/>
                <w:color w:val="000000" w:themeColor="text1"/>
                <w:sz w:val="24"/>
                <w:highlight w:val="none"/>
                <w14:textFill>
                  <w14:solidFill>
                    <w14:schemeClr w14:val="tx1"/>
                  </w14:solidFill>
                </w14:textFill>
              </w:rPr>
              <w:t>）因落实政府采购政策等原因进行价格扣除后中标（成交）供应商的评审报价</w:t>
            </w:r>
            <w:r>
              <w:rPr>
                <w:rFonts w:hint="eastAsia" w:ascii="宋体" w:hAnsi="宋体" w:eastAsia="宋体"/>
                <w:bCs w:val="0"/>
                <w:color w:val="000000" w:themeColor="text1"/>
                <w:sz w:val="24"/>
                <w:highlight w:val="none"/>
                <w14:textFill>
                  <w14:solidFill>
                    <w14:schemeClr w14:val="tx1"/>
                  </w14:solidFill>
                </w14:textFill>
              </w:rPr>
              <w:t>（适用最低评标价法）</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bCs w:val="0"/>
                <w:color w:val="000000" w:themeColor="text1"/>
                <w:sz w:val="24"/>
                <w:szCs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w:t>
            </w:r>
            <w:r>
              <w:rPr>
                <w:rFonts w:hint="eastAsia" w:ascii="宋体" w:hAnsi="宋体" w:eastAsia="宋体"/>
                <w:b w:val="0"/>
                <w:color w:val="000000" w:themeColor="text1"/>
                <w:sz w:val="24"/>
                <w:highlight w:val="none"/>
                <w:lang w:val="en-US" w:eastAsia="zh-CN"/>
                <w14:textFill>
                  <w14:solidFill>
                    <w14:schemeClr w14:val="tx1"/>
                  </w14:solidFill>
                </w14:textFill>
              </w:rPr>
              <w:t>2</w:t>
            </w:r>
            <w:r>
              <w:rPr>
                <w:rFonts w:hint="eastAsia" w:ascii="宋体" w:hAnsi="宋体" w:eastAsia="宋体"/>
                <w:b w:val="0"/>
                <w:color w:val="000000" w:themeColor="text1"/>
                <w:sz w:val="24"/>
                <w:highlight w:val="none"/>
                <w14:textFill>
                  <w14:solidFill>
                    <w14:schemeClr w14:val="tx1"/>
                  </w14:solidFill>
                </w14:textFill>
              </w:rPr>
              <w:t>）中标（成交）供应商的评审总得分</w:t>
            </w:r>
            <w:r>
              <w:rPr>
                <w:rFonts w:hint="eastAsia" w:ascii="宋体" w:hAnsi="宋体" w:eastAsia="宋体"/>
                <w:bCs w:val="0"/>
                <w:color w:val="000000" w:themeColor="text1"/>
                <w:sz w:val="24"/>
                <w:highlight w:val="none"/>
                <w14:textFill>
                  <w14:solidFill>
                    <w14:schemeClr w14:val="tx1"/>
                  </w14:solidFill>
                </w14:textFill>
              </w:rPr>
              <w:t>（适用综合评分法）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24</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中标通知书发出的形式</w:t>
            </w:r>
          </w:p>
        </w:tc>
        <w:tc>
          <w:tcPr>
            <w:tcW w:w="5618"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bCs w:val="0"/>
                <w:color w:val="000000" w:themeColor="text1"/>
                <w:sz w:val="24"/>
                <w:szCs w:val="24"/>
                <w:highlight w:val="none"/>
                <w14:textFill>
                  <w14:solidFill>
                    <w14:schemeClr w14:val="tx1"/>
                  </w14:solidFill>
                </w14:textFill>
              </w:rPr>
            </w:pPr>
            <w:r>
              <w:rPr>
                <w:rFonts w:ascii="Segoe UI Symbol" w:hAnsi="Segoe UI Symbol" w:eastAsia="宋体" w:cs="Segoe UI Symbol"/>
                <w:b w:val="0"/>
                <w:bCs w:val="0"/>
                <w:color w:val="000000" w:themeColor="text1"/>
                <w:sz w:val="24"/>
                <w:szCs w:val="24"/>
                <w:highlight w:val="none"/>
                <w14:textFill>
                  <w14:solidFill>
                    <w14:schemeClr w14:val="tx1"/>
                  </w14:solidFill>
                </w14:textFill>
              </w:rPr>
              <w:t>☑</w:t>
            </w:r>
            <w:r>
              <w:rPr>
                <w:rFonts w:hint="eastAsia" w:ascii="宋体" w:hAnsi="宋体" w:eastAsia="宋体"/>
                <w:b w:val="0"/>
                <w:bCs w:val="0"/>
                <w:color w:val="000000" w:themeColor="text1"/>
                <w:sz w:val="24"/>
                <w:szCs w:val="24"/>
                <w:highlight w:val="none"/>
                <w14:textFill>
                  <w14:solidFill>
                    <w14:schemeClr w14:val="tx1"/>
                  </w14:solidFill>
                </w14:textFill>
              </w:rPr>
              <w:t xml:space="preserve">书面 </w:t>
            </w:r>
            <w:r>
              <w:rPr>
                <w:rFonts w:ascii="宋体" w:hAnsi="宋体" w:eastAsia="宋体"/>
                <w:b w:val="0"/>
                <w:bCs w:val="0"/>
                <w:color w:val="000000" w:themeColor="text1"/>
                <w:sz w:val="24"/>
                <w:szCs w:val="24"/>
                <w:highlight w:val="none"/>
                <w14:textFill>
                  <w14:solidFill>
                    <w14:schemeClr w14:val="tx1"/>
                  </w14:solidFill>
                </w14:textFill>
              </w:rPr>
              <w:t xml:space="preserve">    </w:t>
            </w:r>
            <w:r>
              <w:rPr>
                <w:rFonts w:hint="eastAsia" w:ascii="宋体" w:hAnsi="宋体" w:eastAsia="宋体"/>
                <w:b w:val="0"/>
                <w:bCs w:val="0"/>
                <w:color w:val="000000" w:themeColor="text1"/>
                <w:sz w:val="24"/>
                <w:szCs w:val="24"/>
                <w:highlight w:val="none"/>
                <w14:textFill>
                  <w14:solidFill>
                    <w14:schemeClr w14:val="tx1"/>
                  </w14:solidFill>
                </w14:textFill>
              </w:rPr>
              <w:sym w:font="Wingdings" w:char="00A8"/>
            </w:r>
            <w:r>
              <w:rPr>
                <w:rFonts w:hint="eastAsia" w:ascii="宋体" w:hAnsi="宋体" w:eastAsia="宋体"/>
                <w:b w:val="0"/>
                <w:bCs w:val="0"/>
                <w:color w:val="000000" w:themeColor="text1"/>
                <w:sz w:val="24"/>
                <w:szCs w:val="24"/>
                <w:highlight w:val="none"/>
                <w14:textFill>
                  <w14:solidFill>
                    <w14:schemeClr w14:val="tx1"/>
                  </w14:solidFill>
                </w14:textFill>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25</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告知招标结果的形式</w:t>
            </w:r>
          </w:p>
        </w:tc>
        <w:tc>
          <w:tcPr>
            <w:tcW w:w="5618" w:type="dxa"/>
            <w:vAlign w:val="center"/>
          </w:tcPr>
          <w:p>
            <w:pPr>
              <w:pStyle w:val="25"/>
              <w:keepNext w:val="0"/>
              <w:keepLines w:val="0"/>
              <w:pageBreakBefore w:val="0"/>
              <w:kinsoku/>
              <w:wordWrap/>
              <w:overflowPunct/>
              <w:topLinePunct w:val="0"/>
              <w:autoSpaceDN/>
              <w:bidi w:val="0"/>
              <w:adjustRightInd/>
              <w:snapToGrid/>
              <w:spacing w:before="0" w:beforeAutospacing="0" w:after="0" w:afterAutospacing="0" w:line="420" w:lineRule="exact"/>
              <w:jc w:val="both"/>
              <w:textAlignment w:val="auto"/>
              <w:rPr>
                <w:rFonts w:hint="eastAsia" w:asciiTheme="minorEastAsia" w:hAnsiTheme="minorEastAsia" w:eastAsiaTheme="minorEastAsia"/>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投标人自行在滁州市第一人民医院官网查看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26</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履约保证金</w:t>
            </w:r>
          </w:p>
        </w:tc>
        <w:tc>
          <w:tcPr>
            <w:tcW w:w="5618" w:type="dxa"/>
          </w:tcPr>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（1）金额：</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ascii="Segoe UI Symbol" w:hAnsi="Segoe UI Symbol" w:eastAsia="宋体" w:cs="Segoe UI Symbol"/>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免收</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合同价的</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hint="eastAsia" w:ascii="宋体" w:hAnsi="宋体" w:eastAsia="宋体"/>
                <w:bCs/>
                <w:color w:val="000000" w:themeColor="text1"/>
                <w:kern w:val="0"/>
                <w:sz w:val="24"/>
                <w:szCs w:val="28"/>
                <w:highlight w:val="none"/>
                <w:u w:val="single"/>
                <w14:textFill>
                  <w14:solidFill>
                    <w14:schemeClr w14:val="tx1"/>
                  </w14:solidFill>
                </w14:textFill>
              </w:rPr>
              <w:t>/</w:t>
            </w:r>
            <w:r>
              <w:rPr>
                <w:rFonts w:ascii="宋体" w:hAnsi="宋体" w:eastAsia="宋体"/>
                <w:bCs/>
                <w:color w:val="000000" w:themeColor="text1"/>
                <w:kern w:val="0"/>
                <w:sz w:val="24"/>
                <w:szCs w:val="28"/>
                <w:highlight w:val="none"/>
                <w:u w:val="single"/>
                <w14:textFill>
                  <w14:solidFill>
                    <w14:schemeClr w14:val="tx1"/>
                  </w14:solidFill>
                </w14:textFill>
              </w:rPr>
              <w:t xml:space="preserve"> </w:t>
            </w:r>
            <w:r>
              <w:rPr>
                <w:rFonts w:ascii="宋体" w:hAnsi="宋体" w:eastAsia="宋体"/>
                <w:bCs/>
                <w:color w:val="000000" w:themeColor="text1"/>
                <w:kern w:val="0"/>
                <w:sz w:val="24"/>
                <w:szCs w:val="28"/>
                <w:highlight w:val="none"/>
                <w14:textFill>
                  <w14:solidFill>
                    <w14:schemeClr w14:val="tx1"/>
                  </w14:solidFill>
                </w14:textFill>
              </w:rPr>
              <w:t>%</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ascii="宋体" w:hAnsi="宋体" w:eastAsia="宋体"/>
                <w:bCs/>
                <w:color w:val="000000" w:themeColor="text1"/>
                <w:kern w:val="0"/>
                <w:sz w:val="24"/>
                <w:szCs w:val="28"/>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t>定额收取：人民币</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元</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（2）支付方式：</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转账/电汇</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 xml:space="preserve">支票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汇票</w:t>
            </w:r>
            <w:r>
              <w:rPr>
                <w:rFonts w:hint="eastAsia" w:ascii="宋体" w:hAnsi="宋体" w:eastAsia="宋体"/>
                <w:bCs/>
                <w:color w:val="000000" w:themeColor="text1"/>
                <w:kern w:val="0"/>
                <w:sz w:val="24"/>
                <w:szCs w:val="28"/>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 xml:space="preserve">本票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bCs/>
                <w:color w:val="000000" w:themeColor="text1"/>
                <w:kern w:val="0"/>
                <w:sz w:val="24"/>
                <w:szCs w:val="28"/>
                <w:highlight w:val="none"/>
                <w14:textFill>
                  <w14:solidFill>
                    <w14:schemeClr w14:val="tx1"/>
                  </w14:solidFill>
                </w14:textFill>
              </w:rPr>
              <w:t>保</w:t>
            </w:r>
            <w:r>
              <w:rPr>
                <w:rFonts w:hint="eastAsia" w:ascii="宋体" w:hAnsi="宋体" w:eastAsia="宋体"/>
                <w:bCs/>
                <w:color w:val="000000" w:themeColor="text1"/>
                <w:kern w:val="0"/>
                <w:sz w:val="24"/>
                <w:szCs w:val="28"/>
                <w:highlight w:val="none"/>
                <w14:textFill>
                  <w14:solidFill>
                    <w14:schemeClr w14:val="tx1"/>
                  </w14:solidFill>
                </w14:textFill>
              </w:rPr>
              <w:t xml:space="preserve">险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hint="eastAsia" w:ascii="宋体" w:hAnsi="宋体" w:eastAsia="宋体"/>
                <w:bCs/>
                <w:color w:val="000000" w:themeColor="text1"/>
                <w:kern w:val="0"/>
                <w:sz w:val="24"/>
                <w:szCs w:val="28"/>
                <w:highlight w:val="none"/>
                <w14:textFill>
                  <w14:solidFill>
                    <w14:schemeClr w14:val="tx1"/>
                  </w14:solidFill>
                </w14:textFill>
              </w:rPr>
              <w:t>保</w:t>
            </w:r>
            <w:r>
              <w:rPr>
                <w:rFonts w:ascii="宋体" w:hAnsi="宋体" w:eastAsia="宋体"/>
                <w:bCs/>
                <w:color w:val="000000" w:themeColor="text1"/>
                <w:kern w:val="0"/>
                <w:sz w:val="24"/>
                <w:szCs w:val="28"/>
                <w:highlight w:val="none"/>
                <w14:textFill>
                  <w14:solidFill>
                    <w14:schemeClr w14:val="tx1"/>
                  </w14:solidFill>
                </w14:textFill>
              </w:rPr>
              <w:t>函</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（3）收取单位：</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r>
              <w:rPr>
                <w:rFonts w:hint="eastAsia" w:ascii="宋体" w:hAnsi="宋体" w:eastAsia="宋体"/>
                <w:bCs/>
                <w:color w:val="000000" w:themeColor="text1"/>
                <w:kern w:val="0"/>
                <w:sz w:val="24"/>
                <w:szCs w:val="28"/>
                <w:highlight w:val="none"/>
                <w14:textFill>
                  <w14:solidFill>
                    <w14:schemeClr w14:val="tx1"/>
                  </w14:solidFill>
                </w14:textFill>
              </w:rPr>
              <w:t xml:space="preserve">              </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（4）收取账号：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退还时间：</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   /      </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注意事项：</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（1）以上各类机构出具的以担保函、保证保险承担责任的方式均须满足无条件见索即付条件。</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b/>
                <w:bCs/>
                <w:color w:val="000000" w:themeColor="text1"/>
                <w:kern w:val="0"/>
                <w:sz w:val="24"/>
                <w:szCs w:val="24"/>
                <w:highlight w:val="none"/>
                <w14:textFill>
                  <w14:solidFill>
                    <w14:schemeClr w14:val="tx1"/>
                  </w14:solidFill>
                </w14:textFill>
              </w:rPr>
            </w:pPr>
            <w:r>
              <w:rPr>
                <w:rFonts w:hint="eastAsia" w:ascii="宋体" w:hAnsi="宋体" w:eastAsia="宋体"/>
                <w:b/>
                <w:bCs/>
                <w:color w:val="000000" w:themeColor="text1"/>
                <w:kern w:val="0"/>
                <w:sz w:val="24"/>
                <w:szCs w:val="24"/>
                <w:highlight w:val="none"/>
                <w14:textFill>
                  <w14:solidFill>
                    <w14:schemeClr w14:val="tx1"/>
                  </w14:solidFill>
                </w14:textFill>
              </w:rPr>
              <w:t>（2）以担保函、保证保险形式缴纳履约保证金的，受益人和收取单位须为采购人。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1006" w:type="dxa"/>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27</w:t>
            </w:r>
            <w:r>
              <w:rPr>
                <w:rFonts w:ascii="宋体" w:hAnsi="宋体" w:eastAsia="宋体"/>
                <w:bCs/>
                <w:color w:val="000000" w:themeColor="text1"/>
                <w:kern w:val="2"/>
                <w:highlight w:val="none"/>
                <w14:textFill>
                  <w14:solidFill>
                    <w14:schemeClr w14:val="tx1"/>
                  </w14:solidFill>
                </w14:textFill>
              </w:rPr>
              <w:t>.1</w:t>
            </w:r>
          </w:p>
        </w:tc>
        <w:tc>
          <w:tcPr>
            <w:tcW w:w="2033" w:type="dxa"/>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签订合同和合同公告时间</w:t>
            </w:r>
          </w:p>
        </w:tc>
        <w:tc>
          <w:tcPr>
            <w:tcW w:w="5618" w:type="dxa"/>
          </w:tcPr>
          <w:p>
            <w:pPr>
              <w:pStyle w:val="25"/>
              <w:keepNext w:val="0"/>
              <w:keepLines w:val="0"/>
              <w:pageBreakBefore w:val="0"/>
              <w:widowControl/>
              <w:kinsoku/>
              <w:wordWrap/>
              <w:overflowPunct/>
              <w:topLinePunct w:val="0"/>
              <w:autoSpaceDN/>
              <w:bidi w:val="0"/>
              <w:adjustRightInd/>
              <w:snapToGrid/>
              <w:spacing w:before="0" w:beforeAutospacing="0" w:after="0" w:afterAutospacing="0" w:line="420" w:lineRule="exact"/>
              <w:textAlignment w:val="auto"/>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（1）采购人与中标人应当自发出中标通知书之日起7个工作日内签订合同。</w:t>
            </w:r>
          </w:p>
          <w:p>
            <w:pPr>
              <w:pStyle w:val="25"/>
              <w:keepNext w:val="0"/>
              <w:keepLines w:val="0"/>
              <w:pageBreakBefore w:val="0"/>
              <w:widowControl/>
              <w:kinsoku/>
              <w:wordWrap/>
              <w:overflowPunct/>
              <w:topLinePunct w:val="0"/>
              <w:autoSpaceDN/>
              <w:bidi w:val="0"/>
              <w:adjustRightInd/>
              <w:snapToGrid/>
              <w:spacing w:before="0" w:beforeAutospacing="0" w:after="0" w:afterAutospacing="0" w:line="420" w:lineRule="exact"/>
              <w:textAlignment w:val="auto"/>
              <w:rPr>
                <w:rFonts w:hint="eastAsia" w:ascii="宋体" w:hAnsi="宋体" w:eastAsia="宋体"/>
                <w:b/>
                <w:bCs/>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（2）采购人与中标人</w:t>
            </w:r>
            <w:r>
              <w:rPr>
                <w:rFonts w:ascii="宋体" w:hAnsi="宋体" w:eastAsia="宋体" w:cs="宋体"/>
                <w:color w:val="000000" w:themeColor="text1"/>
                <w:szCs w:val="24"/>
                <w:highlight w:val="none"/>
                <w14:textFill>
                  <w14:solidFill>
                    <w14:schemeClr w14:val="tx1"/>
                  </w14:solidFill>
                </w14:textFill>
              </w:rPr>
              <w:t>不得擅自变更合同。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tcBorders>
              <w:bottom w:val="single" w:color="auto" w:sz="4" w:space="0"/>
            </w:tcBorders>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28</w:t>
            </w:r>
            <w:r>
              <w:rPr>
                <w:rFonts w:ascii="宋体" w:hAnsi="宋体" w:eastAsia="宋体"/>
                <w:bCs/>
                <w:color w:val="000000" w:themeColor="text1"/>
                <w:kern w:val="2"/>
                <w:highlight w:val="none"/>
                <w14:textFill>
                  <w14:solidFill>
                    <w14:schemeClr w14:val="tx1"/>
                  </w14:solidFill>
                </w14:textFill>
              </w:rPr>
              <w:t>.1</w:t>
            </w:r>
          </w:p>
        </w:tc>
        <w:tc>
          <w:tcPr>
            <w:tcW w:w="2033" w:type="dxa"/>
            <w:tcBorders>
              <w:bottom w:val="single" w:color="auto" w:sz="4" w:space="0"/>
            </w:tcBorders>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代理费用</w:t>
            </w:r>
          </w:p>
        </w:tc>
        <w:tc>
          <w:tcPr>
            <w:tcW w:w="5618" w:type="dxa"/>
            <w:tcBorders>
              <w:bottom w:val="single" w:color="auto" w:sz="4" w:space="0"/>
            </w:tcBorders>
            <w:vAlign w:val="center"/>
          </w:tcPr>
          <w:p>
            <w:pPr>
              <w:keepNext w:val="0"/>
              <w:keepLines w:val="0"/>
              <w:pageBreakBefore w:val="0"/>
              <w:kinsoku/>
              <w:wordWrap/>
              <w:overflowPunct/>
              <w:topLinePunct w:val="0"/>
              <w:autoSpaceDN/>
              <w:bidi w:val="0"/>
              <w:adjustRightInd/>
              <w:snapToGrid/>
              <w:spacing w:before="39" w:line="4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cs="宋体"/>
                <w:color w:val="000000" w:themeColor="text1"/>
                <w:spacing w:val="14"/>
                <w:sz w:val="24"/>
                <w:szCs w:val="24"/>
                <w:highlight w:val="none"/>
                <w14:textFill>
                  <w14:solidFill>
                    <w14:schemeClr w14:val="tx1"/>
                  </w14:solidFill>
                </w14:textFill>
              </w:rPr>
              <w:t>中标人</w:t>
            </w:r>
          </w:p>
          <w:p>
            <w:pPr>
              <w:keepNext w:val="0"/>
              <w:keepLines w:val="0"/>
              <w:pageBreakBefore w:val="0"/>
              <w:kinsoku/>
              <w:wordWrap/>
              <w:overflowPunct/>
              <w:topLinePunct w:val="0"/>
              <w:autoSpaceDN/>
              <w:bidi w:val="0"/>
              <w:adjustRightInd/>
              <w:snapToGrid/>
              <w:spacing w:before="24" w:line="420" w:lineRule="exact"/>
              <w:textAlignment w:val="auto"/>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现金或银行转账</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val="0"/>
                <w:color w:val="000000" w:themeColor="text1"/>
                <w:sz w:val="24"/>
                <w:highlight w:val="none"/>
                <w:u w:val="single"/>
                <w:lang w:val="en-US" w:eastAsia="zh-CN"/>
                <w14:textFill>
                  <w14:solidFill>
                    <w14:schemeClr w14:val="tx1"/>
                  </w14:solidFill>
                </w14:textFill>
              </w:rPr>
              <w:t>1200</w:t>
            </w:r>
            <w:r>
              <w:rPr>
                <w:rFonts w:hint="eastAsia" w:ascii="宋体" w:hAnsi="宋体" w:eastAsia="宋体"/>
                <w:b w:val="0"/>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szCs w:val="24"/>
                <w:highlight w:val="none"/>
                <w:u w:val="single"/>
                <w14:textFill>
                  <w14:solidFill>
                    <w14:schemeClr w14:val="tx1"/>
                  </w14:solidFill>
                </w14:textFill>
              </w:rPr>
              <w:t>（评审费另计，以实际发生为准）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tcBorders>
              <w:top w:val="single" w:color="auto" w:sz="4" w:space="0"/>
              <w:left w:val="single" w:color="auto" w:sz="4" w:space="0"/>
              <w:bottom w:val="single" w:color="auto" w:sz="4" w:space="0"/>
            </w:tcBorders>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31</w:t>
            </w:r>
            <w:r>
              <w:rPr>
                <w:rFonts w:ascii="宋体" w:hAnsi="宋体" w:eastAsia="宋体"/>
                <w:bCs/>
                <w:color w:val="000000" w:themeColor="text1"/>
                <w:kern w:val="2"/>
                <w:highlight w:val="none"/>
                <w14:textFill>
                  <w14:solidFill>
                    <w14:schemeClr w14:val="tx1"/>
                  </w14:solidFill>
                </w14:textFill>
              </w:rPr>
              <w:t>.</w:t>
            </w:r>
            <w:r>
              <w:rPr>
                <w:rFonts w:hint="eastAsia" w:ascii="宋体" w:hAnsi="宋体" w:eastAsia="宋体"/>
                <w:bCs/>
                <w:color w:val="000000" w:themeColor="text1"/>
                <w:kern w:val="2"/>
                <w:highlight w:val="none"/>
                <w14:textFill>
                  <w14:solidFill>
                    <w14:schemeClr w14:val="tx1"/>
                  </w14:solidFill>
                </w14:textFill>
              </w:rPr>
              <w:t>3</w:t>
            </w:r>
          </w:p>
        </w:tc>
        <w:tc>
          <w:tcPr>
            <w:tcW w:w="2033" w:type="dxa"/>
            <w:tcBorders>
              <w:top w:val="single" w:color="auto" w:sz="4" w:space="0"/>
              <w:bottom w:val="single" w:color="auto" w:sz="4" w:space="0"/>
            </w:tcBorders>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质疑函递交方式、接收部门、联系电话和通讯地址</w:t>
            </w:r>
          </w:p>
        </w:tc>
        <w:tc>
          <w:tcPr>
            <w:tcW w:w="5618" w:type="dxa"/>
            <w:tcBorders>
              <w:top w:val="single" w:color="auto" w:sz="4" w:space="0"/>
              <w:bottom w:val="single" w:color="auto" w:sz="4" w:space="0"/>
              <w:right w:val="single" w:color="auto" w:sz="4" w:space="0"/>
            </w:tcBorders>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递交方式：</w:t>
            </w:r>
            <w:r>
              <w:rPr>
                <w:rFonts w:hint="eastAsia" w:ascii="宋体" w:hAnsi="宋体" w:eastAsia="宋体"/>
                <w:b w:val="0"/>
                <w:color w:val="000000" w:themeColor="text1"/>
                <w:sz w:val="24"/>
                <w:highlight w:val="none"/>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pPr>
              <w:keepNext w:val="0"/>
              <w:keepLines w:val="0"/>
              <w:pageBreakBefore w:val="0"/>
              <w:kinsoku/>
              <w:wordWrap/>
              <w:overflowPunct/>
              <w:topLinePunct w:val="0"/>
              <w:autoSpaceDN/>
              <w:bidi w:val="0"/>
              <w:adjustRightInd/>
              <w:snapToGrid/>
              <w:spacing w:line="42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接收部门：</w:t>
            </w:r>
            <w:r>
              <w:rPr>
                <w:rFonts w:hint="eastAsia" w:ascii="宋体" w:hAnsi="宋体" w:eastAsia="宋体"/>
                <w:bCs/>
                <w:color w:val="000000" w:themeColor="text1"/>
                <w:kern w:val="0"/>
                <w:sz w:val="24"/>
                <w:szCs w:val="28"/>
                <w:highlight w:val="none"/>
                <w:u w:val="single"/>
                <w14:textFill>
                  <w14:solidFill>
                    <w14:schemeClr w14:val="tx1"/>
                  </w14:solidFill>
                </w14:textFill>
              </w:rPr>
              <w:t>滁州市第一人民医院、安徽百士德工程咨询有限公司</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color w:val="000000" w:themeColor="text1"/>
                <w:sz w:val="24"/>
                <w:szCs w:val="18"/>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联系电话：</w:t>
            </w:r>
            <w:r>
              <w:rPr>
                <w:rFonts w:hint="eastAsia" w:ascii="宋体" w:hAnsi="宋体" w:eastAsia="宋体"/>
                <w:color w:val="000000" w:themeColor="text1"/>
                <w:sz w:val="24"/>
                <w:szCs w:val="24"/>
                <w:highlight w:val="none"/>
                <w:u w:val="single"/>
                <w:lang w:bidi="ar"/>
                <w14:textFill>
                  <w14:solidFill>
                    <w14:schemeClr w14:val="tx1"/>
                  </w14:solidFill>
                </w14:textFill>
              </w:rPr>
              <w:t>0550-3526032</w:t>
            </w:r>
            <w:r>
              <w:rPr>
                <w:rFonts w:hint="eastAsia" w:ascii="宋体" w:hAnsi="宋体" w:eastAsia="宋体"/>
                <w:bCs/>
                <w:color w:val="000000" w:themeColor="text1"/>
                <w:kern w:val="0"/>
                <w:sz w:val="24"/>
                <w:szCs w:val="28"/>
                <w:highlight w:val="none"/>
                <w:u w:val="single"/>
                <w14:textFill>
                  <w14:solidFill>
                    <w14:schemeClr w14:val="tx1"/>
                  </w14:solidFill>
                </w14:textFill>
              </w:rPr>
              <w:t>、</w:t>
            </w:r>
            <w:r>
              <w:rPr>
                <w:rFonts w:hint="eastAsia" w:ascii="宋体" w:hAnsi="宋体" w:eastAsia="宋体"/>
                <w:color w:val="000000" w:themeColor="text1"/>
                <w:sz w:val="24"/>
                <w:szCs w:val="24"/>
                <w:highlight w:val="none"/>
                <w:u w:val="single"/>
                <w:lang w:bidi="ar"/>
                <w14:textFill>
                  <w14:solidFill>
                    <w14:schemeClr w14:val="tx1"/>
                  </w14:solidFill>
                </w14:textFill>
              </w:rPr>
              <w:t>0550-</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3011399</w:t>
            </w:r>
          </w:p>
          <w:p>
            <w:pPr>
              <w:keepNext w:val="0"/>
              <w:keepLines w:val="0"/>
              <w:pageBreakBefore w:val="0"/>
              <w:kinsoku/>
              <w:wordWrap/>
              <w:overflowPunct/>
              <w:topLinePunct w:val="0"/>
              <w:autoSpaceDN/>
              <w:bidi w:val="0"/>
              <w:adjustRightInd/>
              <w:snapToGrid/>
              <w:spacing w:line="420" w:lineRule="exact"/>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通讯地址：</w:t>
            </w:r>
            <w:r>
              <w:rPr>
                <w:rFonts w:hint="eastAsia" w:ascii="宋体" w:hAnsi="宋体" w:eastAsia="宋体"/>
                <w:color w:val="000000" w:themeColor="text1"/>
                <w:sz w:val="24"/>
                <w:szCs w:val="24"/>
                <w:highlight w:val="none"/>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highlight w:val="none"/>
                <w:u w:val="single"/>
                <w14:textFill>
                  <w14:solidFill>
                    <w14:schemeClr w14:val="tx1"/>
                  </w14:solidFill>
                </w14:textFill>
              </w:rPr>
              <w:t xml:space="preserve">、滁州市会峰西路72-11号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6" w:type="dxa"/>
            <w:tcBorders>
              <w:top w:val="single" w:color="auto" w:sz="4" w:space="0"/>
            </w:tcBorders>
            <w:vAlign w:val="center"/>
          </w:tcPr>
          <w:p>
            <w:pPr>
              <w:pStyle w:val="45"/>
              <w:pBdr>
                <w:bottom w:val="none" w:color="auto" w:sz="0" w:space="0"/>
              </w:pBdr>
              <w:tabs>
                <w:tab w:val="clear" w:pos="4153"/>
                <w:tab w:val="clear" w:pos="8306"/>
              </w:tabs>
              <w:adjustRightInd/>
              <w:spacing w:line="420" w:lineRule="exact"/>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32</w:t>
            </w:r>
          </w:p>
        </w:tc>
        <w:tc>
          <w:tcPr>
            <w:tcW w:w="2033" w:type="dxa"/>
            <w:tcBorders>
              <w:top w:val="single" w:color="auto" w:sz="4" w:space="0"/>
            </w:tcBorders>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其他内容</w:t>
            </w:r>
          </w:p>
        </w:tc>
        <w:tc>
          <w:tcPr>
            <w:tcW w:w="5618" w:type="dxa"/>
            <w:tcBorders>
              <w:top w:val="single" w:color="auto" w:sz="4" w:space="0"/>
            </w:tcBorders>
            <w:vAlign w:val="center"/>
          </w:tcPr>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1.解释权：</w:t>
            </w:r>
          </w:p>
          <w:p>
            <w:pPr>
              <w:keepNext w:val="0"/>
              <w:keepLines w:val="0"/>
              <w:pageBreakBefore w:val="0"/>
              <w:kinsoku/>
              <w:wordWrap/>
              <w:overflowPunct/>
              <w:topLinePunct w:val="0"/>
              <w:autoSpaceDN/>
              <w:bidi w:val="0"/>
              <w:adjustRightInd/>
              <w:snapToGrid/>
              <w:spacing w:line="420" w:lineRule="exact"/>
              <w:textAlignment w:val="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构成本招标文件的各个组成文件应互为解释，互为说明；</w:t>
            </w:r>
          </w:p>
          <w:p>
            <w:pPr>
              <w:keepNext w:val="0"/>
              <w:keepLines w:val="0"/>
              <w:pageBreakBefore w:val="0"/>
              <w:kinsoku/>
              <w:wordWrap/>
              <w:overflowPunct/>
              <w:topLinePunct w:val="0"/>
              <w:autoSpaceDN/>
              <w:bidi w:val="0"/>
              <w:adjustRightInd/>
              <w:snapToGrid/>
              <w:spacing w:line="420" w:lineRule="exact"/>
              <w:textAlignment w:val="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pPr>
              <w:keepNext w:val="0"/>
              <w:keepLines w:val="0"/>
              <w:pageBreakBefore w:val="0"/>
              <w:kinsoku/>
              <w:wordWrap/>
              <w:overflowPunct/>
              <w:topLinePunct w:val="0"/>
              <w:autoSpaceDN/>
              <w:bidi w:val="0"/>
              <w:adjustRightInd/>
              <w:snapToGrid/>
              <w:spacing w:line="420" w:lineRule="exact"/>
              <w:textAlignment w:val="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pPr>
              <w:keepNext w:val="0"/>
              <w:keepLines w:val="0"/>
              <w:pageBreakBefore w:val="0"/>
              <w:kinsoku/>
              <w:wordWrap/>
              <w:overflowPunct/>
              <w:topLinePunct w:val="0"/>
              <w:autoSpaceDN/>
              <w:bidi w:val="0"/>
              <w:adjustRightInd/>
              <w:snapToGrid/>
              <w:spacing w:line="420" w:lineRule="exact"/>
              <w:textAlignment w:val="auto"/>
              <w:rPr>
                <w:rFonts w:hint="eastAsia"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投标邀请、</w:t>
            </w:r>
            <w:r>
              <w:rPr>
                <w:rFonts w:asciiTheme="minorEastAsia" w:hAnsiTheme="minorEastAsia" w:eastAsiaTheme="minorEastAsia"/>
                <w:bCs/>
                <w:color w:val="000000" w:themeColor="text1"/>
                <w:sz w:val="24"/>
                <w:szCs w:val="24"/>
                <w:highlight w:val="none"/>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highlight w:val="none"/>
                <w14:textFill>
                  <w14:solidFill>
                    <w14:schemeClr w14:val="tx1"/>
                  </w14:solidFill>
                </w14:textFill>
              </w:rPr>
              <w:t>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、投标文件格式的先后顺序解释；</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（5）</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t>采购</w:t>
            </w:r>
            <w:r>
              <w:rPr>
                <w:rFonts w:asciiTheme="minorEastAsia" w:hAnsiTheme="minorEastAsia" w:eastAsiaTheme="minorEastAsia"/>
                <w:b w:val="0"/>
                <w:color w:val="000000" w:themeColor="text1"/>
                <w:kern w:val="2"/>
                <w:sz w:val="24"/>
                <w:szCs w:val="24"/>
                <w:highlight w:val="none"/>
                <w14:textFill>
                  <w14:solidFill>
                    <w14:schemeClr w14:val="tx1"/>
                  </w14:solidFill>
                </w14:textFill>
              </w:rPr>
              <w:t>人负责解释。</w:t>
            </w:r>
          </w:p>
          <w:p>
            <w:pPr>
              <w:pStyle w:val="44"/>
              <w:keepNext w:val="0"/>
              <w:keepLines w:val="0"/>
              <w:pageBreakBefore w:val="0"/>
              <w:widowControl w:val="0"/>
              <w:kinsoku/>
              <w:wordWrap/>
              <w:overflowPunct/>
              <w:topLinePunct w:val="0"/>
              <w:autoSpaceDN/>
              <w:bidi w:val="0"/>
              <w:adjustRightInd/>
              <w:snapToGrid/>
              <w:spacing w:before="0" w:beforeAutospacing="0" w:after="0" w:afterAutospacing="0" w:line="420" w:lineRule="exact"/>
              <w:jc w:val="both"/>
              <w:textAlignment w:val="auto"/>
              <w:rPr>
                <w:rFonts w:hint="eastAsia" w:asciiTheme="minorEastAsia" w:hAnsiTheme="minorEastAsia" w:eastAsiaTheme="minorEastAsia"/>
                <w:b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bCs w:val="0"/>
                <w:color w:val="000000" w:themeColor="text1"/>
                <w:kern w:val="2"/>
                <w:sz w:val="24"/>
                <w:szCs w:val="24"/>
                <w:highlight w:val="none"/>
                <w14:textFill>
                  <w14:solidFill>
                    <w14:schemeClr w14:val="tx1"/>
                  </w14:solidFill>
                </w14:textFill>
              </w:rPr>
              <w:t>（6）投标单位中标后须递交与纸质投标文件完全一致的电子版投标文件一份，一并递交给代理机构。</w:t>
            </w:r>
          </w:p>
        </w:tc>
      </w:tr>
    </w:tbl>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34" w:name="_Toc14880"/>
      <w:bookmarkStart w:id="35" w:name="_Toc24882"/>
      <w:r>
        <w:rPr>
          <w:rFonts w:hint="eastAsia" w:asciiTheme="minorEastAsia" w:hAnsiTheme="minorEastAsia" w:eastAsiaTheme="minorEastAsia"/>
          <w:b/>
          <w:color w:val="000000" w:themeColor="text1"/>
          <w:sz w:val="24"/>
          <w:szCs w:val="24"/>
          <w:highlight w:val="none"/>
          <w14:textFill>
            <w14:solidFill>
              <w14:schemeClr w14:val="tx1"/>
            </w14:solidFill>
          </w14:textFill>
        </w:rPr>
        <w:t>二、</w:t>
      </w:r>
      <w:r>
        <w:rPr>
          <w:rFonts w:asciiTheme="minorEastAsia" w:hAnsiTheme="minorEastAsia" w:eastAsiaTheme="minorEastAsia"/>
          <w:b/>
          <w:color w:val="000000" w:themeColor="text1"/>
          <w:sz w:val="24"/>
          <w:szCs w:val="24"/>
          <w:highlight w:val="none"/>
          <w14:textFill>
            <w14:solidFill>
              <w14:schemeClr w14:val="tx1"/>
            </w14:solidFill>
          </w14:textFill>
        </w:rPr>
        <w:t>投标人须知</w:t>
      </w:r>
      <w:r>
        <w:rPr>
          <w:rFonts w:hint="eastAsia" w:asciiTheme="minorEastAsia" w:hAnsiTheme="minorEastAsia" w:eastAsiaTheme="minorEastAsia"/>
          <w:b/>
          <w:color w:val="000000" w:themeColor="text1"/>
          <w:sz w:val="24"/>
          <w:szCs w:val="24"/>
          <w:highlight w:val="none"/>
          <w14:textFill>
            <w14:solidFill>
              <w14:schemeClr w14:val="tx1"/>
            </w14:solidFill>
          </w14:textFill>
        </w:rPr>
        <w:t>正文</w:t>
      </w:r>
      <w:bookmarkEnd w:id="34"/>
      <w:bookmarkEnd w:id="35"/>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1.采购人、采购代理机构及投标人</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.1采购人：是指依法开展政府采购活动的国家机关、事业单位、团体组织。</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.2采购代理机构：是指集中采购机构或从事采购代理业务的社会中介机构。</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.3政府采购监督管理部门：</w:t>
      </w:r>
      <w:r>
        <w:rPr>
          <w:rFonts w:hint="eastAsia" w:ascii="宋体" w:hAnsi="宋体" w:eastAsia="宋体"/>
          <w:color w:val="000000" w:themeColor="text1"/>
          <w:sz w:val="24"/>
          <w:highlight w:val="none"/>
          <w14:textFill>
            <w14:solidFill>
              <w14:schemeClr w14:val="tx1"/>
            </w14:solidFill>
          </w14:textFill>
        </w:rPr>
        <w:t>各级人民政府指定的有关部门依法履行与政府采购活动有关的监督管理职责。</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.4投标人：是指向采购人提供货物、工程或者服务的法人、</w:t>
      </w:r>
      <w:r>
        <w:rPr>
          <w:rFonts w:hint="eastAsia" w:ascii="宋体" w:hAnsi="宋体" w:eastAsia="宋体"/>
          <w:color w:val="000000" w:themeColor="text1"/>
          <w:sz w:val="24"/>
          <w:highlight w:val="none"/>
          <w14:textFill>
            <w14:solidFill>
              <w14:schemeClr w14:val="tx1"/>
            </w14:solidFill>
          </w14:textFill>
        </w:rPr>
        <w:t>其他</w:t>
      </w:r>
      <w:r>
        <w:rPr>
          <w:rFonts w:ascii="宋体" w:hAnsi="宋体" w:eastAsia="宋体"/>
          <w:color w:val="000000" w:themeColor="text1"/>
          <w:sz w:val="24"/>
          <w:highlight w:val="none"/>
          <w14:textFill>
            <w14:solidFill>
              <w14:schemeClr w14:val="tx1"/>
            </w14:solidFill>
          </w14:textFill>
        </w:rPr>
        <w:t>组织或者自然人。</w:t>
      </w:r>
      <w:r>
        <w:rPr>
          <w:rFonts w:hint="eastAsia" w:ascii="宋体" w:hAnsi="宋体" w:eastAsia="宋体"/>
          <w:color w:val="000000" w:themeColor="text1"/>
          <w:sz w:val="24"/>
          <w:highlight w:val="none"/>
          <w14:textFill>
            <w14:solidFill>
              <w14:schemeClr w14:val="tx1"/>
            </w14:solidFill>
          </w14:textFill>
        </w:rPr>
        <w:t>分支机构不得参加政府采购活动，但银行、保险、石油石化、电力、电信等特殊行业除外。</w:t>
      </w:r>
      <w:r>
        <w:rPr>
          <w:rFonts w:ascii="宋体" w:hAnsi="宋体" w:eastAsia="宋体"/>
          <w:color w:val="000000" w:themeColor="text1"/>
          <w:sz w:val="24"/>
          <w:highlight w:val="none"/>
          <w14:textFill>
            <w14:solidFill>
              <w14:schemeClr w14:val="tx1"/>
            </w14:solidFill>
          </w14:textFill>
        </w:rPr>
        <w:t>本项目的投标人须满足以下条件：</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以采购代理机构认可的方式获得了本项目的招标文件。</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若招标公告</w:t>
      </w:r>
      <w:r>
        <w:rPr>
          <w:rFonts w:ascii="宋体" w:hAnsi="宋体" w:eastAsia="宋体"/>
          <w:color w:val="000000" w:themeColor="text1"/>
          <w:sz w:val="24"/>
          <w:highlight w:val="none"/>
          <w14:textFill>
            <w14:solidFill>
              <w14:schemeClr w14:val="tx1"/>
            </w14:solidFill>
          </w14:textFill>
        </w:rPr>
        <w:t>中允许联合体投标，对联合体规定如下：</w:t>
      </w:r>
    </w:p>
    <w:p>
      <w:pPr>
        <w:spacing w:line="360" w:lineRule="auto"/>
        <w:ind w:firstLine="480" w:firstLineChars="200"/>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5.1两个以上供应商可以组成一个投标联合体，以一个投标人的身份投标。联合体投标的，</w:t>
      </w:r>
      <w:r>
        <w:rPr>
          <w:rFonts w:hint="eastAsia" w:ascii="宋体" w:hAnsi="宋体" w:eastAsia="宋体"/>
          <w:color w:val="000000" w:themeColor="text1"/>
          <w:sz w:val="24"/>
          <w:highlight w:val="none"/>
          <w14:textFill>
            <w14:solidFill>
              <w14:schemeClr w14:val="tx1"/>
            </w14:solidFill>
          </w14:textFill>
        </w:rPr>
        <w:t>招标文件获取</w:t>
      </w:r>
      <w:r>
        <w:rPr>
          <w:rFonts w:ascii="宋体" w:hAnsi="宋体" w:eastAsia="宋体"/>
          <w:color w:val="000000" w:themeColor="text1"/>
          <w:sz w:val="24"/>
          <w:highlight w:val="none"/>
          <w14:textFill>
            <w14:solidFill>
              <w14:schemeClr w14:val="tx1"/>
            </w14:solidFill>
          </w14:textFill>
        </w:rPr>
        <w:t>手续由联合体</w:t>
      </w:r>
      <w:r>
        <w:rPr>
          <w:rFonts w:hint="eastAsia" w:ascii="宋体" w:hAnsi="宋体" w:eastAsia="宋体"/>
          <w:color w:val="000000" w:themeColor="text1"/>
          <w:sz w:val="24"/>
          <w:highlight w:val="none"/>
          <w14:textFill>
            <w14:solidFill>
              <w14:schemeClr w14:val="tx1"/>
            </w14:solidFill>
          </w14:textFill>
        </w:rPr>
        <w:t>中</w:t>
      </w:r>
      <w:r>
        <w:rPr>
          <w:rFonts w:ascii="宋体" w:hAnsi="宋体" w:eastAsia="宋体"/>
          <w:color w:val="000000" w:themeColor="text1"/>
          <w:sz w:val="24"/>
          <w:highlight w:val="none"/>
          <w14:textFill>
            <w14:solidFill>
              <w14:schemeClr w14:val="tx1"/>
            </w14:solidFill>
          </w14:textFill>
        </w:rPr>
        <w:t>任</w:t>
      </w:r>
      <w:r>
        <w:rPr>
          <w:rFonts w:hint="eastAsia" w:ascii="宋体" w:hAnsi="宋体" w:eastAsia="宋体"/>
          <w:color w:val="000000" w:themeColor="text1"/>
          <w:sz w:val="24"/>
          <w:highlight w:val="none"/>
          <w14:textFill>
            <w14:solidFill>
              <w14:schemeClr w14:val="tx1"/>
            </w14:solidFill>
          </w14:textFill>
        </w:rPr>
        <w:t>一成员单位</w:t>
      </w:r>
      <w:r>
        <w:rPr>
          <w:rFonts w:ascii="宋体" w:hAnsi="宋体" w:eastAsia="宋体"/>
          <w:color w:val="000000" w:themeColor="text1"/>
          <w:sz w:val="24"/>
          <w:highlight w:val="none"/>
          <w14:textFill>
            <w14:solidFill>
              <w14:schemeClr w14:val="tx1"/>
            </w14:solidFill>
          </w14:textFill>
        </w:rPr>
        <w:t>办理均可。</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5.2联合体各方均应符合《中华人民共和国政府采购法》第二十二条规定的条件。</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5.3采购人根据采购项目对投标人的特殊要求，联合体中至少应当有一方符合相关规定。</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5.4联合体各方应签订</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，明确约定联合体各方承担的工作和相应的责任，并将</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作为投标文件</w:t>
      </w:r>
      <w:r>
        <w:rPr>
          <w:rFonts w:hint="eastAsia" w:ascii="宋体" w:hAnsi="宋体" w:eastAsia="宋体"/>
          <w:color w:val="000000" w:themeColor="text1"/>
          <w:sz w:val="24"/>
          <w:highlight w:val="none"/>
          <w14:textFill>
            <w14:solidFill>
              <w14:schemeClr w14:val="tx1"/>
            </w14:solidFill>
          </w14:textFill>
        </w:rPr>
        <w:t>的</w:t>
      </w:r>
      <w:r>
        <w:rPr>
          <w:rFonts w:ascii="宋体" w:hAnsi="宋体" w:eastAsia="宋体"/>
          <w:color w:val="000000" w:themeColor="text1"/>
          <w:sz w:val="24"/>
          <w:highlight w:val="none"/>
          <w14:textFill>
            <w14:solidFill>
              <w14:schemeClr w14:val="tx1"/>
            </w14:solidFill>
          </w14:textFill>
        </w:rPr>
        <w:t>一部分提交。</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5.5大中型企业、其他自然人、法人或者非法人组织与小型、微型企业组成联合体共同参加投标，</w:t>
      </w:r>
      <w:r>
        <w:rPr>
          <w:rFonts w:hint="eastAsia" w:ascii="宋体" w:hAnsi="宋体" w:eastAsia="宋体"/>
          <w:color w:val="000000" w:themeColor="text1"/>
          <w:sz w:val="24"/>
          <w:highlight w:val="none"/>
          <w14:textFill>
            <w14:solidFill>
              <w14:schemeClr w14:val="tx1"/>
            </w14:solidFill>
          </w14:textFill>
        </w:rPr>
        <w:t>联合协议中</w:t>
      </w:r>
      <w:r>
        <w:rPr>
          <w:rFonts w:ascii="宋体" w:hAnsi="宋体" w:eastAsia="宋体"/>
          <w:color w:val="000000" w:themeColor="text1"/>
          <w:sz w:val="24"/>
          <w:highlight w:val="none"/>
          <w14:textFill>
            <w14:solidFill>
              <w14:schemeClr w14:val="tx1"/>
            </w14:solidFill>
          </w14:textFill>
        </w:rPr>
        <w:t>应写明小型、微型企业的协议合同金额占到</w:t>
      </w:r>
      <w:r>
        <w:rPr>
          <w:rFonts w:hint="eastAsia" w:ascii="宋体" w:hAnsi="宋体" w:eastAsia="宋体"/>
          <w:color w:val="000000" w:themeColor="text1"/>
          <w:sz w:val="24"/>
          <w:highlight w:val="none"/>
          <w14:textFill>
            <w14:solidFill>
              <w14:schemeClr w14:val="tx1"/>
            </w14:solidFill>
          </w14:textFill>
        </w:rPr>
        <w:t>联合协议</w:t>
      </w:r>
      <w:r>
        <w:rPr>
          <w:rFonts w:ascii="宋体" w:hAnsi="宋体" w:eastAsia="宋体"/>
          <w:color w:val="000000" w:themeColor="text1"/>
          <w:sz w:val="24"/>
          <w:highlight w:val="none"/>
          <w14:textFill>
            <w14:solidFill>
              <w14:schemeClr w14:val="tx1"/>
            </w14:solidFill>
          </w14:textFill>
        </w:rPr>
        <w:t>投标总金额的比例。</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5.6</w:t>
      </w:r>
      <w:r>
        <w:rPr>
          <w:rFonts w:hint="eastAsia" w:ascii="宋体" w:hAnsi="宋体" w:eastAsia="宋体"/>
          <w:color w:val="000000" w:themeColor="text1"/>
          <w:sz w:val="24"/>
          <w:highlight w:val="none"/>
          <w14:textFill>
            <w14:solidFill>
              <w14:schemeClr w14:val="tx1"/>
            </w14:solidFill>
          </w14:textFill>
        </w:rPr>
        <w:t>联合体中有同类资质的供应商按照联合体分工承担相同工作的，</w:t>
      </w:r>
      <w:r>
        <w:rPr>
          <w:rFonts w:ascii="宋体" w:hAnsi="宋体" w:eastAsia="宋体"/>
          <w:color w:val="000000" w:themeColor="text1"/>
          <w:sz w:val="24"/>
          <w:highlight w:val="none"/>
          <w14:textFill>
            <w14:solidFill>
              <w14:schemeClr w14:val="tx1"/>
            </w14:solidFill>
          </w14:textFill>
        </w:rPr>
        <w:t>应当按照</w:t>
      </w:r>
      <w:r>
        <w:rPr>
          <w:rFonts w:hint="eastAsia" w:ascii="宋体" w:hAnsi="宋体" w:eastAsia="宋体"/>
          <w:color w:val="000000" w:themeColor="text1"/>
          <w:sz w:val="24"/>
          <w:highlight w:val="none"/>
          <w14:textFill>
            <w14:solidFill>
              <w14:schemeClr w14:val="tx1"/>
            </w14:solidFill>
          </w14:textFill>
        </w:rPr>
        <w:t>资质等级较低的供应商确定资质等级。</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5.7以联合体形式参加政府采购活动的，联合体各方不得再单独参加或者与其他供应商另外组成联合体参加本项目投标，否则相关投标将被认定为</w:t>
      </w:r>
      <w:r>
        <w:rPr>
          <w:rFonts w:ascii="宋体" w:hAnsi="宋体" w:eastAsia="宋体"/>
          <w:b/>
          <w:color w:val="000000" w:themeColor="text1"/>
          <w:sz w:val="24"/>
          <w:highlight w:val="none"/>
          <w14:textFill>
            <w14:solidFill>
              <w14:schemeClr w14:val="tx1"/>
            </w14:solidFill>
          </w14:textFill>
        </w:rPr>
        <w:t>投标无效</w:t>
      </w:r>
      <w:r>
        <w:rPr>
          <w:rFonts w:ascii="宋体" w:hAnsi="宋体" w:eastAsia="宋体"/>
          <w:color w:val="000000" w:themeColor="text1"/>
          <w:sz w:val="24"/>
          <w:highlight w:val="none"/>
          <w14:textFill>
            <w14:solidFill>
              <w14:schemeClr w14:val="tx1"/>
            </w14:solidFill>
          </w14:textFill>
        </w:rPr>
        <w:t>。</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5.8对联合体投标的其他资格要求见</w:t>
      </w:r>
      <w:r>
        <w:rPr>
          <w:rFonts w:hint="eastAsia" w:ascii="宋体" w:hAnsi="宋体" w:eastAsia="宋体"/>
          <w:color w:val="000000" w:themeColor="text1"/>
          <w:sz w:val="24"/>
          <w:highlight w:val="none"/>
          <w14:textFill>
            <w14:solidFill>
              <w14:schemeClr w14:val="tx1"/>
            </w14:solidFill>
          </w14:textFill>
        </w:rPr>
        <w:t>申请人的资格要求</w:t>
      </w:r>
      <w:r>
        <w:rPr>
          <w:rFonts w:ascii="宋体" w:hAnsi="宋体" w:eastAsia="宋体"/>
          <w:color w:val="000000" w:themeColor="text1"/>
          <w:sz w:val="24"/>
          <w:highlight w:val="none"/>
          <w14:textFill>
            <w14:solidFill>
              <w14:schemeClr w14:val="tx1"/>
            </w14:solidFill>
          </w14:textFill>
        </w:rPr>
        <w:t>。</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2.资金落实情况</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hint="eastAsia" w:ascii="宋体" w:hAnsi="宋体" w:eastAsia="宋体"/>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的采购人已获得足以支付本次招标后所签订的合同项下的资金。</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3.投标费用</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不论投标的结果如何，投标人应承担所有与准备和参加投标有关的费用。</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4.适用法律</w:t>
      </w:r>
    </w:p>
    <w:p>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5.招标文件构成</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5.1招标文件包括下列内容：</w:t>
      </w:r>
    </w:p>
    <w:p>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投标邀请</w:t>
      </w:r>
    </w:p>
    <w:p>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投标人须知</w:t>
      </w:r>
    </w:p>
    <w:p>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评标</w:t>
      </w:r>
      <w:r>
        <w:rPr>
          <w:rFonts w:hint="eastAsia" w:asciiTheme="minorEastAsia" w:hAnsiTheme="minorEastAsia" w:eastAsiaTheme="minorEastAsia"/>
          <w:color w:val="000000" w:themeColor="text1"/>
          <w:sz w:val="24"/>
          <w:highlight w:val="none"/>
          <w14:textFill>
            <w14:solidFill>
              <w14:schemeClr w14:val="tx1"/>
            </w14:solidFill>
          </w14:textFill>
        </w:rPr>
        <w:t>方法</w:t>
      </w:r>
      <w:r>
        <w:rPr>
          <w:rFonts w:asciiTheme="minorEastAsia" w:hAnsiTheme="minorEastAsia" w:eastAsiaTheme="minorEastAsia"/>
          <w:color w:val="000000" w:themeColor="text1"/>
          <w:sz w:val="24"/>
          <w:highlight w:val="none"/>
          <w14:textFill>
            <w14:solidFill>
              <w14:schemeClr w14:val="tx1"/>
            </w14:solidFill>
          </w14:textFill>
        </w:rPr>
        <w:t>和标准</w:t>
      </w:r>
    </w:p>
    <w:p>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投标文件格式</w:t>
      </w:r>
    </w:p>
    <w:p>
      <w:pPr>
        <w:spacing w:line="360" w:lineRule="auto"/>
        <w:ind w:firstLine="840" w:firstLineChars="35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第七章</w:t>
      </w:r>
      <w:r>
        <w:rPr>
          <w:rFonts w:asciiTheme="minorEastAsia" w:hAnsiTheme="minorEastAsia" w:eastAsiaTheme="minorEastAsia"/>
          <w:color w:val="000000" w:themeColor="text1"/>
          <w:sz w:val="24"/>
          <w:highlight w:val="none"/>
          <w14:textFill>
            <w14:solidFill>
              <w14:schemeClr w14:val="tx1"/>
            </w14:solidFill>
          </w14:textFill>
        </w:rPr>
        <w:t xml:space="preserve">  政府采购</w:t>
      </w:r>
      <w:r>
        <w:rPr>
          <w:rFonts w:hint="eastAsia" w:asciiTheme="minorEastAsia" w:hAnsiTheme="minorEastAsia" w:eastAsiaTheme="minorEastAsia"/>
          <w:color w:val="000000" w:themeColor="text1"/>
          <w:sz w:val="24"/>
          <w:highlight w:val="none"/>
          <w14:textFill>
            <w14:solidFill>
              <w14:schemeClr w14:val="tx1"/>
            </w14:solidFill>
          </w14:textFill>
        </w:rPr>
        <w:t>询问函和</w:t>
      </w:r>
      <w:r>
        <w:rPr>
          <w:rFonts w:asciiTheme="minorEastAsia" w:hAnsiTheme="minorEastAsia" w:eastAsiaTheme="minorEastAsia"/>
          <w:color w:val="000000" w:themeColor="text1"/>
          <w:sz w:val="24"/>
          <w:highlight w:val="none"/>
          <w14:textFill>
            <w14:solidFill>
              <w14:schemeClr w14:val="tx1"/>
            </w14:solidFill>
          </w14:textFill>
        </w:rPr>
        <w:t>质疑函范本</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考察（标前答疑会）</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原则上采购人、采购代理机构不要求投标人提供样品。仅凭书面方式不能准确描述采购需求，或者需要对样品进行主观判断以确认是否满足采购需求等特殊情况除外。</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如需提供样品，对样品相关要求见</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asciiTheme="minorEastAsia" w:hAnsiTheme="minorEastAsia" w:eastAsiaTheme="minorEastAsia"/>
          <w:color w:val="000000" w:themeColor="text1"/>
          <w:sz w:val="24"/>
          <w:highlight w:val="none"/>
          <w14:textFill>
            <w14:solidFill>
              <w14:schemeClr w14:val="tx1"/>
            </w14:solidFill>
          </w14:textFill>
        </w:rPr>
        <w:t>，对样品的评审方法及评审标准见招标文件第</w:t>
      </w:r>
      <w:r>
        <w:rPr>
          <w:rFonts w:hint="eastAsia" w:asciiTheme="minorEastAsia" w:hAnsiTheme="minorEastAsia" w:eastAsiaTheme="minorEastAsia"/>
          <w:color w:val="000000" w:themeColor="text1"/>
          <w:sz w:val="24"/>
          <w:highlight w:val="none"/>
          <w14:textFill>
            <w14:solidFill>
              <w14:schemeClr w14:val="tx1"/>
            </w14:solidFill>
          </w14:textFill>
        </w:rPr>
        <w:t>四</w:t>
      </w:r>
      <w:r>
        <w:rPr>
          <w:rFonts w:asciiTheme="minorEastAsia" w:hAnsiTheme="minorEastAsia" w:eastAsiaTheme="minorEastAsia"/>
          <w:color w:val="000000" w:themeColor="text1"/>
          <w:sz w:val="24"/>
          <w:highlight w:val="none"/>
          <w14:textFill>
            <w14:solidFill>
              <w14:schemeClr w14:val="tx1"/>
            </w14:solidFill>
          </w14:textFill>
        </w:rPr>
        <w:t>章。</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投标人应认真阅读招标文件所有的事项、格式、条款和技术规范等。</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6.招标文件的澄清与修改</w:t>
      </w:r>
    </w:p>
    <w:p>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投标人如对招标文件内容有疑问，</w:t>
      </w:r>
      <w:r>
        <w:rPr>
          <w:rFonts w:hint="eastAsia" w:asciiTheme="minorEastAsia" w:hAnsiTheme="minorEastAsia" w:eastAsiaTheme="minorEastAsia"/>
          <w:color w:val="000000" w:themeColor="text1"/>
          <w:sz w:val="24"/>
          <w:highlight w:val="none"/>
          <w14:textFill>
            <w14:solidFill>
              <w14:schemeClr w14:val="tx1"/>
            </w14:solidFill>
          </w14:textFill>
        </w:rPr>
        <w:t>可</w:t>
      </w:r>
      <w:r>
        <w:rPr>
          <w:rFonts w:asciiTheme="minorEastAsia" w:hAnsiTheme="minorEastAsia" w:eastAsiaTheme="minorEastAsia"/>
          <w:color w:val="000000" w:themeColor="text1"/>
          <w:sz w:val="24"/>
          <w:highlight w:val="none"/>
          <w14:textFill>
            <w14:solidFill>
              <w14:schemeClr w14:val="tx1"/>
            </w14:solidFill>
          </w14:textFill>
        </w:rPr>
        <w:t>在</w:t>
      </w:r>
      <w:r>
        <w:rPr>
          <w:rFonts w:ascii="宋体" w:hAnsi="宋体" w:eastAsia="宋体"/>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w:t>
      </w:r>
      <w:r>
        <w:rPr>
          <w:rFonts w:hint="eastAsia" w:ascii="宋体" w:hAnsi="宋体" w:eastAsia="宋体" w:cs="宋体"/>
          <w:color w:val="000000" w:themeColor="text1"/>
          <w:sz w:val="24"/>
          <w:szCs w:val="24"/>
          <w:highlight w:val="none"/>
          <w14:textFill>
            <w14:solidFill>
              <w14:schemeClr w14:val="tx1"/>
            </w14:solidFill>
          </w14:textFill>
        </w:rPr>
        <w:t>电子邮件形式向采购代理机构（采购代理机构邮箱：82358483@qq.com）提交疑问</w:t>
      </w:r>
      <w:r>
        <w:rPr>
          <w:rFonts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2采购人可主动地或在答复投标人提出的询问时对招标文件进行澄清与修改。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在滁州市第一人民医院网以发布更正公告的方式</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澄清或修改招标文件，更正公告的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为招标文件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组成部分，对投标人起约束作用</w:t>
      </w:r>
      <w:r>
        <w:rPr>
          <w:rFonts w:hint="eastAsia" w:asciiTheme="minorEastAsia" w:hAnsiTheme="minorEastAsia" w:eastAsiaTheme="minorEastAsia"/>
          <w:color w:val="000000" w:themeColor="text1"/>
          <w:sz w:val="24"/>
          <w:highlight w:val="none"/>
          <w14:textFill>
            <w14:solidFill>
              <w14:schemeClr w14:val="tx1"/>
            </w14:solidFill>
          </w14:textFill>
        </w:rPr>
        <w:t>。投标人应主动上网查询。采购代理机构不承担投标人未及时关注相关信息引发的相关责任。</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spacing w:line="360" w:lineRule="auto"/>
        <w:ind w:firstLine="435"/>
        <w:rPr>
          <w:rFonts w:hint="eastAsia" w:asciiTheme="minorEastAsia" w:hAnsiTheme="minorEastAsia" w:eastAsiaTheme="minorEastAsia"/>
          <w:i/>
          <w:i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rFonts w:ascii="宋体" w:hAnsi="宋体" w:eastAsia="宋体"/>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疑问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项目投标的</w:t>
      </w:r>
      <w:r>
        <w:rPr>
          <w:rFonts w:hint="eastAsia" w:asciiTheme="minorEastAsia" w:hAnsiTheme="minorEastAsia" w:eastAsiaTheme="minorEastAsia"/>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招标文件（含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i/>
          <w:color w:val="000000" w:themeColor="text1"/>
          <w:sz w:val="24"/>
          <w:highlight w:val="none"/>
          <w14:textFill>
            <w14:solidFill>
              <w14:schemeClr w14:val="tx1"/>
            </w14:solidFill>
          </w14:textFill>
        </w:rPr>
        <w:t>。</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7.投标范围及投标文件中标准和计量单位的使用</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项目</w:t>
      </w:r>
      <w:r>
        <w:rPr>
          <w:rFonts w:asciiTheme="minorEastAsia" w:hAnsiTheme="minorEastAsia" w:eastAsiaTheme="minorEastAsia"/>
          <w:color w:val="000000" w:themeColor="text1"/>
          <w:sz w:val="24"/>
          <w:highlight w:val="none"/>
          <w14:textFill>
            <w14:solidFill>
              <w14:schemeClr w14:val="tx1"/>
            </w14:solidFill>
          </w14:textFill>
        </w:rPr>
        <w:t>有分包的，投标人可对招标文件其中某一个或几个分包进行投标，除非在</w:t>
      </w:r>
      <w:r>
        <w:rPr>
          <w:rFonts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中另有规定。</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.2投标人应当对所投分包招标文件中“</w:t>
      </w:r>
      <w:r>
        <w:rPr>
          <w:rFonts w:hint="eastAsia" w:asciiTheme="minorEastAsia" w:hAnsiTheme="minorEastAsia" w:eastAsiaTheme="minorEastAsia"/>
          <w:color w:val="000000" w:themeColor="text1"/>
          <w:sz w:val="24"/>
          <w:highlight w:val="none"/>
          <w14:textFill>
            <w14:solidFill>
              <w14:schemeClr w14:val="tx1"/>
            </w14:solidFill>
          </w14:textFill>
        </w:rPr>
        <w:t>采购</w:t>
      </w:r>
      <w:r>
        <w:rPr>
          <w:rFonts w:asciiTheme="minorEastAsia" w:hAnsiTheme="minorEastAsia" w:eastAsiaTheme="minorEastAsia"/>
          <w:color w:val="000000" w:themeColor="text1"/>
          <w:sz w:val="24"/>
          <w:highlight w:val="none"/>
          <w14:textFill>
            <w14:solidFill>
              <w14:schemeClr w14:val="tx1"/>
            </w14:solidFill>
          </w14:textFill>
        </w:rPr>
        <w:t>需求”所列的所有内容进行投标，如仅响应</w:t>
      </w:r>
      <w:r>
        <w:rPr>
          <w:rFonts w:hint="eastAsia" w:asciiTheme="minorEastAsia" w:hAnsiTheme="minorEastAsia" w:eastAsiaTheme="minorEastAsia"/>
          <w:color w:val="000000" w:themeColor="text1"/>
          <w:sz w:val="24"/>
          <w:highlight w:val="none"/>
          <w14:textFill>
            <w14:solidFill>
              <w14:schemeClr w14:val="tx1"/>
            </w14:solidFill>
          </w14:textFill>
        </w:rPr>
        <w:t>所投包别</w:t>
      </w:r>
      <w:r>
        <w:rPr>
          <w:rFonts w:asciiTheme="minorEastAsia" w:hAnsiTheme="minorEastAsia" w:eastAsiaTheme="minorEastAsia"/>
          <w:color w:val="000000" w:themeColor="text1"/>
          <w:sz w:val="24"/>
          <w:highlight w:val="none"/>
          <w14:textFill>
            <w14:solidFill>
              <w14:schemeClr w14:val="tx1"/>
            </w14:solidFill>
          </w14:textFill>
        </w:rPr>
        <w:t>中的部分内容，其</w:t>
      </w:r>
      <w:r>
        <w:rPr>
          <w:rFonts w:hint="eastAsia" w:asciiTheme="minorEastAsia" w:hAnsiTheme="minorEastAsia" w:eastAsiaTheme="minorEastAsia"/>
          <w:color w:val="000000" w:themeColor="text1"/>
          <w:sz w:val="24"/>
          <w:highlight w:val="none"/>
          <w14:textFill>
            <w14:solidFill>
              <w14:schemeClr w14:val="tx1"/>
            </w14:solidFill>
          </w14:textFill>
        </w:rPr>
        <w:t>所投包别的</w:t>
      </w:r>
      <w:r>
        <w:rPr>
          <w:rFonts w:asciiTheme="minorEastAsia" w:hAnsiTheme="minorEastAsia" w:eastAsiaTheme="minorEastAsia"/>
          <w:color w:val="000000" w:themeColor="text1"/>
          <w:sz w:val="24"/>
          <w:highlight w:val="none"/>
          <w14:textFill>
            <w14:solidFill>
              <w14:schemeClr w14:val="tx1"/>
            </w14:solidFill>
          </w14:textFill>
        </w:rPr>
        <w:t>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bookmarkStart w:id="36" w:name="_Hlk16458980"/>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.3无论招标文件中是否要求，</w:t>
      </w:r>
      <w:r>
        <w:rPr>
          <w:rFonts w:hint="eastAsia" w:asciiTheme="minorEastAsia" w:hAnsiTheme="minorEastAsia" w:eastAsiaTheme="minorEastAsia"/>
          <w:color w:val="000000" w:themeColor="text1"/>
          <w:sz w:val="24"/>
          <w:highlight w:val="none"/>
          <w14:textFill>
            <w14:solidFill>
              <w14:schemeClr w14:val="tx1"/>
            </w14:solidFill>
          </w14:textFill>
        </w:rPr>
        <w:t>投标人所投货物及伴随的服务和工程均应符合国家强制性标准。</w:t>
      </w:r>
    </w:p>
    <w:bookmarkEnd w:id="36"/>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投标人与采购</w:t>
      </w:r>
      <w:r>
        <w:rPr>
          <w:rFonts w:hint="eastAsia" w:asciiTheme="minorEastAsia" w:hAnsiTheme="minorEastAsia" w:eastAsiaTheme="minorEastAsia"/>
          <w:color w:val="000000" w:themeColor="text1"/>
          <w:sz w:val="24"/>
          <w:highlight w:val="none"/>
          <w14:textFill>
            <w14:solidFill>
              <w14:schemeClr w14:val="tx1"/>
            </w14:solidFill>
          </w14:textFill>
        </w:rPr>
        <w:t>代理</w:t>
      </w:r>
      <w:r>
        <w:rPr>
          <w:rFonts w:asciiTheme="minorEastAsia" w:hAnsiTheme="minorEastAsia" w:eastAsiaTheme="minorEastAsia"/>
          <w:color w:val="000000" w:themeColor="text1"/>
          <w:sz w:val="24"/>
          <w:highlight w:val="none"/>
          <w14:textFill>
            <w14:solidFill>
              <w14:schemeClr w14:val="tx1"/>
            </w14:solidFill>
          </w14:textFill>
        </w:rPr>
        <w:t>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除</w:t>
      </w:r>
      <w:r>
        <w:rPr>
          <w:rFonts w:ascii="宋体" w:hAnsi="宋体" w:eastAsia="宋体"/>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中有特殊要求外，投标文件中所使用的计量单位，应采用中华人民共和国法定计量单位。</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投标文件构成</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应完整地按招标文件提供的投标文件格式及要求</w:t>
      </w:r>
      <w:r>
        <w:rPr>
          <w:rFonts w:hint="eastAsia" w:asciiTheme="minorEastAsia" w:hAnsiTheme="minorEastAsia" w:eastAsiaTheme="minorEastAsia"/>
          <w:color w:val="000000" w:themeColor="text1"/>
          <w:sz w:val="24"/>
          <w:highlight w:val="none"/>
          <w14:textFill>
            <w14:solidFill>
              <w14:schemeClr w14:val="tx1"/>
            </w14:solidFill>
          </w14:textFill>
        </w:rPr>
        <w:t>编</w:t>
      </w:r>
      <w:r>
        <w:rPr>
          <w:rFonts w:asciiTheme="minorEastAsia" w:hAnsiTheme="minorEastAsia" w:eastAsiaTheme="minorEastAsia"/>
          <w:color w:val="000000" w:themeColor="text1"/>
          <w:sz w:val="24"/>
          <w:highlight w:val="none"/>
          <w14:textFill>
            <w14:solidFill>
              <w14:schemeClr w14:val="tx1"/>
            </w14:solidFill>
          </w14:textFill>
        </w:rPr>
        <w:t>写投标文件，</w:t>
      </w:r>
      <w:r>
        <w:rPr>
          <w:rFonts w:hint="eastAsia" w:asciiTheme="minorEastAsia" w:hAnsiTheme="minorEastAsia" w:eastAsiaTheme="minorEastAsia"/>
          <w:color w:val="000000" w:themeColor="text1"/>
          <w:sz w:val="24"/>
          <w:highlight w:val="none"/>
          <w14:textFill>
            <w14:solidFill>
              <w14:schemeClr w14:val="tx1"/>
            </w14:solidFill>
          </w14:textFill>
        </w:rPr>
        <w:t>具体内容详见本项目投标文件格式的相关内容。</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8.2</w:t>
      </w:r>
      <w:r>
        <w:rPr>
          <w:rFonts w:ascii="宋体" w:hAnsi="宋体" w:eastAsia="宋体"/>
          <w:color w:val="000000" w:themeColor="text1"/>
          <w:sz w:val="24"/>
          <w:highlight w:val="none"/>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应提交</w:t>
      </w:r>
      <w:r>
        <w:rPr>
          <w:rFonts w:hint="eastAsia" w:asciiTheme="minorEastAsia" w:hAnsiTheme="minorEastAsia" w:eastAsiaTheme="minorEastAsia"/>
          <w:color w:val="000000" w:themeColor="text1"/>
          <w:sz w:val="24"/>
          <w:highlight w:val="none"/>
          <w14:textFill>
            <w14:solidFill>
              <w14:schemeClr w14:val="tx1"/>
            </w14:solidFill>
          </w14:textFill>
        </w:rPr>
        <w:t>招标文件要求的</w:t>
      </w:r>
      <w:r>
        <w:rPr>
          <w:rFonts w:asciiTheme="minorEastAsia" w:hAnsiTheme="minorEastAsia" w:eastAsiaTheme="minorEastAsia"/>
          <w:color w:val="000000" w:themeColor="text1"/>
          <w:sz w:val="24"/>
          <w:highlight w:val="none"/>
          <w14:textFill>
            <w14:solidFill>
              <w14:schemeClr w14:val="tx1"/>
            </w14:solidFill>
          </w14:textFill>
        </w:rPr>
        <w:t>证明文件，证明其投标内容符合招标文件规定</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该证明文件是投标文件的一部分</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bookmarkStart w:id="37" w:name="_Hlk11703583"/>
      <w:r>
        <w:rPr>
          <w:rFonts w:hint="eastAsia" w:asciiTheme="minorEastAsia" w:hAnsiTheme="minorEastAsia" w:eastAsiaTheme="minorEastAsia"/>
          <w:color w:val="000000" w:themeColor="text1"/>
          <w:sz w:val="24"/>
          <w:highlight w:val="none"/>
          <w14:textFill>
            <w14:solidFill>
              <w14:schemeClr w14:val="tx1"/>
            </w14:solidFill>
          </w14:textFill>
        </w:rPr>
        <w:t>等。</w:t>
      </w:r>
    </w:p>
    <w:bookmarkEnd w:id="37"/>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8.3</w:t>
      </w:r>
      <w:r>
        <w:rPr>
          <w:rFonts w:asciiTheme="minorEastAsia" w:hAnsiTheme="minorEastAsia" w:eastAsiaTheme="minorEastAsia"/>
          <w:color w:val="000000" w:themeColor="text1"/>
          <w:sz w:val="24"/>
          <w:highlight w:val="none"/>
          <w14:textFill>
            <w14:solidFill>
              <w14:schemeClr w14:val="tx1"/>
            </w14:solidFill>
          </w14:textFill>
        </w:rPr>
        <w:t>为保证</w:t>
      </w:r>
      <w:r>
        <w:rPr>
          <w:rFonts w:ascii="宋体" w:hAnsi="宋体" w:eastAsia="宋体"/>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公正，除非另有规定或说明，投标人对同一项目投标时，不得同时提供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w:t>
      </w:r>
      <w:r>
        <w:rPr>
          <w:rFonts w:asciiTheme="minorEastAsia" w:hAnsiTheme="minorEastAsia" w:eastAsiaTheme="minorEastAsia"/>
          <w:color w:val="000000" w:themeColor="text1"/>
          <w:sz w:val="24"/>
          <w:highlight w:val="none"/>
          <w14:textFill>
            <w14:solidFill>
              <w14:schemeClr w14:val="tx1"/>
            </w14:solidFill>
          </w14:textFill>
        </w:rPr>
        <w:t>投标方案。</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.1投标人的报价应当包括满足本次招标全部采购需求</w:t>
      </w:r>
      <w:r>
        <w:rPr>
          <w:rFonts w:hint="eastAsia" w:asciiTheme="minorEastAsia" w:hAnsiTheme="minorEastAsia" w:eastAsiaTheme="minorEastAsia"/>
          <w:color w:val="000000" w:themeColor="text1"/>
          <w:sz w:val="24"/>
          <w:highlight w:val="none"/>
          <w14:textFill>
            <w14:solidFill>
              <w14:schemeClr w14:val="tx1"/>
            </w14:solidFill>
          </w14:textFill>
        </w:rPr>
        <w:t>。除招标文件另有规定外，所有投标均应以人民币报价。投标人的投标报价应遵守《中华人民共和国价格法》。</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.2投标人报价超过招标文件规定的预算金额或者分项、分包最高限价，其投标将被认定为</w:t>
      </w:r>
      <w:r>
        <w:rPr>
          <w:rFonts w:asciiTheme="minorEastAsia" w:hAnsiTheme="minorEastAsia" w:eastAsiaTheme="minorEastAsia"/>
          <w:b/>
          <w:bCs/>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3投标报价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在合同履行过程中是固定不变的，不得以任何理由予以变更。任何包含价格调整要求的投标，其投标将被认定为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000000" w:themeColor="text1"/>
          <w:sz w:val="24"/>
          <w:highlight w:val="none"/>
          <w14:textFill>
            <w14:solidFill>
              <w14:schemeClr w14:val="tx1"/>
            </w14:solidFill>
          </w14:textFill>
        </w:rPr>
        <w:t>必要时提交相关证明材料；投标人不能证明其报价合理性的，其投标将被认定为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投标保证金</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10.1本项目不收取投标保证金。</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投标有效期</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11.1投标有效期为从投标截止之日算起的日历天数，投标有效期详见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000000" w:themeColor="text1"/>
          <w:sz w:val="24"/>
          <w:highlight w:val="none"/>
          <w14:textFill>
            <w14:solidFill>
              <w14:schemeClr w14:val="tx1"/>
            </w14:solidFill>
          </w14:textFill>
        </w:rPr>
        <w:t>投标无效</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投标文件的密封、递交、修改与撤回</w:t>
      </w:r>
    </w:p>
    <w:p>
      <w:pPr>
        <w:spacing w:line="360" w:lineRule="auto"/>
        <w:ind w:firstLine="435"/>
        <w:rPr>
          <w:rFonts w:hint="eastAsia" w:ascii="宋体" w:hAnsi="宋体" w:cs="宋体"/>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2.1投标文件的份数和签署</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（1）投标文件份数：一式三份，正本一份，副本二份。</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（1）投标文件的正本和副本均需打印或使用不褪色的蓝、黑墨水笔书写，字迹应清晰易于辩认，并应在投标文件封面的右上角清楚地注明“正本”或“副本”。正本和副本如有不一致之处，以正本为准。</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12．2投标文件的密封和标记</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（1）供应商应当将投标文件正本、副本密封在一个档案袋内。</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12.3投标文件的提交</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（1）供应商应在供应商须知前附表规定的提交截止时间前递交投标文件。</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（2）供应商提交投标文件的地点：见供应商须知前附表。</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（3）除供应商须知前附表另有规定外，供应商所递交的投标文件不予退还。</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（4）逾期送达的或者未送达指定地点的投标文件，采购人不予受理。</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12.4投标文件的补充、修改与撤回</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（1）供应商在本章规定的投标文件投标截止时间前，供应商可以修改或撤回已递交的投标文件，但应以书面形式通知采购人。</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（2）供应商修改或撤回已递交投标文件的书面通知应按照本章的要求签字或盖章。</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（3）供应商撤回投标文件的，采购人自收到供应商书面撤回通知之日起5日内退还已收取的投标保证金。</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（4）修改的内容为投标文件的组成部分。</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开标</w:t>
      </w:r>
    </w:p>
    <w:p>
      <w:pPr>
        <w:spacing w:line="360" w:lineRule="auto"/>
        <w:ind w:firstLine="435"/>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1采购人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或采购代理机构将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在投标人须知前附表</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时间和地点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进行</w:t>
      </w:r>
      <w:r>
        <w:rPr>
          <w:rFonts w:hint="eastAsia" w:asciiTheme="minorEastAsia" w:hAnsiTheme="minorEastAsia" w:eastAsiaTheme="minorEastAsia"/>
          <w:color w:val="000000" w:themeColor="text1"/>
          <w:sz w:val="24"/>
          <w:highlight w:val="none"/>
          <w14:textFill>
            <w14:solidFill>
              <w14:schemeClr w14:val="tx1"/>
            </w14:solidFill>
          </w14:textFill>
        </w:rPr>
        <w:t>开</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标。</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13.2</w:t>
      </w:r>
      <w:r>
        <w:rPr>
          <w:rFonts w:hint="eastAsia" w:asciiTheme="minorEastAsia" w:hAnsiTheme="minorEastAsia" w:eastAsiaTheme="minorEastAsia"/>
          <w:color w:val="000000" w:themeColor="text1"/>
          <w:sz w:val="24"/>
          <w:highlight w:val="none"/>
          <w14:textFill>
            <w14:solidFill>
              <w14:schemeClr w14:val="tx1"/>
            </w14:solidFill>
          </w14:textFill>
        </w:rPr>
        <w:t>开标时，应对各投标人的投标文件密封情况进行检查</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其</w:t>
      </w:r>
      <w:r>
        <w:rPr>
          <w:rFonts w:hint="eastAsia" w:asciiTheme="minorEastAsia" w:hAnsiTheme="minorEastAsia" w:eastAsiaTheme="minorEastAsia"/>
          <w:color w:val="000000" w:themeColor="text1"/>
          <w:sz w:val="24"/>
          <w:highlight w:val="none"/>
          <w14:textFill>
            <w14:solidFill>
              <w14:schemeClr w14:val="tx1"/>
            </w14:solidFill>
          </w14:textFill>
        </w:rPr>
        <w:t>投标文件进行解密。</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开标时，采购代理机构将公布</w:t>
      </w:r>
      <w:r>
        <w:rPr>
          <w:rFonts w:hint="eastAsia" w:asciiTheme="minorEastAsia" w:hAnsiTheme="minorEastAsia" w:eastAsiaTheme="minorEastAsia"/>
          <w:color w:val="000000" w:themeColor="text1"/>
          <w:sz w:val="24"/>
          <w:highlight w:val="none"/>
          <w14:textFill>
            <w14:solidFill>
              <w14:schemeClr w14:val="tx1"/>
            </w14:solidFill>
          </w14:textFill>
        </w:rPr>
        <w:t>开标结果，公布内容包括投标人名称、投标价格及招标文件规定的内容。</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采购人或采购代理机构将对开标过程进行记录，并存档备查。</w:t>
      </w:r>
    </w:p>
    <w:p>
      <w:pPr>
        <w:spacing w:line="360" w:lineRule="auto"/>
        <w:ind w:firstLine="435"/>
        <w:rPr>
          <w:rFonts w:hint="eastAsia"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投标人代表对开标过程和开标记录有疑义，以及认为采购人、采购代理机构相关工作人员有需要回避的情形的，应当场提出询问或者回避申请。</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资格审查及组建评标委员会</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14.1采购人或采购代理机构依据法律法规和招标文件中规定的内</w:t>
      </w:r>
      <w:r>
        <w:rPr>
          <w:rFonts w:asciiTheme="minorEastAsia" w:hAnsiTheme="minorEastAsia" w:eastAsiaTheme="minorEastAsia"/>
          <w:color w:val="000000" w:themeColor="text1"/>
          <w:sz w:val="24"/>
          <w:highlight w:val="none"/>
          <w14:textFill>
            <w14:solidFill>
              <w14:schemeClr w14:val="tx1"/>
            </w14:solidFill>
          </w14:textFill>
        </w:rPr>
        <w:t>容</w:t>
      </w:r>
      <w:r>
        <w:rPr>
          <w:rFonts w:hint="eastAsia" w:asciiTheme="minorEastAsia" w:hAnsiTheme="minorEastAsia" w:eastAsiaTheme="minorEastAsia"/>
          <w:color w:val="000000" w:themeColor="text1"/>
          <w:sz w:val="24"/>
          <w:highlight w:val="none"/>
          <w14:textFill>
            <w14:solidFill>
              <w14:schemeClr w14:val="tx1"/>
            </w14:solidFill>
          </w14:textFill>
        </w:rPr>
        <w:t>，对投标人资格进行审查，未</w:t>
      </w:r>
      <w:r>
        <w:rPr>
          <w:rFonts w:asciiTheme="minorEastAsia" w:hAnsiTheme="minorEastAsia" w:eastAsiaTheme="minorEastAsia"/>
          <w:color w:val="000000" w:themeColor="text1"/>
          <w:sz w:val="24"/>
          <w:highlight w:val="none"/>
          <w14:textFill>
            <w14:solidFill>
              <w14:schemeClr w14:val="tx1"/>
            </w14:solidFill>
          </w14:textFill>
        </w:rPr>
        <w:t>通过资格审查的投标人</w:t>
      </w:r>
      <w:r>
        <w:rPr>
          <w:rFonts w:hint="eastAsia" w:asciiTheme="minorEastAsia" w:hAnsiTheme="minorEastAsia" w:eastAsiaTheme="minorEastAsia"/>
          <w:color w:val="000000" w:themeColor="text1"/>
          <w:sz w:val="24"/>
          <w:highlight w:val="none"/>
          <w14:textFill>
            <w14:solidFill>
              <w14:schemeClr w14:val="tx1"/>
            </w14:solidFill>
          </w14:textFill>
        </w:rPr>
        <w:t>不</w:t>
      </w:r>
      <w:r>
        <w:rPr>
          <w:rFonts w:asciiTheme="minorEastAsia" w:hAnsiTheme="minorEastAsia" w:eastAsiaTheme="minorEastAsia"/>
          <w:color w:val="000000" w:themeColor="text1"/>
          <w:sz w:val="24"/>
          <w:highlight w:val="none"/>
          <w14:textFill>
            <w14:solidFill>
              <w14:schemeClr w14:val="tx1"/>
            </w14:solidFill>
          </w14:textFill>
        </w:rPr>
        <w:t>进入评标</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bookmarkStart w:id="38" w:name="_Hlk24663244"/>
      <w:r>
        <w:rPr>
          <w:rFonts w:hint="eastAsia" w:ascii="宋体" w:hAnsi="宋体" w:eastAsia="宋体" w:cs="宋体"/>
          <w:color w:val="000000" w:themeColor="text1"/>
          <w:sz w:val="24"/>
          <w:szCs w:val="24"/>
          <w:highlight w:val="none"/>
          <w14:textFill>
            <w14:solidFill>
              <w14:schemeClr w14:val="tx1"/>
            </w14:solidFill>
          </w14:textFill>
        </w:rPr>
        <w:t>以联合体形式参加投标的，联合体成员存在以上不良信用记录的，联合体投标将被认定为</w:t>
      </w:r>
      <w:r>
        <w:rPr>
          <w:rFonts w:hint="eastAsia" w:ascii="宋体" w:hAnsi="宋体" w:eastAsia="宋体" w:cs="宋体"/>
          <w:b/>
          <w:color w:val="000000" w:themeColor="text1"/>
          <w:sz w:val="24"/>
          <w:szCs w:val="24"/>
          <w:highlight w:val="none"/>
          <w14:textFill>
            <w14:solidFill>
              <w14:schemeClr w14:val="tx1"/>
            </w14:solidFill>
          </w14:textFill>
        </w:rPr>
        <w:t>投标无效</w:t>
      </w:r>
      <w:r>
        <w:rPr>
          <w:rFonts w:hint="eastAsia" w:ascii="宋体" w:hAnsi="宋体" w:eastAsia="宋体" w:cs="宋体"/>
          <w:color w:val="000000" w:themeColor="text1"/>
          <w:sz w:val="24"/>
          <w:szCs w:val="24"/>
          <w:highlight w:val="none"/>
          <w14:textFill>
            <w14:solidFill>
              <w14:schemeClr w14:val="tx1"/>
            </w14:solidFill>
          </w14:textFill>
        </w:rPr>
        <w:t>。</w:t>
      </w:r>
    </w:p>
    <w:bookmarkEnd w:id="38"/>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投标文件符合性审查与澄清</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w:t>
      </w:r>
      <w:r>
        <w:rPr>
          <w:rFonts w:asciiTheme="minorEastAsia" w:hAnsiTheme="minorEastAsia" w:eastAsiaTheme="minorEastAsia"/>
          <w:color w:val="000000" w:themeColor="text1"/>
          <w:sz w:val="24"/>
          <w:highlight w:val="none"/>
          <w14:textFill>
            <w14:solidFill>
              <w14:schemeClr w14:val="tx1"/>
            </w14:solidFill>
          </w14:textFill>
        </w:rPr>
        <w:t>.1符合性审查是指依据招标文件的规定，从投标文件的有效性和完整性对招标文件的响应程度</w:t>
      </w:r>
      <w:r>
        <w:rPr>
          <w:rFonts w:ascii="宋体" w:hAnsi="宋体" w:eastAsia="宋体"/>
          <w:color w:val="000000" w:themeColor="text1"/>
          <w:sz w:val="24"/>
          <w:highlight w:val="none"/>
          <w14:textFill>
            <w14:solidFill>
              <w14:schemeClr w14:val="tx1"/>
            </w14:solidFill>
          </w14:textFill>
        </w:rPr>
        <w:t>进行</w:t>
      </w:r>
      <w:r>
        <w:rPr>
          <w:rFonts w:asciiTheme="minorEastAsia" w:hAnsiTheme="minorEastAsia" w:eastAsiaTheme="minorEastAsia"/>
          <w:color w:val="000000" w:themeColor="text1"/>
          <w:sz w:val="24"/>
          <w:highlight w:val="none"/>
          <w14:textFill>
            <w14:solidFill>
              <w14:schemeClr w14:val="tx1"/>
            </w14:solidFill>
          </w14:textFill>
        </w:rPr>
        <w:t>审查，以确定是否对招标文件的实质性要求做出响应。</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2投标文件的澄清</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.1为有助于投标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的审查、评价和比较，在评标期间，评标委员会将以书面</w:t>
      </w:r>
      <w:r>
        <w:rPr>
          <w:rFonts w:hint="eastAsia" w:ascii="宋体" w:hAnsi="宋体" w:eastAsia="宋体"/>
          <w:color w:val="000000" w:themeColor="text1"/>
          <w:sz w:val="24"/>
          <w:highlight w:val="none"/>
          <w14:textFill>
            <w14:solidFill>
              <w14:schemeClr w14:val="tx1"/>
            </w14:solidFill>
          </w14:textFill>
        </w:rPr>
        <w:t>方式（询标）</w:t>
      </w:r>
      <w:r>
        <w:rPr>
          <w:rFonts w:ascii="宋体" w:hAnsi="宋体" w:eastAsia="宋体"/>
          <w:color w:val="000000" w:themeColor="text1"/>
          <w:sz w:val="24"/>
          <w:highlight w:val="none"/>
          <w14:textFill>
            <w14:solidFill>
              <w14:schemeClr w14:val="tx1"/>
            </w14:solidFill>
          </w14:textFill>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000000" w:themeColor="text1"/>
          <w:sz w:val="24"/>
          <w:highlight w:val="none"/>
          <w14:textFill>
            <w14:solidFill>
              <w14:schemeClr w14:val="tx1"/>
            </w14:solidFill>
          </w14:textFill>
        </w:rPr>
        <w:t>审</w:t>
      </w:r>
      <w:r>
        <w:rPr>
          <w:rFonts w:ascii="宋体" w:hAnsi="宋体" w:eastAsia="宋体"/>
          <w:color w:val="000000" w:themeColor="text1"/>
          <w:sz w:val="24"/>
          <w:highlight w:val="none"/>
          <w14:textFill>
            <w14:solidFill>
              <w14:schemeClr w14:val="tx1"/>
            </w14:solidFill>
          </w14:textFill>
        </w:rPr>
        <w:t>查投标人的报价，有可能影响履约的情况作必要的澄清、说明或补正。投标人的澄清、说明或补正应在评标委员会规定的时间内以书面</w:t>
      </w:r>
      <w:r>
        <w:rPr>
          <w:rFonts w:hint="eastAsia" w:ascii="宋体" w:hAnsi="宋体" w:eastAsia="宋体"/>
          <w:color w:val="000000" w:themeColor="text1"/>
          <w:sz w:val="24"/>
          <w:highlight w:val="none"/>
          <w14:textFill>
            <w14:solidFill>
              <w14:schemeClr w14:val="tx1"/>
            </w14:solidFill>
          </w14:textFill>
        </w:rPr>
        <w:t>方式或通过电子邮箱（82358483@qq.com）方式</w:t>
      </w:r>
      <w:r>
        <w:rPr>
          <w:rFonts w:ascii="宋体" w:hAnsi="宋体" w:eastAsia="宋体"/>
          <w:color w:val="000000" w:themeColor="text1"/>
          <w:sz w:val="24"/>
          <w:highlight w:val="none"/>
          <w14:textFill>
            <w14:solidFill>
              <w14:schemeClr w14:val="tx1"/>
            </w14:solidFill>
          </w14:textFill>
        </w:rPr>
        <w:t>进行，并不得超出投标文件范围或者改变投标文件的实质性内容。</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15.2</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投标人的澄清、说明或补正将作为投标文件的一部分。</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15.2</w:t>
      </w:r>
      <w:r>
        <w:rPr>
          <w:rFonts w:ascii="宋体" w:hAnsi="宋体" w:eastAsia="宋体"/>
          <w:color w:val="000000" w:themeColor="text1"/>
          <w:sz w:val="24"/>
          <w:highlight w:val="none"/>
          <w14:textFill>
            <w14:solidFill>
              <w14:schemeClr w14:val="tx1"/>
            </w14:solidFill>
          </w14:textFill>
        </w:rPr>
        <w:t>.3评标委员会对投标人提交的澄清、说明或补正有疑问的，可以要求投标人进一步澄清、说明或补正，直至满足评标委员会的要求。</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15.3</w:t>
      </w:r>
      <w:r>
        <w:rPr>
          <w:rFonts w:ascii="宋体" w:hAnsi="宋体" w:eastAsia="宋体"/>
          <w:color w:val="000000" w:themeColor="text1"/>
          <w:sz w:val="24"/>
          <w:highlight w:val="none"/>
          <w14:textFill>
            <w14:solidFill>
              <w14:schemeClr w14:val="tx1"/>
            </w14:solidFill>
          </w14:textFill>
        </w:rPr>
        <w:t>投标文件报价出现前后不一致的，按照下列规定修正：</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w:t>
      </w:r>
      <w:r>
        <w:rPr>
          <w:rFonts w:ascii="宋体" w:hAnsi="宋体" w:eastAsia="宋体"/>
          <w:color w:val="000000" w:themeColor="text1"/>
          <w:sz w:val="24"/>
          <w:highlight w:val="none"/>
          <w14:textFill>
            <w14:solidFill>
              <w14:schemeClr w14:val="tx1"/>
            </w14:solidFill>
          </w14:textFill>
        </w:rPr>
        <w:t>）投标文件中开标一览表内容与投标文件中相应内容不一致的，以开标一览表为准；</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2</w:t>
      </w:r>
      <w:r>
        <w:rPr>
          <w:rFonts w:ascii="宋体" w:hAnsi="宋体" w:eastAsia="宋体"/>
          <w:color w:val="000000" w:themeColor="text1"/>
          <w:sz w:val="24"/>
          <w:highlight w:val="none"/>
          <w14:textFill>
            <w14:solidFill>
              <w14:schemeClr w14:val="tx1"/>
            </w14:solidFill>
          </w14:textFill>
        </w:rPr>
        <w:t>）大写金额和小写金额不一致的，以大写金额为准；</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）单价金额小数点或者百分比有明显错位的，以开标一览表的总价为准，并修改单价；</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4</w:t>
      </w:r>
      <w:r>
        <w:rPr>
          <w:rFonts w:ascii="宋体" w:hAnsi="宋体" w:eastAsia="宋体"/>
          <w:color w:val="000000" w:themeColor="text1"/>
          <w:sz w:val="24"/>
          <w:highlight w:val="none"/>
          <w14:textFill>
            <w14:solidFill>
              <w14:schemeClr w14:val="tx1"/>
            </w14:solidFill>
          </w14:textFill>
        </w:rPr>
        <w:t>）总价金额与按单价汇总金额不一致的，以单价金额计算结果为准。</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同时出现两种以上不一致的，按照前款规定的顺序修正。修正后的报价按照第</w:t>
      </w:r>
      <w:r>
        <w:rPr>
          <w:rFonts w:hint="eastAsia" w:ascii="宋体" w:hAnsi="宋体" w:eastAsia="宋体"/>
          <w:color w:val="000000" w:themeColor="text1"/>
          <w:sz w:val="24"/>
          <w:highlight w:val="none"/>
          <w14:textFill>
            <w14:solidFill>
              <w14:schemeClr w14:val="tx1"/>
            </w14:solidFill>
          </w14:textFill>
        </w:rPr>
        <w:t>15.</w:t>
      </w:r>
      <w:r>
        <w:rPr>
          <w:rFonts w:hint="eastAsia" w:ascii="宋体" w:hAnsi="宋体" w:eastAsia="宋体"/>
          <w:color w:val="000000" w:themeColor="text1"/>
          <w:sz w:val="24"/>
          <w:highlight w:val="none"/>
          <w:lang w:val="en-US" w:eastAsia="zh-CN"/>
          <w14:textFill>
            <w14:solidFill>
              <w14:schemeClr w14:val="tx1"/>
            </w14:solidFill>
          </w14:textFill>
        </w:rPr>
        <w:t>3</w:t>
      </w:r>
      <w:r>
        <w:rPr>
          <w:rFonts w:ascii="宋体" w:hAnsi="宋体" w:eastAsia="宋体"/>
          <w:color w:val="000000" w:themeColor="text1"/>
          <w:sz w:val="24"/>
          <w:highlight w:val="none"/>
          <w14:textFill>
            <w14:solidFill>
              <w14:schemeClr w14:val="tx1"/>
            </w14:solidFill>
          </w14:textFill>
        </w:rPr>
        <w:t>条的规定经投标人确认后产生约束力，</w:t>
      </w:r>
      <w:r>
        <w:rPr>
          <w:rFonts w:hint="eastAsia" w:ascii="宋体" w:hAnsi="宋体" w:eastAsia="宋体"/>
          <w:color w:val="000000" w:themeColor="text1"/>
          <w:sz w:val="24"/>
          <w:highlight w:val="none"/>
          <w14:textFill>
            <w14:solidFill>
              <w14:schemeClr w14:val="tx1"/>
            </w14:solidFill>
          </w14:textFill>
        </w:rPr>
        <w:t>无论投标人是接受或是拒绝调整后的价格，都应当由投标人在系统中确认。投标人拒绝对投标文件出现的错漏按上述原则进行修正、澄清、说明，其投标将被认定为投标无效。</w:t>
      </w:r>
    </w:p>
    <w:p>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对不同文字文本投标文件的解释发生异议的，以中文文本为准。</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16.投标无效</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1根据本</w:t>
      </w:r>
      <w:r>
        <w:rPr>
          <w:rFonts w:hint="eastAsia" w:asciiTheme="minorEastAsia" w:hAnsiTheme="minorEastAsia" w:eastAsiaTheme="minorEastAsia"/>
          <w:color w:val="000000" w:themeColor="text1"/>
          <w:sz w:val="24"/>
          <w:highlight w:val="none"/>
          <w14:textFill>
            <w14:solidFill>
              <w14:schemeClr w14:val="tx1"/>
            </w14:solidFill>
          </w14:textFill>
        </w:rPr>
        <w:t>招标文件</w:t>
      </w:r>
      <w:r>
        <w:rPr>
          <w:rFonts w:asciiTheme="minorEastAsia" w:hAnsiTheme="minorEastAsia" w:eastAsiaTheme="minorEastAsia"/>
          <w:color w:val="000000" w:themeColor="text1"/>
          <w:sz w:val="24"/>
          <w:highlight w:val="none"/>
          <w14:textFill>
            <w14:solidFill>
              <w14:schemeClr w14:val="tx1"/>
            </w14:solidFill>
          </w14:textFill>
        </w:rPr>
        <w:t>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评标委员会决定投标的响应性只根据招标文件要求和投标文件内容。</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无论何种原因，即使投标人投标时携带了证书材料的原件，但投标文件中未提供与之内容完全一致的扫描件的，评标委员会视同其未提供。</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w:t>
      </w:r>
      <w:r>
        <w:rPr>
          <w:rFonts w:asciiTheme="minorEastAsia" w:hAnsiTheme="minorEastAsia" w:eastAsiaTheme="minorEastAsia"/>
          <w:color w:val="000000" w:themeColor="text1"/>
          <w:sz w:val="24"/>
          <w:highlight w:val="none"/>
          <w14:textFill>
            <w14:solidFill>
              <w14:schemeClr w14:val="tx1"/>
            </w14:solidFill>
          </w14:textFill>
        </w:rPr>
        <w:t>2如发现下列情况之一的，其投标将被认定为</w:t>
      </w:r>
      <w:r>
        <w:rPr>
          <w:rFonts w:asciiTheme="minorEastAsia" w:hAnsiTheme="minorEastAsia" w:eastAsiaTheme="minorEastAsia"/>
          <w:b/>
          <w:color w:val="000000" w:themeColor="text1"/>
          <w:sz w:val="24"/>
          <w:highlight w:val="none"/>
          <w14:textFill>
            <w14:solidFill>
              <w14:schemeClr w14:val="tx1"/>
            </w14:solidFill>
          </w14:textFill>
        </w:rPr>
        <w:t>投标无效</w:t>
      </w:r>
      <w:r>
        <w:rPr>
          <w:rFonts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1）投标文件未按照招标文件规定要求签署、盖章的；</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2）不具备招标文件中规定的资格要求的；</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3）报价超过招标文件中规定的预算金额或者最高限价的；</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4）投标文件含有采购人不能接受的附加条件的；</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5）法律、法规和招标文件规定的其他无效情形。</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17.比较与评价</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17.1经符合性审查合格的投标文件，评标委员会将根据招标文件确定的评标方法和标准，对其投标文件作进一步的比较与评价。</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17.2评标严格按照</w:t>
      </w:r>
      <w:r>
        <w:rPr>
          <w:rFonts w:hint="eastAsia" w:ascii="宋体" w:hAnsi="宋体" w:eastAsia="宋体"/>
          <w:color w:val="000000" w:themeColor="text1"/>
          <w:sz w:val="24"/>
          <w:highlight w:val="none"/>
          <w14:textFill>
            <w14:solidFill>
              <w14:schemeClr w14:val="tx1"/>
            </w14:solidFill>
          </w14:textFill>
        </w:rPr>
        <w:t>招标文件</w:t>
      </w:r>
      <w:r>
        <w:rPr>
          <w:rFonts w:hint="eastAsia" w:asciiTheme="minorEastAsia" w:hAnsiTheme="minorEastAsia" w:eastAsiaTheme="minorEastAsia"/>
          <w:color w:val="000000" w:themeColor="text1"/>
          <w:sz w:val="24"/>
          <w:highlight w:val="none"/>
          <w14:textFill>
            <w14:solidFill>
              <w14:schemeClr w14:val="tx1"/>
            </w14:solidFill>
          </w14:textFill>
        </w:rPr>
        <w:t>的要求和条件进行。根据实际情况，在</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中规定采用下列一种评标方法，详细评标方法和标准见招标文件第四章：</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w:t>
      </w:r>
      <w:r>
        <w:rPr>
          <w:rFonts w:hint="eastAsia" w:ascii="宋体" w:hAnsi="宋体" w:eastAsia="宋体"/>
          <w:b/>
          <w:bCs/>
          <w:color w:val="000000" w:themeColor="text1"/>
          <w:sz w:val="24"/>
          <w:highlight w:val="none"/>
          <w14:textFill>
            <w14:solidFill>
              <w14:schemeClr w14:val="tx1"/>
            </w14:solidFill>
          </w14:textFill>
        </w:rPr>
        <w:t>1）最低评标价法，</w:t>
      </w:r>
      <w:r>
        <w:rPr>
          <w:rFonts w:hint="eastAsia" w:ascii="宋体" w:hAnsi="宋体" w:eastAsia="宋体"/>
          <w:color w:val="000000" w:themeColor="text1"/>
          <w:sz w:val="24"/>
          <w:highlight w:val="none"/>
          <w14:textFill>
            <w14:solidFill>
              <w14:schemeClr w14:val="tx1"/>
            </w14:solidFill>
          </w14:textFill>
        </w:rPr>
        <w:t>是指</w:t>
      </w:r>
      <w:r>
        <w:rPr>
          <w:rFonts w:ascii="宋体" w:hAnsi="宋体" w:eastAsia="宋体"/>
          <w:color w:val="000000" w:themeColor="text1"/>
          <w:sz w:val="24"/>
          <w:highlight w:val="none"/>
          <w14:textFill>
            <w14:solidFill>
              <w14:schemeClr w14:val="tx1"/>
            </w14:solidFill>
          </w14:textFill>
        </w:rPr>
        <w:t>投标文件满足招标文件全部实质性要求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且投标报价最低的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w:t>
      </w:r>
      <w:r>
        <w:rPr>
          <w:rFonts w:hint="eastAsia" w:ascii="宋体" w:hAnsi="宋体" w:eastAsia="宋体"/>
          <w:color w:val="000000" w:themeColor="text1"/>
          <w:sz w:val="24"/>
          <w:highlight w:val="none"/>
          <w14:textFill>
            <w14:solidFill>
              <w14:schemeClr w14:val="tx1"/>
            </w14:solidFill>
          </w14:textFill>
        </w:rPr>
        <w:t>候选</w:t>
      </w:r>
      <w:r>
        <w:rPr>
          <w:rFonts w:ascii="宋体" w:hAnsi="宋体" w:eastAsia="宋体"/>
          <w:color w:val="000000" w:themeColor="text1"/>
          <w:sz w:val="24"/>
          <w:highlight w:val="none"/>
          <w14:textFill>
            <w14:solidFill>
              <w14:schemeClr w14:val="tx1"/>
            </w14:solidFill>
          </w14:textFill>
        </w:rPr>
        <w:t>人的评标方法</w:t>
      </w:r>
      <w:r>
        <w:rPr>
          <w:rFonts w:hint="eastAsia" w:ascii="宋体" w:hAnsi="宋体" w:eastAsia="宋体"/>
          <w:color w:val="000000" w:themeColor="text1"/>
          <w:sz w:val="24"/>
          <w:highlight w:val="none"/>
          <w14:textFill>
            <w14:solidFill>
              <w14:schemeClr w14:val="tx1"/>
            </w14:solidFill>
          </w14:textFill>
        </w:rPr>
        <w:t>。</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（2）综合评分法，是</w:t>
      </w:r>
      <w:r>
        <w:rPr>
          <w:rFonts w:ascii="宋体" w:hAnsi="宋体" w:eastAsia="宋体"/>
          <w:color w:val="000000" w:themeColor="text1"/>
          <w:sz w:val="24"/>
          <w:highlight w:val="none"/>
          <w14:textFill>
            <w14:solidFill>
              <w14:schemeClr w14:val="tx1"/>
            </w14:solidFill>
          </w14:textFill>
        </w:rPr>
        <w:t>指投标文件满足招标</w:t>
      </w:r>
      <w:r>
        <w:rPr>
          <w:rFonts w:hint="eastAsia" w:ascii="宋体" w:hAnsi="宋体" w:eastAsia="宋体"/>
          <w:color w:val="000000" w:themeColor="text1"/>
          <w:sz w:val="24"/>
          <w:highlight w:val="none"/>
          <w14:textFill>
            <w14:solidFill>
              <w14:schemeClr w14:val="tx1"/>
            </w14:solidFill>
          </w14:textFill>
        </w:rPr>
        <w:t>文件</w:t>
      </w:r>
      <w:r>
        <w:rPr>
          <w:rFonts w:ascii="宋体" w:hAnsi="宋体" w:eastAsia="宋体"/>
          <w:color w:val="000000" w:themeColor="text1"/>
          <w:sz w:val="24"/>
          <w:highlight w:val="none"/>
          <w14:textFill>
            <w14:solidFill>
              <w14:schemeClr w14:val="tx1"/>
            </w14:solidFill>
          </w14:textFill>
        </w:rPr>
        <w:t>全部实质性要求</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且按照评审因素的</w:t>
      </w:r>
      <w:r>
        <w:rPr>
          <w:rFonts w:hint="eastAsia" w:ascii="宋体" w:hAnsi="宋体" w:eastAsia="宋体"/>
          <w:color w:val="000000" w:themeColor="text1"/>
          <w:sz w:val="24"/>
          <w:highlight w:val="none"/>
          <w14:textFill>
            <w14:solidFill>
              <w14:schemeClr w14:val="tx1"/>
            </w14:solidFill>
          </w14:textFill>
        </w:rPr>
        <w:t>量化</w:t>
      </w:r>
      <w:r>
        <w:rPr>
          <w:rFonts w:ascii="宋体" w:hAnsi="宋体" w:eastAsia="宋体"/>
          <w:color w:val="000000" w:themeColor="text1"/>
          <w:sz w:val="24"/>
          <w:highlight w:val="none"/>
          <w14:textFill>
            <w14:solidFill>
              <w14:schemeClr w14:val="tx1"/>
            </w14:solidFill>
          </w14:textFill>
        </w:rPr>
        <w:t>指标评审得分最高的</w:t>
      </w: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为中标候选人的评标方法。</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废标、重新招标与变更采购方式</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18.1出现下列情形之一，将导致项目废标：</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1）符合专业条件的供应商或者对招标文件做实质性响应的供应商不足规定数量的；</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（2）出现影响采购公正的违法、违规行为的；</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（3）投标人的报价均超过了采购预算，采购人不能支付的；</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（4）因重大变故，采购任务取消的。</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18.2</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采购人</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同意</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后方可实施</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19.1评标将在严格保密的情况下进行。</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19.2有关人员</w:t>
      </w:r>
      <w:r>
        <w:rPr>
          <w:rFonts w:ascii="宋体" w:hAnsi="宋体" w:eastAsia="宋体"/>
          <w:color w:val="000000" w:themeColor="text1"/>
          <w:sz w:val="24"/>
          <w:highlight w:val="none"/>
          <w14:textFill>
            <w14:solidFill>
              <w14:schemeClr w14:val="tx1"/>
            </w14:solidFill>
          </w14:textFill>
        </w:rPr>
        <w:t>应当</w:t>
      </w:r>
      <w:r>
        <w:rPr>
          <w:rFonts w:hint="eastAsia" w:ascii="宋体" w:hAnsi="宋体" w:eastAsia="宋体"/>
          <w:color w:val="000000" w:themeColor="text1"/>
          <w:sz w:val="24"/>
          <w:highlight w:val="none"/>
          <w14:textFill>
            <w14:solidFill>
              <w14:schemeClr w14:val="tx1"/>
            </w14:solidFill>
          </w14:textFill>
        </w:rPr>
        <w:t>遵</w:t>
      </w:r>
      <w:r>
        <w:rPr>
          <w:rFonts w:ascii="宋体" w:hAnsi="宋体" w:eastAsia="宋体"/>
          <w:color w:val="000000" w:themeColor="text1"/>
          <w:sz w:val="24"/>
          <w:highlight w:val="none"/>
          <w14:textFill>
            <w14:solidFill>
              <w14:schemeClr w14:val="tx1"/>
            </w14:solidFill>
          </w14:textFill>
        </w:rPr>
        <w:t>守评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工作纪律，不得</w:t>
      </w:r>
      <w:r>
        <w:rPr>
          <w:rFonts w:hint="eastAsia" w:ascii="宋体" w:hAnsi="宋体" w:eastAsia="宋体"/>
          <w:color w:val="000000" w:themeColor="text1"/>
          <w:sz w:val="24"/>
          <w:highlight w:val="none"/>
          <w14:textFill>
            <w14:solidFill>
              <w14:schemeClr w14:val="tx1"/>
            </w14:solidFill>
          </w14:textFill>
        </w:rPr>
        <w:t>泄露</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标文件</w:t>
      </w:r>
      <w:r>
        <w:rPr>
          <w:rFonts w:ascii="宋体" w:hAnsi="宋体" w:eastAsia="宋体"/>
          <w:color w:val="000000" w:themeColor="text1"/>
          <w:sz w:val="24"/>
          <w:highlight w:val="none"/>
          <w14:textFill>
            <w14:solidFill>
              <w14:schemeClr w14:val="tx1"/>
            </w14:solidFill>
          </w14:textFill>
        </w:rPr>
        <w:t>、评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情况和评</w:t>
      </w:r>
      <w:r>
        <w:rPr>
          <w:rFonts w:hint="eastAsia" w:ascii="宋体" w:hAnsi="宋体" w:eastAsia="宋体"/>
          <w:color w:val="000000" w:themeColor="text1"/>
          <w:sz w:val="24"/>
          <w:highlight w:val="none"/>
          <w14:textFill>
            <w14:solidFill>
              <w14:schemeClr w14:val="tx1"/>
            </w14:solidFill>
          </w14:textFill>
        </w:rPr>
        <w:t>标</w:t>
      </w:r>
      <w:r>
        <w:rPr>
          <w:rFonts w:ascii="宋体" w:hAnsi="宋体" w:eastAsia="宋体"/>
          <w:color w:val="000000" w:themeColor="text1"/>
          <w:sz w:val="24"/>
          <w:highlight w:val="none"/>
          <w14:textFill>
            <w14:solidFill>
              <w14:schemeClr w14:val="tx1"/>
            </w14:solidFill>
          </w14:textFill>
        </w:rPr>
        <w:t>中获悉的</w:t>
      </w:r>
      <w:r>
        <w:rPr>
          <w:rFonts w:hint="eastAsia" w:ascii="宋体" w:hAnsi="宋体" w:eastAsia="宋体"/>
          <w:color w:val="000000" w:themeColor="text1"/>
          <w:sz w:val="24"/>
          <w:highlight w:val="none"/>
          <w14:textFill>
            <w14:solidFill>
              <w14:schemeClr w14:val="tx1"/>
            </w14:solidFill>
          </w14:textFill>
        </w:rPr>
        <w:t>国家秘密、</w:t>
      </w:r>
      <w:r>
        <w:rPr>
          <w:rFonts w:ascii="宋体" w:hAnsi="宋体" w:eastAsia="宋体"/>
          <w:color w:val="000000" w:themeColor="text1"/>
          <w:sz w:val="24"/>
          <w:highlight w:val="none"/>
          <w14:textFill>
            <w14:solidFill>
              <w14:schemeClr w14:val="tx1"/>
            </w14:solidFill>
          </w14:textFill>
        </w:rPr>
        <w:t>商业秘密。</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中标候选人的确定原则及标准</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0</w:t>
      </w:r>
      <w:r>
        <w:rPr>
          <w:rFonts w:asciiTheme="minorEastAsia" w:hAnsiTheme="minorEastAsia" w:eastAsiaTheme="minorEastAsia"/>
          <w:color w:val="000000" w:themeColor="text1"/>
          <w:sz w:val="24"/>
          <w:highlight w:val="none"/>
          <w14:textFill>
            <w14:solidFill>
              <w14:schemeClr w14:val="tx1"/>
            </w14:solidFill>
          </w14:textFill>
        </w:rPr>
        <w:t>.1评</w:t>
      </w:r>
      <w:r>
        <w:rPr>
          <w:rFonts w:hint="eastAsia" w:asciiTheme="minorEastAsia" w:hAnsiTheme="minorEastAsia" w:eastAsiaTheme="minorEastAsia"/>
          <w:color w:val="000000" w:themeColor="text1"/>
          <w:sz w:val="24"/>
          <w:highlight w:val="none"/>
          <w14:textFill>
            <w14:solidFill>
              <w14:schemeClr w14:val="tx1"/>
            </w14:solidFill>
          </w14:textFill>
        </w:rPr>
        <w:t>标</w:t>
      </w:r>
      <w:r>
        <w:rPr>
          <w:rFonts w:asciiTheme="minorEastAsia" w:hAnsiTheme="minorEastAsia" w:eastAsiaTheme="minorEastAsia"/>
          <w:color w:val="000000" w:themeColor="text1"/>
          <w:sz w:val="24"/>
          <w:highlight w:val="none"/>
          <w14:textFill>
            <w14:solidFill>
              <w14:schemeClr w14:val="tx1"/>
            </w14:solidFill>
          </w14:textFill>
        </w:rPr>
        <w:t>委员会依据本项目招标文件所约定的评标方法，对实质上响应招标文件的投标人按下列方法进行排序</w:t>
      </w:r>
      <w:r>
        <w:rPr>
          <w:rFonts w:hint="eastAsia" w:asciiTheme="minorEastAsia" w:hAnsiTheme="minorEastAsia" w:eastAsiaTheme="minorEastAsia"/>
          <w:color w:val="000000" w:themeColor="text1"/>
          <w:sz w:val="24"/>
          <w:highlight w:val="none"/>
          <w14:textFill>
            <w14:solidFill>
              <w14:schemeClr w14:val="tx1"/>
            </w14:solidFill>
          </w14:textFill>
        </w:rPr>
        <w:t>，确定中标候选人</w:t>
      </w:r>
      <w:r>
        <w:rPr>
          <w:rFonts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采用最低评标价法的，</w:t>
      </w:r>
      <w:r>
        <w:rPr>
          <w:rFonts w:asciiTheme="minorEastAsia" w:hAnsiTheme="minorEastAsia" w:eastAsiaTheme="minorEastAsia"/>
          <w:color w:val="000000" w:themeColor="text1"/>
          <w:sz w:val="24"/>
          <w:highlight w:val="none"/>
          <w14:textFill>
            <w14:solidFill>
              <w14:schemeClr w14:val="tx1"/>
            </w14:solidFill>
          </w14:textFill>
        </w:rPr>
        <w:t>除了算术修正价格外，不对投标人的投标价格进行任何调整。评标结果按修正后的投标报价由低到高顺序排列。修正后的投标报价</w:t>
      </w:r>
      <w:r>
        <w:rPr>
          <w:rFonts w:hint="eastAsia" w:asciiTheme="minorEastAsia" w:hAnsiTheme="minorEastAsia" w:eastAsiaTheme="minorEastAsia"/>
          <w:color w:val="000000" w:themeColor="text1"/>
          <w:sz w:val="24"/>
          <w:highlight w:val="none"/>
          <w14:textFill>
            <w14:solidFill>
              <w14:schemeClr w14:val="tx1"/>
            </w14:solidFill>
          </w14:textFill>
        </w:rPr>
        <w:t>出现两家或两家以上相同者，采取评标委员会随机抽取的方式确定中标候选顺序。</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确定中标候选人和中标人</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.1评标委员会将根据评标标准，按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中规定数量推荐中标候选人。</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21.2按</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由评标委员会或采购人确定中标人。</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因重大变故采购任务取消时，采购人有权拒绝任何投标人中标，且对受影响的投标人不承担任何责任。</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编写评标报告</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中标结果公告</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除</w:t>
      </w:r>
      <w:r>
        <w:rPr>
          <w:rFonts w:asciiTheme="minorEastAsia" w:hAnsiTheme="minorEastAsia" w:eastAsiaTheme="minorEastAsia"/>
          <w:color w:val="000000" w:themeColor="text1"/>
          <w:sz w:val="24"/>
          <w:highlight w:val="none"/>
          <w:u w:val="single"/>
          <w14:textFill>
            <w14:solidFill>
              <w14:schemeClr w14:val="tx1"/>
            </w14:solidFill>
          </w14:textFill>
        </w:rPr>
        <w:t>投标</w:t>
      </w:r>
      <w:r>
        <w:rPr>
          <w:rFonts w:hint="eastAsia" w:asciiTheme="minorEastAsia" w:hAnsiTheme="minorEastAsia" w:eastAsiaTheme="minorEastAsia"/>
          <w:color w:val="000000" w:themeColor="text1"/>
          <w:sz w:val="24"/>
          <w:highlight w:val="none"/>
          <w:u w:val="single"/>
          <w14:textFill>
            <w14:solidFill>
              <w14:schemeClr w14:val="tx1"/>
            </w14:solidFill>
          </w14:textFill>
        </w:rPr>
        <w:t>人</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规定由评标委员会直接确定中标</w:t>
      </w:r>
      <w:r>
        <w:rPr>
          <w:rFonts w:hint="eastAsia" w:asciiTheme="minorEastAsia" w:hAnsiTheme="minorEastAsia" w:eastAsiaTheme="minorEastAsia"/>
          <w:color w:val="000000" w:themeColor="text1"/>
          <w:sz w:val="24"/>
          <w:highlight w:val="none"/>
          <w14:textFill>
            <w14:solidFill>
              <w14:schemeClr w14:val="tx1"/>
            </w14:solidFill>
          </w14:textFill>
        </w:rPr>
        <w:t>人外，</w:t>
      </w:r>
      <w:r>
        <w:rPr>
          <w:rFonts w:asciiTheme="minorEastAsia" w:hAnsiTheme="minorEastAsia" w:eastAsiaTheme="minorEastAsia"/>
          <w:color w:val="000000" w:themeColor="text1"/>
          <w:sz w:val="24"/>
          <w:highlight w:val="none"/>
          <w14:textFill>
            <w14:solidFill>
              <w14:schemeClr w14:val="tx1"/>
            </w14:solidFill>
          </w14:textFill>
        </w:rPr>
        <w:t>在评标结束后2个工作日内</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采购代理机构将评标报告送采购人。采购人应当自收到评标报告之日起</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szCs w:val="18"/>
          <w:highlight w:val="none"/>
          <w14:textFill>
            <w14:solidFill>
              <w14:schemeClr w14:val="tx1"/>
            </w14:solidFill>
          </w14:textFill>
        </w:rPr>
        <w:t>自中标人确定之日起2个工作日内，采购代理机构将在滁州市第一人民医院网</w:t>
      </w:r>
      <w:r>
        <w:rPr>
          <w:rFonts w:hint="eastAsia" w:ascii="宋体" w:hAnsi="宋体" w:eastAsia="宋体" w:cs="宋体"/>
          <w:color w:val="000000" w:themeColor="text1"/>
          <w:sz w:val="24"/>
          <w:szCs w:val="24"/>
          <w:highlight w:val="none"/>
          <w14:textFill>
            <w14:solidFill>
              <w14:schemeClr w14:val="tx1"/>
            </w14:solidFill>
          </w14:textFill>
        </w:rPr>
        <w:t>（http://www.czdyrmyy.com/index.asp）</w:t>
      </w:r>
      <w:r>
        <w:rPr>
          <w:rFonts w:hint="eastAsia" w:ascii="宋体" w:hAnsi="宋体" w:eastAsia="宋体"/>
          <w:color w:val="000000" w:themeColor="text1"/>
          <w:sz w:val="24"/>
          <w:szCs w:val="18"/>
          <w:highlight w:val="none"/>
          <w14:textFill>
            <w14:solidFill>
              <w14:schemeClr w14:val="tx1"/>
            </w14:solidFill>
          </w14:textFill>
        </w:rPr>
        <w:t>上发布中标结果公告。</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23.3</w:t>
      </w:r>
      <w:r>
        <w:rPr>
          <w:rFonts w:asciiTheme="minorEastAsia" w:hAnsiTheme="minorEastAsia" w:eastAsiaTheme="minorEastAsia"/>
          <w:color w:val="000000" w:themeColor="text1"/>
          <w:sz w:val="24"/>
          <w:highlight w:val="none"/>
          <w14:textFill>
            <w14:solidFill>
              <w14:schemeClr w14:val="tx1"/>
            </w14:solidFill>
          </w14:textFill>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000000" w:themeColor="text1"/>
          <w:sz w:val="24"/>
          <w:highlight w:val="none"/>
          <w14:textFill>
            <w14:solidFill>
              <w14:schemeClr w14:val="tx1"/>
            </w14:solidFill>
          </w14:textFill>
        </w:rPr>
        <w:t>品牌（如有）</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规格型号</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数量</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单价</w:t>
      </w:r>
      <w:r>
        <w:rPr>
          <w:rFonts w:asciiTheme="minorEastAsia" w:hAnsiTheme="minorEastAsia" w:eastAsiaTheme="minorEastAsia"/>
          <w:color w:val="000000" w:themeColor="text1"/>
          <w:sz w:val="24"/>
          <w:highlight w:val="none"/>
          <w14:textFill>
            <w14:solidFill>
              <w14:schemeClr w14:val="tx1"/>
            </w14:solidFill>
          </w14:textFill>
        </w:rPr>
        <w:t>，中标公告期限以及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中约定进行公告的内容。中标公告期限为1个工作日。</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中标通知书</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.1采购代理机构</w:t>
      </w:r>
      <w:r>
        <w:rPr>
          <w:rFonts w:ascii="宋体" w:hAnsi="宋体" w:eastAsia="宋体"/>
          <w:color w:val="000000" w:themeColor="text1"/>
          <w:sz w:val="24"/>
          <w:highlight w:val="none"/>
          <w14:textFill>
            <w14:solidFill>
              <w14:schemeClr w14:val="tx1"/>
            </w14:solidFill>
          </w14:textFill>
        </w:rPr>
        <w:t>发布</w:t>
      </w:r>
      <w:r>
        <w:rPr>
          <w:rFonts w:asciiTheme="minorEastAsia" w:hAnsiTheme="minorEastAsia" w:eastAsiaTheme="minorEastAsia"/>
          <w:color w:val="000000" w:themeColor="text1"/>
          <w:sz w:val="24"/>
          <w:highlight w:val="none"/>
          <w14:textFill>
            <w14:solidFill>
              <w14:schemeClr w14:val="tx1"/>
            </w14:solidFill>
          </w14:textFill>
        </w:rPr>
        <w:t>中标结果公告</w:t>
      </w:r>
      <w:r>
        <w:rPr>
          <w:rFonts w:hint="eastAsia" w:asciiTheme="minorEastAsia" w:hAnsiTheme="minorEastAsia" w:eastAsiaTheme="minorEastAsia"/>
          <w:iCs/>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形式向中标人发出中标通知书。</w:t>
      </w:r>
      <w:r>
        <w:rPr>
          <w:rFonts w:hint="eastAsia" w:asciiTheme="minorEastAsia" w:hAnsiTheme="minorEastAsia" w:eastAsiaTheme="minorEastAsia"/>
          <w:color w:val="000000" w:themeColor="text1"/>
          <w:sz w:val="24"/>
          <w:highlight w:val="none"/>
          <w14:textFill>
            <w14:solidFill>
              <w14:schemeClr w14:val="tx1"/>
            </w14:solidFill>
          </w14:textFill>
        </w:rPr>
        <w:t>中标通知书须加盖采购人、采购代理机构公章后，方可发出。</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.2中标通知书对采购人和中标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具有同等法律效力。中标通知书发出以后，采购人改变中标结果或者中标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放弃中标，应当承担相应的法律责任。</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.3中标通知书是</w:t>
      </w:r>
      <w:r>
        <w:rPr>
          <w:rFonts w:ascii="宋体" w:hAnsi="宋体" w:eastAsia="宋体"/>
          <w:color w:val="000000" w:themeColor="text1"/>
          <w:sz w:val="24"/>
          <w:highlight w:val="none"/>
          <w14:textFill>
            <w14:solidFill>
              <w14:schemeClr w14:val="tx1"/>
            </w14:solidFill>
          </w14:textFill>
        </w:rPr>
        <w:t>合同</w:t>
      </w:r>
      <w:r>
        <w:rPr>
          <w:rFonts w:asciiTheme="minorEastAsia" w:hAnsiTheme="minorEastAsia" w:eastAsiaTheme="minorEastAsia"/>
          <w:color w:val="000000" w:themeColor="text1"/>
          <w:sz w:val="24"/>
          <w:highlight w:val="none"/>
          <w14:textFill>
            <w14:solidFill>
              <w14:schemeClr w14:val="tx1"/>
            </w14:solidFill>
          </w14:textFill>
        </w:rPr>
        <w:t>的组成部分。</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告知招标结果</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25</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在公告</w:t>
      </w:r>
      <w:r>
        <w:rPr>
          <w:rFonts w:asciiTheme="minorEastAsia" w:hAnsiTheme="minorEastAsia" w:eastAsiaTheme="minorEastAsia"/>
          <w:color w:val="000000" w:themeColor="text1"/>
          <w:sz w:val="24"/>
          <w:highlight w:val="none"/>
          <w14:textFill>
            <w14:solidFill>
              <w14:schemeClr w14:val="tx1"/>
            </w14:solidFill>
          </w14:textFill>
        </w:rPr>
        <w:t>中标结果的同时，采购代理机构同时以</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rFonts w:hint="eastAsia" w:asciiTheme="minorEastAsia" w:hAnsiTheme="minorEastAsia" w:eastAsiaTheme="minorEastAsia"/>
          <w:color w:val="000000" w:themeColor="text1"/>
          <w:sz w:val="24"/>
          <w:highlight w:val="none"/>
          <w14:textFill>
            <w14:solidFill>
              <w14:schemeClr w14:val="tx1"/>
            </w14:solidFill>
          </w14:textFill>
        </w:rPr>
        <w:t>告知未通过资格审查的投标人未通过的原因；采用综合评分法评审的，还将告知未中标人本人的评审得分和排序。</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履约保证金</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26.1中标人应按照</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规定缴纳履约保证金。</w:t>
      </w:r>
    </w:p>
    <w:p>
      <w:pPr>
        <w:spacing w:line="360" w:lineRule="auto"/>
        <w:ind w:firstLine="435"/>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26.</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如果</w:t>
      </w:r>
      <w:r>
        <w:rPr>
          <w:rFonts w:hint="eastAsia" w:asciiTheme="minorEastAsia" w:hAnsiTheme="minorEastAsia" w:eastAsiaTheme="minorEastAsia"/>
          <w:color w:val="000000" w:themeColor="text1"/>
          <w:sz w:val="24"/>
          <w:highlight w:val="none"/>
          <w14:textFill>
            <w14:solidFill>
              <w14:schemeClr w14:val="tx1"/>
            </w14:solidFill>
          </w14:textFill>
        </w:rPr>
        <w:t>中标人没有按照上述履约保证金的规定执行，将视为放弃中标资格。在此情况下，采购人可</w:t>
      </w:r>
      <w:r>
        <w:rPr>
          <w:rFonts w:asciiTheme="minorEastAsia" w:hAnsiTheme="minorEastAsia" w:eastAsiaTheme="minorEastAsia"/>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w:t>
      </w:r>
      <w:r>
        <w:rPr>
          <w:rFonts w:hint="eastAsia" w:asciiTheme="minorEastAsia" w:hAnsiTheme="minorEastAsia" w:eastAsiaTheme="minorEastAsia"/>
          <w:color w:val="000000" w:themeColor="text1"/>
          <w:sz w:val="24"/>
          <w:highlight w:val="none"/>
          <w14:textFill>
            <w14:solidFill>
              <w14:schemeClr w14:val="tx1"/>
            </w14:solidFill>
          </w14:textFill>
        </w:rPr>
        <w:t>候选</w:t>
      </w:r>
      <w:r>
        <w:rPr>
          <w:rFonts w:asciiTheme="minorEastAsia" w:hAnsiTheme="minorEastAsia" w:eastAsiaTheme="minorEastAsia"/>
          <w:color w:val="000000" w:themeColor="text1"/>
          <w:sz w:val="24"/>
          <w:highlight w:val="none"/>
          <w14:textFill>
            <w14:solidFill>
              <w14:schemeClr w14:val="tx1"/>
            </w14:solidFill>
          </w14:textFill>
        </w:rPr>
        <w:t>人为中标</w:t>
      </w:r>
      <w:r>
        <w:rPr>
          <w:rFonts w:hint="eastAsia" w:asciiTheme="minorEastAsia" w:hAnsiTheme="minorEastAsia" w:eastAsiaTheme="minorEastAsia"/>
          <w:color w:val="000000" w:themeColor="text1"/>
          <w:sz w:val="24"/>
          <w:highlight w:val="none"/>
          <w14:textFill>
            <w14:solidFill>
              <w14:schemeClr w14:val="tx1"/>
            </w14:solidFill>
          </w14:textFill>
        </w:rPr>
        <w:t>人</w:t>
      </w:r>
      <w:r>
        <w:rPr>
          <w:rFonts w:asciiTheme="minorEastAsia" w:hAnsiTheme="minorEastAsia" w:eastAsiaTheme="minorEastAsia"/>
          <w:color w:val="000000" w:themeColor="text1"/>
          <w:sz w:val="24"/>
          <w:highlight w:val="none"/>
          <w14:textFill>
            <w14:solidFill>
              <w14:schemeClr w14:val="tx1"/>
            </w14:solidFill>
          </w14:textFill>
        </w:rPr>
        <w:t>，也可以重新开展采购活动。</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签订合同</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27.1</w:t>
      </w:r>
      <w:r>
        <w:rPr>
          <w:rFonts w:hint="eastAsia" w:ascii="宋体" w:hAnsi="宋体" w:eastAsia="宋体" w:cs="宋体"/>
          <w:color w:val="000000" w:themeColor="text1"/>
          <w:sz w:val="24"/>
          <w:szCs w:val="24"/>
          <w:highlight w:val="none"/>
          <w14:textFill>
            <w14:solidFill>
              <w14:schemeClr w14:val="tx1"/>
            </w14:solidFill>
          </w14:textFill>
        </w:rPr>
        <w:t>采购人与中标人应当按照</w:t>
      </w:r>
      <w:r>
        <w:rPr>
          <w:rFonts w:hint="eastAsia" w:ascii="宋体" w:hAnsi="宋体" w:eastAsia="宋体" w:cs="宋体"/>
          <w:color w:val="000000" w:themeColor="text1"/>
          <w:sz w:val="24"/>
          <w:szCs w:val="24"/>
          <w:highlight w:val="none"/>
          <w:u w:val="single"/>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规定的时间内完成政府采购合同签订及合同公告。</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27.2招标文件、中标人的投标文件及其澄清文件等，均为签订合同的依据。</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27.3中</w:t>
      </w:r>
      <w:r>
        <w:rPr>
          <w:rFonts w:ascii="宋体" w:hAnsi="宋体" w:eastAsia="宋体"/>
          <w:color w:val="000000" w:themeColor="text1"/>
          <w:sz w:val="24"/>
          <w:highlight w:val="none"/>
          <w14:textFill>
            <w14:solidFill>
              <w14:schemeClr w14:val="tx1"/>
            </w14:solidFill>
          </w14:textFill>
        </w:rPr>
        <w:t>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拒绝与采购人签订合同的，采购人可以按照评审报告推荐的中标候选人</w:t>
      </w:r>
      <w:r>
        <w:rPr>
          <w:rFonts w:hint="eastAsia" w:ascii="宋体" w:hAnsi="宋体" w:eastAsia="宋体"/>
          <w:color w:val="000000" w:themeColor="text1"/>
          <w:sz w:val="24"/>
          <w:highlight w:val="none"/>
          <w14:textFill>
            <w14:solidFill>
              <w14:schemeClr w14:val="tx1"/>
            </w14:solidFill>
          </w14:textFill>
        </w:rPr>
        <w:t>名单</w:t>
      </w:r>
      <w:r>
        <w:rPr>
          <w:rFonts w:ascii="宋体" w:hAnsi="宋体" w:eastAsia="宋体"/>
          <w:color w:val="000000" w:themeColor="text1"/>
          <w:sz w:val="24"/>
          <w:highlight w:val="none"/>
          <w14:textFill>
            <w14:solidFill>
              <w14:schemeClr w14:val="tx1"/>
            </w14:solidFill>
          </w14:textFill>
        </w:rPr>
        <w:t>排序</w:t>
      </w:r>
      <w:r>
        <w:rPr>
          <w:rFonts w:hint="eastAsia" w:ascii="宋体" w:hAnsi="宋体" w:eastAsia="宋体"/>
          <w:color w:val="000000" w:themeColor="text1"/>
          <w:sz w:val="24"/>
          <w:highlight w:val="none"/>
          <w14:textFill>
            <w14:solidFill>
              <w14:schemeClr w14:val="tx1"/>
            </w14:solidFill>
          </w14:textFill>
        </w:rPr>
        <w:t>，</w:t>
      </w:r>
      <w:r>
        <w:rPr>
          <w:rFonts w:ascii="宋体" w:hAnsi="宋体" w:eastAsia="宋体"/>
          <w:color w:val="000000" w:themeColor="text1"/>
          <w:sz w:val="24"/>
          <w:highlight w:val="none"/>
          <w14:textFill>
            <w14:solidFill>
              <w14:schemeClr w14:val="tx1"/>
            </w14:solidFill>
          </w14:textFill>
        </w:rPr>
        <w:t>确定下一</w:t>
      </w:r>
      <w:r>
        <w:rPr>
          <w:rFonts w:hint="eastAsia" w:ascii="宋体" w:hAnsi="宋体" w:eastAsia="宋体"/>
          <w:color w:val="000000" w:themeColor="text1"/>
          <w:sz w:val="24"/>
          <w:highlight w:val="none"/>
          <w14:textFill>
            <w14:solidFill>
              <w14:schemeClr w14:val="tx1"/>
            </w14:solidFill>
          </w14:textFill>
        </w:rPr>
        <w:t>中标候选</w:t>
      </w:r>
      <w:r>
        <w:rPr>
          <w:rFonts w:ascii="宋体" w:hAnsi="宋体" w:eastAsia="宋体"/>
          <w:color w:val="000000" w:themeColor="text1"/>
          <w:sz w:val="24"/>
          <w:highlight w:val="none"/>
          <w14:textFill>
            <w14:solidFill>
              <w14:schemeClr w14:val="tx1"/>
            </w14:solidFill>
          </w14:textFill>
        </w:rPr>
        <w:t>人为中标</w:t>
      </w:r>
      <w:r>
        <w:rPr>
          <w:rFonts w:hint="eastAsia" w:ascii="宋体" w:hAnsi="宋体" w:eastAsia="宋体"/>
          <w:color w:val="000000" w:themeColor="text1"/>
          <w:sz w:val="24"/>
          <w:highlight w:val="none"/>
          <w14:textFill>
            <w14:solidFill>
              <w14:schemeClr w14:val="tx1"/>
            </w14:solidFill>
          </w14:textFill>
        </w:rPr>
        <w:t>人</w:t>
      </w:r>
      <w:r>
        <w:rPr>
          <w:rFonts w:ascii="宋体" w:hAnsi="宋体" w:eastAsia="宋体"/>
          <w:color w:val="000000" w:themeColor="text1"/>
          <w:sz w:val="24"/>
          <w:highlight w:val="none"/>
          <w14:textFill>
            <w14:solidFill>
              <w14:schemeClr w14:val="tx1"/>
            </w14:solidFill>
          </w14:textFill>
        </w:rPr>
        <w:t>，也可以重新开展政府采购活动。</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代理费用</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28</w:t>
      </w:r>
      <w:r>
        <w:rPr>
          <w:rFonts w:ascii="宋体" w:hAnsi="宋体" w:eastAsia="宋体"/>
          <w:color w:val="000000" w:themeColor="text1"/>
          <w:sz w:val="24"/>
          <w:highlight w:val="none"/>
          <w14:textFill>
            <w14:solidFill>
              <w14:schemeClr w14:val="tx1"/>
            </w14:solidFill>
          </w14:textFill>
        </w:rPr>
        <w:t>.1</w:t>
      </w:r>
      <w:r>
        <w:rPr>
          <w:rFonts w:hint="eastAsia" w:ascii="宋体" w:hAnsi="宋体" w:eastAsia="宋体"/>
          <w:color w:val="000000" w:themeColor="text1"/>
          <w:sz w:val="24"/>
          <w:highlight w:val="none"/>
          <w14:textFill>
            <w14:solidFill>
              <w14:schemeClr w14:val="tx1"/>
            </w14:solidFill>
          </w14:textFill>
        </w:rPr>
        <w:t>本项目代理费用的收取按</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投标人须知前附表的</w:t>
      </w:r>
      <w:r>
        <w:rPr>
          <w:rFonts w:hint="eastAsia" w:ascii="宋体" w:hAnsi="宋体" w:eastAsia="宋体"/>
          <w:color w:val="000000" w:themeColor="text1"/>
          <w:sz w:val="24"/>
          <w:highlight w:val="none"/>
          <w14:textFill>
            <w14:solidFill>
              <w14:schemeClr w14:val="tx1"/>
            </w14:solidFill>
          </w14:textFill>
        </w:rPr>
        <w:t>规定执行</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bookmarkStart w:id="39" w:name="_Toc518923100"/>
      <w:bookmarkStart w:id="40" w:name="_Toc2583661"/>
      <w:r>
        <w:rPr>
          <w:rFonts w:hint="eastAsia" w:asciiTheme="minorEastAsia" w:hAnsiTheme="minorEastAsia" w:eastAsiaTheme="minorEastAsia"/>
          <w:b/>
          <w:color w:val="000000" w:themeColor="text1"/>
          <w:sz w:val="24"/>
          <w:highlight w:val="none"/>
          <w14:textFill>
            <w14:solidFill>
              <w14:schemeClr w14:val="tx1"/>
            </w14:solidFill>
          </w14:textFill>
        </w:rPr>
        <w:t>29.廉洁自律</w:t>
      </w:r>
      <w:r>
        <w:rPr>
          <w:rFonts w:asciiTheme="minorEastAsia" w:hAnsiTheme="minorEastAsia" w:eastAsiaTheme="minorEastAsia"/>
          <w:b/>
          <w:color w:val="000000" w:themeColor="text1"/>
          <w:sz w:val="24"/>
          <w:highlight w:val="none"/>
          <w14:textFill>
            <w14:solidFill>
              <w14:schemeClr w14:val="tx1"/>
            </w14:solidFill>
          </w14:textFill>
        </w:rPr>
        <w:t>规定</w:t>
      </w:r>
      <w:bookmarkEnd w:id="39"/>
      <w:bookmarkEnd w:id="40"/>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29.1采购代理机构</w:t>
      </w:r>
      <w:r>
        <w:rPr>
          <w:rFonts w:ascii="宋体" w:hAnsi="宋体" w:eastAsia="宋体"/>
          <w:color w:val="000000" w:themeColor="text1"/>
          <w:sz w:val="24"/>
          <w:highlight w:val="none"/>
          <w14:textFill>
            <w14:solidFill>
              <w14:schemeClr w14:val="tx1"/>
            </w14:solidFill>
          </w14:textFill>
        </w:rPr>
        <w:t>工作人员</w:t>
      </w:r>
      <w:r>
        <w:rPr>
          <w:rFonts w:hint="eastAsia" w:ascii="宋体" w:hAnsi="宋体" w:eastAsia="宋体"/>
          <w:color w:val="000000" w:themeColor="text1"/>
          <w:sz w:val="24"/>
          <w:highlight w:val="none"/>
          <w14:textFill>
            <w14:solidFill>
              <w14:schemeClr w14:val="tx1"/>
            </w14:solidFill>
          </w14:textFill>
        </w:rPr>
        <w:t>不得以不正当手段获取政府采购代理业务，不得与采购人、供应商恶意串通。</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29.</w:t>
      </w:r>
      <w:r>
        <w:rPr>
          <w:rFonts w:ascii="宋体" w:hAnsi="宋体" w:eastAsia="宋体"/>
          <w:color w:val="000000" w:themeColor="text1"/>
          <w:sz w:val="24"/>
          <w:highlight w:val="none"/>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bookmarkStart w:id="41" w:name="_Toc2583662"/>
      <w:bookmarkStart w:id="42" w:name="_Toc518923101"/>
      <w:r>
        <w:rPr>
          <w:rFonts w:hint="eastAsia" w:asciiTheme="minorEastAsia" w:hAnsiTheme="minorEastAsia" w:eastAsiaTheme="minorEastAsia"/>
          <w:b/>
          <w:color w:val="000000" w:themeColor="text1"/>
          <w:sz w:val="24"/>
          <w:highlight w:val="none"/>
          <w14:textFill>
            <w14:solidFill>
              <w14:schemeClr w14:val="tx1"/>
            </w14:solidFill>
          </w14:textFill>
        </w:rPr>
        <w:t>30.人员回避</w:t>
      </w:r>
      <w:bookmarkEnd w:id="41"/>
      <w:bookmarkEnd w:id="42"/>
    </w:p>
    <w:p>
      <w:pPr>
        <w:spacing w:line="360" w:lineRule="auto"/>
        <w:ind w:firstLine="435"/>
        <w:rPr>
          <w:rFonts w:hint="eastAsia" w:ascii="仿宋_GB2312" w:hAnsi="宋体" w:eastAsia="仿宋_GB2312"/>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w:t>
      </w:r>
      <w:r>
        <w:rPr>
          <w:rFonts w:ascii="宋体" w:hAnsi="宋体" w:eastAsia="宋体"/>
          <w:color w:val="000000" w:themeColor="text1"/>
          <w:sz w:val="24"/>
          <w:highlight w:val="none"/>
          <w14:textFill>
            <w14:solidFill>
              <w14:schemeClr w14:val="tx1"/>
            </w14:solidFill>
          </w14:textFill>
        </w:rPr>
        <w:t>认为采购人员</w:t>
      </w:r>
      <w:r>
        <w:rPr>
          <w:rFonts w:hint="eastAsia" w:ascii="宋体" w:hAnsi="宋体" w:eastAsia="宋体"/>
          <w:color w:val="000000" w:themeColor="text1"/>
          <w:sz w:val="24"/>
          <w:highlight w:val="none"/>
          <w14:textFill>
            <w14:solidFill>
              <w14:schemeClr w14:val="tx1"/>
            </w14:solidFill>
          </w14:textFill>
        </w:rPr>
        <w:t>及其</w:t>
      </w:r>
      <w:r>
        <w:rPr>
          <w:rFonts w:ascii="宋体" w:hAnsi="宋体" w:eastAsia="宋体"/>
          <w:color w:val="000000" w:themeColor="text1"/>
          <w:sz w:val="24"/>
          <w:highlight w:val="none"/>
          <w14:textFill>
            <w14:solidFill>
              <w14:schemeClr w14:val="tx1"/>
            </w14:solidFill>
          </w14:textFill>
        </w:rPr>
        <w:t>相关人员有</w:t>
      </w:r>
      <w:r>
        <w:rPr>
          <w:rFonts w:hint="eastAsia" w:ascii="宋体" w:hAnsi="宋体" w:eastAsia="宋体"/>
          <w:color w:val="000000" w:themeColor="text1"/>
          <w:sz w:val="24"/>
          <w:highlight w:val="none"/>
          <w14:textFill>
            <w14:solidFill>
              <w14:schemeClr w14:val="tx1"/>
            </w14:solidFill>
          </w14:textFill>
        </w:rPr>
        <w:t>法律</w:t>
      </w:r>
      <w:r>
        <w:rPr>
          <w:rFonts w:ascii="宋体" w:hAnsi="宋体" w:eastAsia="宋体"/>
          <w:color w:val="000000" w:themeColor="text1"/>
          <w:sz w:val="24"/>
          <w:highlight w:val="none"/>
          <w14:textFill>
            <w14:solidFill>
              <w14:schemeClr w14:val="tx1"/>
            </w14:solidFill>
          </w14:textFill>
        </w:rPr>
        <w:t>法规所列与其他供应商</w:t>
      </w:r>
      <w:r>
        <w:rPr>
          <w:rFonts w:hint="eastAsia" w:ascii="宋体" w:hAnsi="宋体" w:eastAsia="宋体"/>
          <w:color w:val="000000" w:themeColor="text1"/>
          <w:sz w:val="24"/>
          <w:highlight w:val="none"/>
          <w14:textFill>
            <w14:solidFill>
              <w14:schemeClr w14:val="tx1"/>
            </w14:solidFill>
          </w14:textFill>
        </w:rPr>
        <w:t>有</w:t>
      </w:r>
      <w:r>
        <w:rPr>
          <w:rFonts w:ascii="宋体" w:hAnsi="宋体" w:eastAsia="宋体"/>
          <w:color w:val="000000" w:themeColor="text1"/>
          <w:sz w:val="24"/>
          <w:highlight w:val="none"/>
          <w14:textFill>
            <w14:solidFill>
              <w14:schemeClr w14:val="tx1"/>
            </w14:solidFill>
          </w14:textFill>
        </w:rPr>
        <w:t>利害关系的，可以向</w:t>
      </w:r>
      <w:r>
        <w:rPr>
          <w:rFonts w:hint="eastAsia" w:ascii="宋体" w:hAnsi="宋体" w:eastAsia="宋体"/>
          <w:color w:val="000000" w:themeColor="text1"/>
          <w:sz w:val="24"/>
          <w:highlight w:val="none"/>
          <w14:textFill>
            <w14:solidFill>
              <w14:schemeClr w14:val="tx1"/>
            </w14:solidFill>
          </w14:textFill>
        </w:rPr>
        <w:t>采购人或</w:t>
      </w:r>
      <w:r>
        <w:rPr>
          <w:rFonts w:ascii="宋体" w:hAnsi="宋体" w:eastAsia="宋体"/>
          <w:color w:val="000000" w:themeColor="text1"/>
          <w:sz w:val="24"/>
          <w:highlight w:val="none"/>
          <w14:textFill>
            <w14:solidFill>
              <w14:schemeClr w14:val="tx1"/>
            </w14:solidFill>
          </w14:textFill>
        </w:rPr>
        <w:t>采购代理机构书面提出回避申请，并说明理由。</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质疑的提出与接收</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31.1投标人认为招标文件、招标过程和中标结果使自己的权益受到损害的，可以在知道或者应知其权益受到损害之日起七个工作日内，以书面形式向采购人或其委托的采购代理机构提出质疑。</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31.3采购代理机构质疑函接收部门、联系电话和通讯地址，见</w:t>
      </w:r>
      <w:r>
        <w:rPr>
          <w:rFonts w:hint="eastAsia" w:ascii="宋体" w:hAnsi="宋体" w:eastAsia="宋体"/>
          <w:color w:val="000000" w:themeColor="text1"/>
          <w:sz w:val="24"/>
          <w:highlight w:val="none"/>
          <w:u w:val="single"/>
          <w14:textFill>
            <w14:solidFill>
              <w14:schemeClr w14:val="tx1"/>
            </w14:solidFill>
          </w14:textFill>
        </w:rPr>
        <w:t>投标人须知前附表</w:t>
      </w:r>
      <w:r>
        <w:rPr>
          <w:rFonts w:hint="eastAsia" w:ascii="宋体" w:hAnsi="宋体" w:eastAsia="宋体"/>
          <w:color w:val="000000" w:themeColor="text1"/>
          <w:sz w:val="24"/>
          <w:highlight w:val="none"/>
          <w14:textFill>
            <w14:solidFill>
              <w14:schemeClr w14:val="tx1"/>
            </w14:solidFill>
          </w14:textFill>
        </w:rPr>
        <w:t>。</w:t>
      </w:r>
    </w:p>
    <w:p>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需要补充的其他内容</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需要补充的其他内容，见</w:t>
      </w:r>
      <w:r>
        <w:rPr>
          <w:rFonts w:hint="eastAsia" w:asciiTheme="minorEastAsia" w:hAnsiTheme="minorEastAsia" w:eastAsiaTheme="minorEastAsia"/>
          <w:color w:val="000000" w:themeColor="text1"/>
          <w:sz w:val="24"/>
          <w:highlight w:val="none"/>
          <w:u w:val="single"/>
          <w14:textFill>
            <w14:solidFill>
              <w14:schemeClr w14:val="tx1"/>
            </w14:solidFill>
          </w14:textFill>
        </w:rPr>
        <w:t>投标人须知前附表</w:t>
      </w:r>
      <w:r>
        <w:rPr>
          <w:rFonts w:hint="eastAsia" w:asciiTheme="minorEastAsia" w:hAnsiTheme="minorEastAsia" w:eastAsiaTheme="minorEastAsia"/>
          <w:color w:val="000000" w:themeColor="text1"/>
          <w:sz w:val="24"/>
          <w:highlight w:val="none"/>
          <w14:textFill>
            <w14:solidFill>
              <w14:schemeClr w14:val="tx1"/>
            </w14:solidFill>
          </w14:textFill>
        </w:rPr>
        <w:t>。</w:t>
      </w:r>
    </w:p>
    <w:p>
      <w:pPr>
        <w:widowControl/>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bookmarkStart w:id="43" w:name="_Toc10891"/>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43"/>
    </w:p>
    <w:p>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前注：</w:t>
      </w:r>
    </w:p>
    <w:p>
      <w:pPr>
        <w:spacing w:line="360" w:lineRule="auto"/>
        <w:ind w:firstLine="435"/>
        <w:rPr>
          <w:rFonts w:hint="eastAsia"/>
          <w:color w:val="000000" w:themeColor="text1"/>
          <w:highlight w:val="none"/>
          <w14:textFill>
            <w14:solidFill>
              <w14:schemeClr w14:val="tx1"/>
            </w14:solidFill>
          </w14:textFill>
        </w:rPr>
      </w:pPr>
      <w:bookmarkStart w:id="44" w:name="_Toc32151"/>
      <w:bookmarkStart w:id="45" w:name="_Toc2554"/>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olor w:val="000000" w:themeColor="text1"/>
          <w:sz w:val="24"/>
          <w:szCs w:val="18"/>
          <w:highlight w:val="none"/>
          <w14:textFill>
            <w14:solidFill>
              <w14:schemeClr w14:val="tx1"/>
            </w14:solidFill>
          </w14:textFill>
        </w:rPr>
        <w:t>如采购人允许采用分包方式履行合同的，应当明确可以分包履行的相关内容。</w:t>
      </w:r>
    </w:p>
    <w:p>
      <w:pPr>
        <w:spacing w:line="360" w:lineRule="auto"/>
        <w:ind w:firstLine="437"/>
        <w:outlineLvl w:val="1"/>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44"/>
      <w:bookmarkEnd w:id="45"/>
    </w:p>
    <w:tbl>
      <w:tblPr>
        <w:tblStyle w:val="40"/>
        <w:tblW w:w="8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93"/>
        <w:gridCol w:w="5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704" w:type="dxa"/>
            <w:vAlign w:val="center"/>
          </w:tcPr>
          <w:p>
            <w:pPr>
              <w:pStyle w:val="45"/>
              <w:pBdr>
                <w:bottom w:val="none" w:color="auto" w:sz="0" w:space="0"/>
              </w:pBdr>
              <w:tabs>
                <w:tab w:val="clear" w:pos="4153"/>
                <w:tab w:val="clear" w:pos="8306"/>
              </w:tabs>
              <w:adjustRightInd/>
              <w:spacing w:line="240" w:lineRule="auto"/>
              <w:textAlignment w:val="auto"/>
              <w:rPr>
                <w:rFonts w:hint="eastAsia" w:ascii="宋体" w:hAnsi="宋体" w:eastAsia="宋体"/>
                <w:b/>
                <w:color w:val="000000" w:themeColor="text1"/>
                <w:kern w:val="2"/>
                <w:highlight w:val="none"/>
                <w14:textFill>
                  <w14:solidFill>
                    <w14:schemeClr w14:val="tx1"/>
                  </w14:solidFill>
                </w14:textFill>
              </w:rPr>
            </w:pPr>
            <w:r>
              <w:rPr>
                <w:rFonts w:hint="eastAsia" w:ascii="宋体" w:hAnsi="宋体" w:eastAsia="宋体"/>
                <w:b/>
                <w:color w:val="000000" w:themeColor="text1"/>
                <w:kern w:val="2"/>
                <w:highlight w:val="none"/>
                <w14:textFill>
                  <w14:solidFill>
                    <w14:schemeClr w14:val="tx1"/>
                  </w14:solidFill>
                </w14:textFill>
              </w:rPr>
              <w:t>序号</w:t>
            </w:r>
          </w:p>
        </w:tc>
        <w:tc>
          <w:tcPr>
            <w:tcW w:w="1793" w:type="dxa"/>
            <w:vAlign w:val="center"/>
          </w:tcPr>
          <w:p>
            <w:pPr>
              <w:pStyle w:val="44"/>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5802" w:type="dxa"/>
            <w:vAlign w:val="center"/>
          </w:tcPr>
          <w:p>
            <w:pPr>
              <w:pStyle w:val="44"/>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704" w:type="dxa"/>
            <w:vAlign w:val="center"/>
          </w:tcPr>
          <w:p>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1793" w:type="dxa"/>
            <w:vAlign w:val="center"/>
          </w:tcPr>
          <w:p>
            <w:pPr>
              <w:pStyle w:val="44"/>
              <w:widowControl w:val="0"/>
              <w:spacing w:before="0" w:beforeAutospacing="0" w:after="0" w:afterAutospacing="0"/>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5802" w:type="dxa"/>
            <w:vAlign w:val="center"/>
          </w:tcPr>
          <w:p>
            <w:pPr>
              <w:jc w:val="left"/>
              <w:rPr>
                <w:rFonts w:hint="eastAsia" w:ascii="宋体" w:hAnsi="宋体" w:eastAsia="宋体"/>
                <w:bCs/>
                <w:color w:val="000000" w:themeColor="text1"/>
                <w:kern w:val="0"/>
                <w:sz w:val="24"/>
                <w:szCs w:val="28"/>
                <w:highlight w:val="none"/>
                <w:lang w:val="en-US" w:eastAsia="zh-CN"/>
                <w14:textFill>
                  <w14:solidFill>
                    <w14:schemeClr w14:val="tx1"/>
                  </w14:solidFill>
                </w14:textFill>
              </w:rPr>
            </w:pPr>
            <w:r>
              <w:rPr>
                <w:rFonts w:hint="eastAsia" w:ascii="宋体" w:hAnsi="宋体" w:eastAsia="宋体"/>
                <w:bCs/>
                <w:color w:val="000000" w:themeColor="text1"/>
                <w:kern w:val="0"/>
                <w:sz w:val="24"/>
                <w:szCs w:val="28"/>
                <w:highlight w:val="none"/>
                <w:lang w:val="en-US" w:eastAsia="zh-CN"/>
                <w14:textFill>
                  <w14:solidFill>
                    <w14:schemeClr w14:val="tx1"/>
                  </w14:solidFill>
                </w14:textFill>
              </w:rPr>
              <w:t>供货验收并完成出入库手续后按财务流程付款</w:t>
            </w:r>
            <w:r>
              <w:rPr>
                <w:rFonts w:hint="eastAsia" w:ascii="宋体" w:hAnsi="宋体" w:eastAsia="宋体"/>
                <w:bCs/>
                <w:color w:val="000000" w:themeColor="text1"/>
                <w:kern w:val="0"/>
                <w:sz w:val="24"/>
                <w:szCs w:val="28"/>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04" w:type="dxa"/>
            <w:vAlign w:val="center"/>
          </w:tcPr>
          <w:p>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1793" w:type="dxa"/>
            <w:vAlign w:val="center"/>
          </w:tcPr>
          <w:p>
            <w:pPr>
              <w:pStyle w:val="44"/>
              <w:widowControl w:val="0"/>
              <w:spacing w:before="0" w:beforeAutospacing="0" w:after="0" w:afterAutospacing="0"/>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供货及安装地点</w:t>
            </w:r>
          </w:p>
        </w:tc>
        <w:tc>
          <w:tcPr>
            <w:tcW w:w="5802" w:type="dxa"/>
            <w:vAlign w:val="center"/>
          </w:tcPr>
          <w:p>
            <w:pPr>
              <w:jc w:val="left"/>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滁州市第一人民医院（采购人指定地点）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704" w:type="dxa"/>
            <w:vAlign w:val="center"/>
          </w:tcPr>
          <w:p>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1793" w:type="dxa"/>
            <w:vAlign w:val="center"/>
          </w:tcPr>
          <w:p>
            <w:pPr>
              <w:pStyle w:val="44"/>
              <w:widowControl w:val="0"/>
              <w:spacing w:before="0" w:beforeAutospacing="0" w:after="0" w:afterAutospacing="0"/>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供货及安装期限</w:t>
            </w:r>
          </w:p>
        </w:tc>
        <w:tc>
          <w:tcPr>
            <w:tcW w:w="5802" w:type="dxa"/>
            <w:vAlign w:val="center"/>
          </w:tcPr>
          <w:p>
            <w:pPr>
              <w:jc w:val="left"/>
              <w:rPr>
                <w:rFonts w:hint="default" w:ascii="宋体" w:hAnsi="宋体" w:eastAsia="宋体"/>
                <w:bCs/>
                <w:color w:val="000000" w:themeColor="text1"/>
                <w:kern w:val="0"/>
                <w:sz w:val="24"/>
                <w:szCs w:val="28"/>
                <w:highlight w:val="none"/>
                <w:lang w:val="en-US" w:eastAsia="zh-CN"/>
                <w14:textFill>
                  <w14:solidFill>
                    <w14:schemeClr w14:val="tx1"/>
                  </w14:solidFill>
                </w14:textFill>
              </w:rPr>
            </w:pPr>
            <w:r>
              <w:rPr>
                <w:rFonts w:hint="eastAsia" w:ascii="宋体" w:hAnsi="宋体" w:eastAsia="宋体"/>
                <w:bCs/>
                <w:color w:val="000000" w:themeColor="text1"/>
                <w:kern w:val="0"/>
                <w:sz w:val="24"/>
                <w:szCs w:val="28"/>
                <w:highlight w:val="none"/>
                <w:lang w:val="en-US" w:eastAsia="zh-CN"/>
                <w14:textFill>
                  <w14:solidFill>
                    <w14:schemeClr w14:val="tx1"/>
                  </w14:solidFill>
                </w14:textFill>
              </w:rPr>
              <w:t>合同签订之日起7个日历天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704" w:type="dxa"/>
            <w:vAlign w:val="center"/>
          </w:tcPr>
          <w:p>
            <w:pPr>
              <w:pStyle w:val="45"/>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lang w:val="en-US" w:eastAsia="zh-CN"/>
                <w14:textFill>
                  <w14:solidFill>
                    <w14:schemeClr w14:val="tx1"/>
                  </w14:solidFill>
                </w14:textFill>
              </w:rPr>
            </w:pPr>
            <w:bookmarkStart w:id="46" w:name="_Toc4843"/>
            <w:bookmarkStart w:id="47" w:name="_Toc7421"/>
            <w:r>
              <w:rPr>
                <w:rFonts w:hint="eastAsia" w:ascii="宋体" w:hAnsi="宋体" w:eastAsia="宋体"/>
                <w:bCs/>
                <w:color w:val="000000" w:themeColor="text1"/>
                <w:kern w:val="2"/>
                <w:highlight w:val="none"/>
                <w:lang w:val="en-US" w:eastAsia="zh-CN"/>
                <w14:textFill>
                  <w14:solidFill>
                    <w14:schemeClr w14:val="tx1"/>
                  </w14:solidFill>
                </w14:textFill>
              </w:rPr>
              <w:t>4</w:t>
            </w:r>
          </w:p>
        </w:tc>
        <w:tc>
          <w:tcPr>
            <w:tcW w:w="1793" w:type="dxa"/>
            <w:vAlign w:val="center"/>
          </w:tcPr>
          <w:p>
            <w:pPr>
              <w:pStyle w:val="44"/>
              <w:widowControl w:val="0"/>
              <w:spacing w:before="0" w:beforeAutospacing="0" w:after="0" w:afterAutospacing="0"/>
              <w:rPr>
                <w:rFonts w:hint="default" w:ascii="宋体" w:hAnsi="宋体" w:eastAsia="宋体"/>
                <w:b w:val="0"/>
                <w:color w:val="000000" w:themeColor="text1"/>
                <w:sz w:val="24"/>
                <w:highlight w:val="none"/>
                <w:lang w:val="en-US" w:eastAsia="zh-CN"/>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质保期限</w:t>
            </w:r>
          </w:p>
        </w:tc>
        <w:tc>
          <w:tcPr>
            <w:tcW w:w="5802" w:type="dxa"/>
            <w:vAlign w:val="center"/>
          </w:tcPr>
          <w:p>
            <w:pPr>
              <w:jc w:val="left"/>
              <w:rPr>
                <w:rFonts w:hint="default" w:ascii="宋体" w:hAnsi="宋体" w:eastAsia="宋体"/>
                <w:bCs/>
                <w:color w:val="000000" w:themeColor="text1"/>
                <w:kern w:val="0"/>
                <w:sz w:val="24"/>
                <w:szCs w:val="28"/>
                <w:highlight w:val="none"/>
                <w:lang w:val="en-US" w:eastAsia="zh-CN"/>
                <w14:textFill>
                  <w14:solidFill>
                    <w14:schemeClr w14:val="tx1"/>
                  </w14:solidFill>
                </w14:textFill>
              </w:rPr>
            </w:pPr>
            <w:r>
              <w:rPr>
                <w:rFonts w:hint="eastAsia" w:ascii="宋体" w:hAnsi="宋体" w:eastAsia="宋体"/>
                <w:bCs/>
                <w:color w:val="000000" w:themeColor="text1"/>
                <w:kern w:val="0"/>
                <w:sz w:val="24"/>
                <w:szCs w:val="28"/>
                <w:highlight w:val="none"/>
                <w:lang w:val="en-US" w:eastAsia="zh-CN"/>
                <w14:textFill>
                  <w14:solidFill>
                    <w14:schemeClr w14:val="tx1"/>
                  </w14:solidFill>
                </w14:textFill>
              </w:rPr>
              <w:t>壹年</w:t>
            </w:r>
          </w:p>
        </w:tc>
      </w:tr>
    </w:tbl>
    <w:p>
      <w:pPr>
        <w:numPr>
          <w:ilvl w:val="0"/>
          <w:numId w:val="1"/>
        </w:numPr>
        <w:spacing w:line="360" w:lineRule="auto"/>
        <w:ind w:firstLine="482" w:firstLineChars="200"/>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货物需求</w:t>
      </w:r>
    </w:p>
    <w:p>
      <w:pPr>
        <w:spacing w:line="360" w:lineRule="auto"/>
        <w:ind w:firstLine="482" w:firstLineChars="200"/>
        <w:rPr>
          <w:rFonts w:hint="default" w:ascii="宋体" w:hAnsi="宋体" w:eastAsia="宋体"/>
          <w:b/>
          <w:color w:val="000000" w:themeColor="text1"/>
          <w:sz w:val="24"/>
          <w:szCs w:val="18"/>
          <w:highlight w:val="none"/>
          <w:lang w:val="en-US" w:eastAsia="zh-CN"/>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货物所属行业：</w:t>
      </w:r>
      <w:r>
        <w:rPr>
          <w:rFonts w:hint="eastAsia" w:ascii="宋体" w:hAnsi="宋体" w:eastAsia="宋体"/>
          <w:b/>
          <w:color w:val="000000" w:themeColor="text1"/>
          <w:sz w:val="24"/>
          <w:szCs w:val="18"/>
          <w:highlight w:val="none"/>
          <w:lang w:val="en-US" w:eastAsia="zh-CN"/>
          <w14:textFill>
            <w14:solidFill>
              <w14:schemeClr w14:val="tx1"/>
            </w14:solidFill>
          </w14:textFill>
        </w:rPr>
        <w:t>工业</w:t>
      </w:r>
    </w:p>
    <w:bookmarkEnd w:id="46"/>
    <w:bookmarkEnd w:id="47"/>
    <w:p>
      <w:pPr>
        <w:spacing w:line="360" w:lineRule="auto"/>
        <w:ind w:firstLine="482" w:firstLineChars="200"/>
        <w:rPr>
          <w:rFonts w:hint="eastAsia" w:ascii="宋体" w:hAnsi="宋体" w:eastAsia="宋体"/>
          <w:b/>
          <w:sz w:val="24"/>
          <w:szCs w:val="18"/>
        </w:rPr>
      </w:pPr>
      <w:bookmarkStart w:id="48" w:name="_Toc4328"/>
      <w:r>
        <w:rPr>
          <w:rFonts w:hint="eastAsia" w:ascii="宋体" w:hAnsi="宋体" w:eastAsia="宋体"/>
          <w:b/>
          <w:sz w:val="24"/>
          <w:szCs w:val="18"/>
        </w:rPr>
        <w:t>（一）采购需求清单</w:t>
      </w:r>
    </w:p>
    <w:tbl>
      <w:tblPr>
        <w:tblStyle w:val="40"/>
        <w:tblW w:w="8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24"/>
        <w:gridCol w:w="3340"/>
        <w:gridCol w:w="1423"/>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778" w:type="dxa"/>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24"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3340" w:type="dxa"/>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技术参数及要求</w:t>
            </w:r>
          </w:p>
        </w:tc>
        <w:tc>
          <w:tcPr>
            <w:tcW w:w="1423"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695" w:type="dxa"/>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778" w:type="dxa"/>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1424" w:type="dxa"/>
            <w:vAlign w:val="center"/>
          </w:tcPr>
          <w:p>
            <w:pPr>
              <w:widowControl/>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胸腔镜手术器械</w:t>
            </w:r>
          </w:p>
        </w:tc>
        <w:tc>
          <w:tcPr>
            <w:tcW w:w="3340" w:type="dxa"/>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详见“（二）、技术参数要求”</w:t>
            </w:r>
          </w:p>
        </w:tc>
        <w:tc>
          <w:tcPr>
            <w:tcW w:w="1423" w:type="dxa"/>
            <w:vAlign w:val="center"/>
          </w:tcPr>
          <w:p>
            <w:pPr>
              <w:widowControl/>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1套</w:t>
            </w:r>
          </w:p>
        </w:tc>
        <w:tc>
          <w:tcPr>
            <w:tcW w:w="1695" w:type="dxa"/>
            <w:vAlign w:val="center"/>
          </w:tcPr>
          <w:p>
            <w:pPr>
              <w:widowControl/>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160000.00</w:t>
            </w:r>
          </w:p>
        </w:tc>
      </w:tr>
    </w:tbl>
    <w:p>
      <w:pPr>
        <w:numPr>
          <w:ilvl w:val="0"/>
          <w:numId w:val="2"/>
        </w:numPr>
        <w:spacing w:line="540" w:lineRule="exact"/>
        <w:ind w:left="-17" w:leftChars="0" w:firstLine="437" w:firstLineChars="0"/>
        <w:rPr>
          <w:rFonts w:hint="eastAsia" w:ascii="宋体" w:hAnsi="宋体" w:eastAsia="宋体"/>
          <w:b/>
          <w:bCs/>
          <w:sz w:val="24"/>
          <w:szCs w:val="18"/>
        </w:rPr>
      </w:pPr>
      <w:r>
        <w:rPr>
          <w:rFonts w:hint="eastAsia" w:ascii="宋体" w:hAnsi="宋体" w:eastAsia="宋体"/>
          <w:b/>
          <w:bCs/>
          <w:sz w:val="24"/>
          <w:szCs w:val="18"/>
        </w:rPr>
        <w:t>技术参数要求</w:t>
      </w:r>
    </w:p>
    <w:tbl>
      <w:tblPr>
        <w:tblStyle w:val="40"/>
        <w:tblW w:w="9002" w:type="dxa"/>
        <w:tblInd w:w="-144" w:type="dxa"/>
        <w:shd w:val="clear" w:color="auto" w:fill="auto"/>
        <w:tblLayout w:type="fixed"/>
        <w:tblCellMar>
          <w:top w:w="0" w:type="dxa"/>
          <w:left w:w="0" w:type="dxa"/>
          <w:bottom w:w="0" w:type="dxa"/>
          <w:right w:w="0" w:type="dxa"/>
        </w:tblCellMar>
      </w:tblPr>
      <w:tblGrid>
        <w:gridCol w:w="767"/>
        <w:gridCol w:w="828"/>
        <w:gridCol w:w="6653"/>
        <w:gridCol w:w="754"/>
      </w:tblGrid>
      <w:tr>
        <w:tblPrEx>
          <w:shd w:val="clear" w:color="auto" w:fill="auto"/>
          <w:tblLayout w:type="fixed"/>
          <w:tblCellMar>
            <w:top w:w="0" w:type="dxa"/>
            <w:left w:w="0" w:type="dxa"/>
            <w:bottom w:w="0" w:type="dxa"/>
            <w:right w:w="0" w:type="dxa"/>
          </w:tblCellMar>
        </w:tblPrEx>
        <w:trPr>
          <w:trHeight w:val="58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品目号</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品名</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规格要求</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数量</w:t>
            </w:r>
          </w:p>
        </w:tc>
      </w:tr>
      <w:tr>
        <w:tblPrEx>
          <w:tblLayout w:type="fixed"/>
          <w:tblCellMar>
            <w:top w:w="0" w:type="dxa"/>
            <w:left w:w="0" w:type="dxa"/>
            <w:bottom w:w="0" w:type="dxa"/>
            <w:right w:w="0" w:type="dxa"/>
          </w:tblCellMar>
        </w:tblPrEx>
        <w:trPr>
          <w:trHeight w:val="117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止血钳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1：双关节手术器械 </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DeBakey齿 弧弯高10mm 有锁扣 常规头（头部直径&gt;2.2mm）</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r>
      <w:tr>
        <w:tblPrEx>
          <w:tblLayout w:type="fixed"/>
          <w:tblCellMar>
            <w:top w:w="0" w:type="dxa"/>
            <w:left w:w="0" w:type="dxa"/>
            <w:bottom w:w="0" w:type="dxa"/>
            <w:right w:w="0" w:type="dxa"/>
          </w:tblCellMar>
        </w:tblPrEx>
        <w:trPr>
          <w:trHeight w:val="117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止血钳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1：双关节手术器械</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DeBakey齿 弧弯高10mm 有锁扣 精细头（头部直径≤2.2mm）</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r>
      <w:tr>
        <w:tblPrEx>
          <w:shd w:val="clear" w:color="auto" w:fill="auto"/>
          <w:tblLayout w:type="fixed"/>
          <w:tblCellMar>
            <w:top w:w="0" w:type="dxa"/>
            <w:left w:w="0" w:type="dxa"/>
            <w:bottom w:w="0" w:type="dxa"/>
            <w:right w:w="0" w:type="dxa"/>
          </w:tblCellMar>
        </w:tblPrEx>
        <w:trPr>
          <w:trHeight w:val="117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止血钳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1：双关节手术器械 </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DeBakey齿 角弯高15mm 有锁扣 常规头（头部直径&gt;2.2mm）</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r>
      <w:tr>
        <w:tblPrEx>
          <w:shd w:val="clear" w:color="auto" w:fill="auto"/>
          <w:tblLayout w:type="fixed"/>
          <w:tblCellMar>
            <w:top w:w="0" w:type="dxa"/>
            <w:left w:w="0" w:type="dxa"/>
            <w:bottom w:w="0" w:type="dxa"/>
            <w:right w:w="0" w:type="dxa"/>
          </w:tblCellMar>
        </w:tblPrEx>
        <w:trPr>
          <w:trHeight w:val="117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止血钳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1：双关节手术器械 </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DeBakey齿 角弯高15mm 有锁扣 精细头（头部直径≤2.2mm）</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r>
      <w:tr>
        <w:tblPrEx>
          <w:shd w:val="clear" w:color="auto" w:fill="auto"/>
          <w:tblLayout w:type="fixed"/>
          <w:tblCellMar>
            <w:top w:w="0" w:type="dxa"/>
            <w:left w:w="0" w:type="dxa"/>
            <w:bottom w:w="0" w:type="dxa"/>
            <w:right w:w="0" w:type="dxa"/>
          </w:tblCellMar>
        </w:tblPrEx>
        <w:trPr>
          <w:trHeight w:val="117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海绵钳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1：双关节手术器械</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DeBakey齿 卵圆头 弯有齿 头宽8mm 有锁扣</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r>
      <w:tr>
        <w:tblPrEx>
          <w:tblLayout w:type="fixed"/>
          <w:tblCellMar>
            <w:top w:w="0" w:type="dxa"/>
            <w:left w:w="0" w:type="dxa"/>
            <w:bottom w:w="0" w:type="dxa"/>
            <w:right w:w="0" w:type="dxa"/>
          </w:tblCellMar>
        </w:tblPrEx>
        <w:trPr>
          <w:trHeight w:val="89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海绵钳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1：双关节手术器械</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2：整体长度420mm±20mm DeBakey齿 卵圆头 弯有齿 头宽8mm 有锁扣</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r>
      <w:tr>
        <w:tblPrEx>
          <w:tblLayout w:type="fixed"/>
          <w:tblCellMar>
            <w:top w:w="0" w:type="dxa"/>
            <w:left w:w="0" w:type="dxa"/>
            <w:bottom w:w="0" w:type="dxa"/>
            <w:right w:w="0" w:type="dxa"/>
          </w:tblCellMar>
        </w:tblPrEx>
        <w:trPr>
          <w:trHeight w:val="117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海绵钳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1：双关节手术器械 </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DeBakey齿 蛇形头 弯有齿 头宽10mm 有锁扣</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w:t>
            </w:r>
          </w:p>
        </w:tc>
      </w:tr>
      <w:tr>
        <w:tblPrEx>
          <w:tblLayout w:type="fixed"/>
          <w:tblCellMar>
            <w:top w:w="0" w:type="dxa"/>
            <w:left w:w="0" w:type="dxa"/>
            <w:bottom w:w="0" w:type="dxa"/>
            <w:right w:w="0" w:type="dxa"/>
          </w:tblCellMar>
        </w:tblPrEx>
        <w:trPr>
          <w:trHeight w:val="1177"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海绵钳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1：双关节手术器械 </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DeBakey齿  蛇形头 弯有齿 头宽8mm 有锁扣</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i w:val="0"/>
                <w:iCs w:val="0"/>
                <w:sz w:val="24"/>
                <w:szCs w:val="24"/>
                <w:lang w:val="en-US" w:eastAsia="zh-CN"/>
              </w:rPr>
              <w:t>1</w:t>
            </w:r>
          </w:p>
        </w:tc>
      </w:tr>
      <w:tr>
        <w:tblPrEx>
          <w:tblLayout w:type="fixed"/>
          <w:tblCellMar>
            <w:top w:w="0" w:type="dxa"/>
            <w:left w:w="0" w:type="dxa"/>
            <w:bottom w:w="0" w:type="dxa"/>
            <w:right w:w="0" w:type="dxa"/>
          </w:tblCellMar>
        </w:tblPrEx>
        <w:trPr>
          <w:trHeight w:val="89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淋巴结钳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1：双关节手术器械</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2：整体长度350mm±20mm 弯 头径8mm 有锁扣</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w:t>
            </w:r>
          </w:p>
        </w:tc>
      </w:tr>
      <w:tr>
        <w:tblPrEx>
          <w:tblLayout w:type="fixed"/>
          <w:tblCellMar>
            <w:top w:w="0" w:type="dxa"/>
            <w:left w:w="0" w:type="dxa"/>
            <w:bottom w:w="0" w:type="dxa"/>
            <w:right w:w="0" w:type="dxa"/>
          </w:tblCellMar>
        </w:tblPrEx>
        <w:trPr>
          <w:trHeight w:val="89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持针钳</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1：双关节手术器械</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2：整体长度330mm±20mm 左弯 有锁扣</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3：指圈式手柄</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w:t>
            </w:r>
          </w:p>
        </w:tc>
      </w:tr>
      <w:tr>
        <w:tblPrEx>
          <w:tblLayout w:type="fixed"/>
          <w:tblCellMar>
            <w:top w:w="0" w:type="dxa"/>
            <w:left w:w="0" w:type="dxa"/>
            <w:bottom w:w="0" w:type="dxa"/>
            <w:right w:w="0" w:type="dxa"/>
          </w:tblCellMar>
        </w:tblPrEx>
        <w:trPr>
          <w:trHeight w:val="61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腹部推结器</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整体长度330mm±20mm Y型头 有锁扣</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w:t>
            </w:r>
          </w:p>
        </w:tc>
      </w:tr>
      <w:tr>
        <w:tblPrEx>
          <w:shd w:val="clear" w:color="auto" w:fill="auto"/>
          <w:tblLayout w:type="fixed"/>
          <w:tblCellMar>
            <w:top w:w="0" w:type="dxa"/>
            <w:left w:w="0" w:type="dxa"/>
            <w:bottom w:w="0" w:type="dxa"/>
            <w:right w:w="0" w:type="dxa"/>
          </w:tblCellMar>
        </w:tblPrEx>
        <w:trPr>
          <w:trHeight w:val="91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胸腹吸引管</w:t>
            </w:r>
          </w:p>
        </w:tc>
        <w:tc>
          <w:tcPr>
            <w:tcW w:w="6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1：整体长度300mm±20mm 手柄式 单弯 有锁扣</w:t>
            </w:r>
            <w:r>
              <w:rPr>
                <w:rFonts w:hint="eastAsia" w:ascii="宋体" w:hAnsi="宋体" w:eastAsia="宋体" w:cs="宋体"/>
                <w:i w:val="0"/>
                <w:iCs w:val="0"/>
                <w:sz w:val="24"/>
                <w:szCs w:val="24"/>
                <w:lang w:val="en-US" w:eastAsia="zh-CN"/>
              </w:rPr>
              <w:br w:type="textWrapping"/>
            </w:r>
            <w:r>
              <w:rPr>
                <w:rFonts w:hint="eastAsia" w:ascii="宋体" w:hAnsi="宋体" w:eastAsia="宋体" w:cs="宋体"/>
                <w:i w:val="0"/>
                <w:iCs w:val="0"/>
                <w:sz w:val="24"/>
                <w:szCs w:val="24"/>
                <w:lang w:val="en-US" w:eastAsia="zh-CN"/>
              </w:rPr>
              <w:t>2：每把配套1个磨砂吸引头和1个菱形吸引头（或称滚花头等表面有菱形花纹的柱状吸引头）</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w:t>
            </w:r>
          </w:p>
        </w:tc>
      </w:tr>
      <w:tr>
        <w:tblPrEx>
          <w:tblLayout w:type="fixed"/>
          <w:tblCellMar>
            <w:top w:w="0" w:type="dxa"/>
            <w:left w:w="0" w:type="dxa"/>
            <w:bottom w:w="0" w:type="dxa"/>
            <w:right w:w="0" w:type="dxa"/>
          </w:tblCellMar>
        </w:tblPrEx>
        <w:trPr>
          <w:trHeight w:val="367" w:hRule="atLeast"/>
        </w:trPr>
        <w:tc>
          <w:tcPr>
            <w:tcW w:w="900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b/>
                <w:bCs/>
                <w:i w:val="0"/>
                <w:iCs w:val="0"/>
                <w:sz w:val="24"/>
                <w:szCs w:val="24"/>
                <w:lang w:val="en-US" w:eastAsia="zh-CN"/>
              </w:rPr>
              <w:t>注：所投全部产品要求为同一品牌。</w:t>
            </w:r>
          </w:p>
        </w:tc>
      </w:tr>
    </w:tbl>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17" w:leftChars="0" w:firstLine="437" w:firstLineChars="0"/>
        <w:textAlignment w:val="auto"/>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i w:val="0"/>
          <w:iCs w:val="0"/>
          <w:color w:val="auto"/>
          <w:sz w:val="24"/>
          <w:szCs w:val="24"/>
          <w:lang w:val="en-US" w:eastAsia="zh-CN"/>
        </w:rPr>
      </w:pPr>
      <w:r>
        <w:rPr>
          <w:rFonts w:hint="eastAsia" w:ascii="宋体" w:hAnsi="宋体" w:eastAsia="宋体" w:cs="宋体"/>
          <w:b/>
          <w:bCs/>
          <w:i w:val="0"/>
          <w:iCs w:val="0"/>
          <w:sz w:val="24"/>
          <w:szCs w:val="24"/>
          <w:lang w:val="en-US" w:eastAsia="zh-CN"/>
        </w:rPr>
        <w:t>1.</w:t>
      </w:r>
      <w:r>
        <w:rPr>
          <w:rFonts w:hint="eastAsia" w:ascii="宋体" w:hAnsi="宋体" w:eastAsia="宋体" w:cs="宋体"/>
          <w:b/>
          <w:bCs/>
          <w:i w:val="0"/>
          <w:iCs w:val="0"/>
          <w:color w:val="auto"/>
          <w:sz w:val="24"/>
          <w:szCs w:val="24"/>
          <w:lang w:val="en-US" w:eastAsia="zh-CN"/>
        </w:rPr>
        <w:t>投标人需按照技术参数的品目号等信息制定投标响应表，并标注相应的佐证材料所在页数。</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bCs/>
          <w:i w:val="0"/>
          <w:iCs w:val="0"/>
          <w:color w:val="auto"/>
          <w:lang w:val="en-US" w:eastAsia="zh-CN"/>
        </w:rPr>
      </w:pPr>
      <w:r>
        <w:rPr>
          <w:rFonts w:hint="eastAsia" w:ascii="宋体" w:hAnsi="宋体" w:eastAsia="宋体" w:cs="宋体"/>
          <w:b/>
          <w:bCs/>
          <w:i w:val="0"/>
          <w:iCs w:val="0"/>
          <w:color w:val="auto"/>
          <w:sz w:val="24"/>
          <w:szCs w:val="24"/>
          <w:lang w:val="en-US" w:eastAsia="zh-CN"/>
        </w:rPr>
        <w:t>2.投标人需提供各个品目产品对应规格参数的相应佐证材料，包括但不限于说明书、检验报告等，并按照产品参数按序装订，未提供视为不响应。</w:t>
      </w:r>
    </w:p>
    <w:p>
      <w:pPr>
        <w:keepNext w:val="0"/>
        <w:keepLines w:val="0"/>
        <w:pageBreakBefore w:val="0"/>
        <w:widowControl w:val="0"/>
        <w:kinsoku/>
        <w:wordWrap/>
        <w:overflowPunct/>
        <w:topLinePunct w:val="0"/>
        <w:autoSpaceDE/>
        <w:autoSpaceDN/>
        <w:bidi w:val="0"/>
        <w:adjustRightInd/>
        <w:snapToGrid/>
        <w:spacing w:line="440" w:lineRule="exact"/>
        <w:ind w:firstLine="437"/>
        <w:textAlignment w:val="auto"/>
        <w:outlineLvl w:val="1"/>
        <w:rPr>
          <w:rFonts w:hint="eastAsia" w:ascii="宋体" w:hAnsi="宋体" w:eastAsia="宋体"/>
          <w:b/>
          <w:sz w:val="24"/>
          <w:szCs w:val="18"/>
        </w:rPr>
      </w:pPr>
      <w:r>
        <w:rPr>
          <w:rFonts w:hint="eastAsia" w:ascii="宋体" w:hAnsi="宋体" w:eastAsia="宋体"/>
          <w:b/>
          <w:sz w:val="24"/>
          <w:szCs w:val="18"/>
        </w:rPr>
        <w:t>三、报价要求</w:t>
      </w:r>
    </w:p>
    <w:p>
      <w:pPr>
        <w:keepNext w:val="0"/>
        <w:keepLines w:val="0"/>
        <w:pageBreakBefore w:val="0"/>
        <w:widowControl w:val="0"/>
        <w:kinsoku/>
        <w:wordWrap/>
        <w:overflowPunct/>
        <w:topLinePunct w:val="0"/>
        <w:autoSpaceDE/>
        <w:autoSpaceDN/>
        <w:bidi w:val="0"/>
        <w:adjustRightInd/>
        <w:snapToGrid/>
        <w:spacing w:line="440" w:lineRule="exact"/>
        <w:ind w:right="-92" w:rightChars="-44" w:firstLine="460" w:firstLineChars="192"/>
        <w:textAlignment w:val="auto"/>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1.供应商报价文件中的单价和总价全部采用人民币表示。供应商的报价应含有</w:t>
      </w:r>
      <w:r>
        <w:rPr>
          <w:rFonts w:hint="eastAsia" w:ascii="宋体" w:hAnsi="宋体" w:eastAsia="宋体" w:cs="宋体"/>
          <w:sz w:val="24"/>
          <w:szCs w:val="24"/>
          <w:lang w:val="en-US" w:eastAsia="zh-CN"/>
        </w:rPr>
        <w:t>货物（</w:t>
      </w: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rPr>
        <w:t>、利润、税金、政策性文件规定及合同包含的所有风险、责任、义务等，即为完成采购文件要求的服务内容所包含的一切应有费用，成交价格今后将不作任何调整，采购人后期不再追加费用，供应商自行考虑报价风险。</w:t>
      </w:r>
    </w:p>
    <w:p>
      <w:pPr>
        <w:keepNext w:val="0"/>
        <w:keepLines w:val="0"/>
        <w:pageBreakBefore w:val="0"/>
        <w:widowControl w:val="0"/>
        <w:kinsoku/>
        <w:wordWrap/>
        <w:overflowPunct/>
        <w:topLinePunct w:val="0"/>
        <w:autoSpaceDE/>
        <w:autoSpaceDN/>
        <w:bidi w:val="0"/>
        <w:adjustRightInd/>
        <w:snapToGrid/>
        <w:spacing w:line="440" w:lineRule="exact"/>
        <w:ind w:right="-92" w:rightChars="-4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pPr>
        <w:keepNext w:val="0"/>
        <w:keepLines w:val="0"/>
        <w:pageBreakBefore w:val="0"/>
        <w:widowControl w:val="0"/>
        <w:kinsoku/>
        <w:wordWrap/>
        <w:overflowPunct/>
        <w:topLinePunct w:val="0"/>
        <w:autoSpaceDE/>
        <w:autoSpaceDN/>
        <w:bidi w:val="0"/>
        <w:adjustRightInd/>
        <w:snapToGrid/>
        <w:spacing w:line="440" w:lineRule="exact"/>
        <w:ind w:right="-92" w:rightChars="-4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w:t>
      </w:r>
      <w:r>
        <w:rPr>
          <w:rFonts w:hint="eastAsia" w:ascii="宋体" w:hAnsi="宋体" w:eastAsia="宋体" w:cs="宋体"/>
          <w:sz w:val="24"/>
          <w:szCs w:val="24"/>
          <w:lang w:val="zh-CN"/>
        </w:rPr>
        <w:t>报价为完成本次</w:t>
      </w:r>
      <w:r>
        <w:rPr>
          <w:rFonts w:hint="eastAsia" w:ascii="宋体" w:hAnsi="宋体" w:eastAsia="宋体" w:cs="宋体"/>
          <w:sz w:val="24"/>
          <w:szCs w:val="24"/>
        </w:rPr>
        <w:t>采购</w:t>
      </w:r>
      <w:r>
        <w:rPr>
          <w:rFonts w:hint="eastAsia" w:ascii="宋体" w:hAnsi="宋体" w:eastAsia="宋体" w:cs="宋体"/>
          <w:sz w:val="24"/>
          <w:szCs w:val="24"/>
          <w:lang w:val="zh-CN"/>
        </w:rPr>
        <w:t>项目的全费用价格，其组成包括</w:t>
      </w:r>
      <w:r>
        <w:rPr>
          <w:rFonts w:hint="eastAsia" w:ascii="宋体" w:hAnsi="宋体" w:eastAsia="宋体" w:cs="宋体"/>
          <w:sz w:val="24"/>
          <w:szCs w:val="24"/>
        </w:rPr>
        <w:t>国家对中标单位征收的各种税费等所有一切费用，综合单价今后将不作任何调整。</w:t>
      </w:r>
    </w:p>
    <w:p>
      <w:pPr>
        <w:keepNext w:val="0"/>
        <w:keepLines w:val="0"/>
        <w:pageBreakBefore w:val="0"/>
        <w:widowControl w:val="0"/>
        <w:kinsoku/>
        <w:wordWrap/>
        <w:overflowPunct/>
        <w:topLinePunct w:val="0"/>
        <w:autoSpaceDE/>
        <w:autoSpaceDN/>
        <w:bidi w:val="0"/>
        <w:adjustRightInd/>
        <w:snapToGrid/>
        <w:spacing w:line="440" w:lineRule="exact"/>
        <w:ind w:right="-92" w:rightChars="-4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4.供应商报价的价格是完成项目全部内容（包括后期的相关服务）交付的价格，其总价即为履行合同的价</w:t>
      </w:r>
      <w:r>
        <w:rPr>
          <w:rFonts w:hint="eastAsia" w:ascii="宋体" w:hAnsi="宋体" w:eastAsia="宋体" w:cs="宋体"/>
          <w:sz w:val="24"/>
          <w:szCs w:val="24"/>
          <w:lang w:val="en-US" w:eastAsia="zh-CN"/>
        </w:rPr>
        <w:t>格</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8.如响应文件中未列明全面实现投标服务功能而必须配置的配套或辅助设施及相应技术措施的费用，这些费用将被视为已包含在总报价中。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bookmarkEnd w:id="49"/>
      <w:bookmarkEnd w:id="50"/>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第四章  评标方法和标准（最低评标价法）</w:t>
      </w:r>
      <w:bookmarkEnd w:id="48"/>
    </w:p>
    <w:p>
      <w:pPr>
        <w:spacing w:line="360" w:lineRule="auto"/>
        <w:ind w:firstLine="437"/>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1" w:name="_Toc22115"/>
      <w:bookmarkStart w:id="52" w:name="_Toc6560"/>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51"/>
      <w:bookmarkEnd w:id="52"/>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本项目将按照招标文件第二章投标人须知的相关要求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及本章的规定评标。</w:t>
      </w:r>
    </w:p>
    <w:p>
      <w:pPr>
        <w:spacing w:line="360" w:lineRule="auto"/>
        <w:ind w:firstLine="437"/>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3" w:name="_Toc27343"/>
      <w:bookmarkStart w:id="54" w:name="_Toc28533"/>
      <w:r>
        <w:rPr>
          <w:rFonts w:hint="eastAsia" w:asciiTheme="minorEastAsia" w:hAnsiTheme="minorEastAsia" w:eastAsiaTheme="minorEastAsia"/>
          <w:b/>
          <w:color w:val="000000" w:themeColor="text1"/>
          <w:sz w:val="24"/>
          <w:highlight w:val="none"/>
          <w14:textFill>
            <w14:solidFill>
              <w14:schemeClr w14:val="tx1"/>
            </w14:solidFill>
          </w14:textFill>
        </w:rPr>
        <w:t>二、评标方法</w:t>
      </w:r>
      <w:bookmarkEnd w:id="53"/>
      <w:bookmarkEnd w:id="54"/>
    </w:p>
    <w:p>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2.1资格审查</w:t>
      </w:r>
    </w:p>
    <w:tbl>
      <w:tblPr>
        <w:tblStyle w:val="40"/>
        <w:tblW w:w="8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632"/>
        <w:gridCol w:w="451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679" w:type="dxa"/>
            <w:gridSpan w:val="4"/>
            <w:tcBorders>
              <w:bottom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
                <w:color w:val="000000" w:themeColor="text1"/>
                <w:sz w:val="24"/>
                <w:szCs w:val="22"/>
                <w:highlight w:val="none"/>
                <w14:textFill>
                  <w14:solidFill>
                    <w14:schemeClr w14:val="tx1"/>
                  </w14:solidFill>
                </w14:textFill>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jc w:val="center"/>
        </w:trPr>
        <w:tc>
          <w:tcPr>
            <w:tcW w:w="643"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1632" w:type="dxa"/>
            <w:tcBorders>
              <w:bottom w:val="single" w:color="auto" w:sz="4" w:space="0"/>
            </w:tcBorders>
            <w:vAlign w:val="center"/>
          </w:tcPr>
          <w:p>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color w:val="000000" w:themeColor="text1"/>
                <w:kern w:val="2"/>
                <w:szCs w:val="24"/>
                <w:highlight w:val="none"/>
                <w14:textFill>
                  <w14:solidFill>
                    <w14:schemeClr w14:val="tx1"/>
                  </w14:solidFill>
                </w14:textFill>
              </w:rPr>
            </w:pPr>
            <w:r>
              <w:rPr>
                <w:rFonts w:hint="eastAsia" w:ascii="宋体" w:hAnsi="宋体" w:eastAsia="宋体"/>
                <w:color w:val="000000" w:themeColor="text1"/>
                <w:kern w:val="2"/>
                <w:szCs w:val="24"/>
                <w:highlight w:val="none"/>
                <w14:textFill>
                  <w14:solidFill>
                    <w14:schemeClr w14:val="tx1"/>
                  </w14:solidFill>
                </w14:textFill>
              </w:rPr>
              <w:t>审查指标</w:t>
            </w:r>
          </w:p>
        </w:tc>
        <w:tc>
          <w:tcPr>
            <w:tcW w:w="4510"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1894"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5" w:hRule="atLeast"/>
          <w:jc w:val="center"/>
        </w:trPr>
        <w:tc>
          <w:tcPr>
            <w:tcW w:w="643"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w:t>
            </w:r>
          </w:p>
        </w:tc>
        <w:tc>
          <w:tcPr>
            <w:tcW w:w="1632" w:type="dxa"/>
            <w:tcBorders>
              <w:bottom w:val="single" w:color="auto" w:sz="4" w:space="0"/>
            </w:tcBorders>
            <w:vAlign w:val="center"/>
          </w:tcPr>
          <w:p>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olor w:val="000000" w:themeColor="text1"/>
                <w:sz w:val="24"/>
                <w:szCs w:val="28"/>
                <w:highlight w:val="none"/>
                <w14:textFill>
                  <w14:solidFill>
                    <w14:schemeClr w14:val="tx1"/>
                  </w14:solidFill>
                </w14:textFill>
              </w:rPr>
            </w:pPr>
            <w:r>
              <w:rPr>
                <w:rFonts w:ascii="宋体" w:hAnsi="宋体" w:eastAsia="宋体" w:cs="宋体"/>
                <w:color w:val="000000" w:themeColor="text1"/>
                <w:spacing w:val="9"/>
                <w:sz w:val="24"/>
                <w:szCs w:val="24"/>
                <w:highlight w:val="none"/>
                <w14:textFill>
                  <w14:solidFill>
                    <w14:schemeClr w14:val="tx1"/>
                  </w14:solidFill>
                </w14:textFill>
              </w:rPr>
              <w:t>营业执照等证明</w:t>
            </w:r>
            <w:r>
              <w:rPr>
                <w:rFonts w:ascii="宋体" w:hAnsi="宋体" w:eastAsia="宋体" w:cs="宋体"/>
                <w:color w:val="000000" w:themeColor="text1"/>
                <w:spacing w:val="-3"/>
                <w:sz w:val="24"/>
                <w:szCs w:val="24"/>
                <w:highlight w:val="none"/>
                <w14:textFill>
                  <w14:solidFill>
                    <w14:schemeClr w14:val="tx1"/>
                  </w14:solidFill>
                </w14:textFill>
              </w:rPr>
              <w:t>文件</w:t>
            </w:r>
          </w:p>
        </w:tc>
        <w:tc>
          <w:tcPr>
            <w:tcW w:w="4510" w:type="dxa"/>
            <w:tcBorders>
              <w:bottom w:val="single" w:color="auto" w:sz="4" w:space="0"/>
            </w:tcBorders>
            <w:vAlign w:val="center"/>
          </w:tcPr>
          <w:p>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投标人为企业（包括合伙企业）的，应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供有效的营业执照；</w:t>
            </w:r>
          </w:p>
          <w:p>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投标人为事业单位的，应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供有效的事业单位法人证书；</w:t>
            </w:r>
          </w:p>
          <w:p>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投标人是非企业机构的，应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供有效的执业许可证</w:t>
            </w:r>
            <w:r>
              <w:rPr>
                <w:rFonts w:hint="eastAsia" w:ascii="宋体" w:hAnsi="宋体" w:eastAsia="宋体" w:cs="宋体"/>
                <w:color w:val="000000" w:themeColor="text1"/>
                <w:sz w:val="24"/>
                <w:szCs w:val="24"/>
                <w:highlight w:val="none"/>
                <w14:textFill>
                  <w14:solidFill>
                    <w14:schemeClr w14:val="tx1"/>
                  </w14:solidFill>
                </w14:textFill>
              </w:rPr>
              <w:t>或</w:t>
            </w:r>
            <w:r>
              <w:rPr>
                <w:rFonts w:ascii="宋体" w:hAnsi="宋体" w:eastAsia="宋体" w:cs="宋体"/>
                <w:color w:val="000000" w:themeColor="text1"/>
                <w:sz w:val="24"/>
                <w:szCs w:val="24"/>
                <w:highlight w:val="none"/>
                <w14:textFill>
                  <w14:solidFill>
                    <w14:schemeClr w14:val="tx1"/>
                  </w14:solidFill>
                </w14:textFill>
              </w:rPr>
              <w:t>登记证书等证明文件；</w:t>
            </w:r>
          </w:p>
          <w:p>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投标人是个体工商户的，应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供有效的个体工商户营业执照；</w:t>
            </w:r>
          </w:p>
          <w:p>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ascii="宋体" w:hAnsi="宋体" w:eastAsia="宋体" w:cs="宋体"/>
                <w:color w:val="000000" w:themeColor="text1"/>
                <w:sz w:val="24"/>
                <w:szCs w:val="24"/>
                <w:highlight w:val="none"/>
                <w14:textFill>
                  <w14:solidFill>
                    <w14:schemeClr w14:val="tx1"/>
                  </w14:solidFill>
                </w14:textFill>
              </w:rPr>
              <w:t>投标人是自然人的，应</w:t>
            </w: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供有效的自然人身份证明</w:t>
            </w:r>
            <w:r>
              <w:rPr>
                <w:rFonts w:hint="eastAsia" w:ascii="宋体" w:hAnsi="宋体" w:eastAsia="宋体" w:cs="宋体"/>
                <w:color w:val="000000" w:themeColor="text1"/>
                <w:sz w:val="24"/>
                <w:szCs w:val="24"/>
                <w:highlight w:val="none"/>
                <w14:textFill>
                  <w14:solidFill>
                    <w14:schemeClr w14:val="tx1"/>
                  </w14:solidFill>
                </w14:textFill>
              </w:rPr>
              <w:t>；</w:t>
            </w:r>
          </w:p>
        </w:tc>
        <w:tc>
          <w:tcPr>
            <w:tcW w:w="1894" w:type="dxa"/>
            <w:vAlign w:val="center"/>
          </w:tcPr>
          <w:p>
            <w:pPr>
              <w:pStyle w:val="25"/>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提供材料复印件加盖公章</w:t>
            </w:r>
          </w:p>
          <w:p>
            <w:pPr>
              <w:pStyle w:val="25"/>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jc w:val="center"/>
        </w:trPr>
        <w:tc>
          <w:tcPr>
            <w:tcW w:w="643" w:type="dxa"/>
            <w:tcBorders>
              <w:bottom w:val="single" w:color="auto" w:sz="4" w:space="0"/>
            </w:tcBorders>
            <w:vAlign w:val="center"/>
          </w:tcPr>
          <w:p>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w:t>
            </w:r>
          </w:p>
        </w:tc>
        <w:tc>
          <w:tcPr>
            <w:tcW w:w="1632" w:type="dxa"/>
            <w:tcBorders>
              <w:bottom w:val="single" w:color="auto" w:sz="4" w:space="0"/>
            </w:tcBorders>
            <w:vAlign w:val="center"/>
          </w:tcPr>
          <w:p>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投标人资格声明书</w:t>
            </w:r>
          </w:p>
        </w:tc>
        <w:tc>
          <w:tcPr>
            <w:tcW w:w="4510" w:type="dxa"/>
            <w:tcBorders>
              <w:bottom w:val="single" w:color="auto" w:sz="4" w:space="0"/>
            </w:tcBorders>
            <w:vAlign w:val="center"/>
          </w:tcPr>
          <w:p>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w:t>
            </w:r>
            <w:r>
              <w:rPr>
                <w:rFonts w:ascii="宋体" w:hAnsi="宋体" w:eastAsia="宋体" w:cs="宋体"/>
                <w:color w:val="000000" w:themeColor="text1"/>
                <w:sz w:val="24"/>
                <w:szCs w:val="24"/>
                <w:highlight w:val="none"/>
                <w14:textFill>
                  <w14:solidFill>
                    <w14:schemeClr w14:val="tx1"/>
                  </w14:solidFill>
                </w14:textFill>
              </w:rPr>
              <w:t>供符合招标文件要求的《投标人资格声明书》</w:t>
            </w:r>
            <w:r>
              <w:rPr>
                <w:rFonts w:hint="eastAsia" w:ascii="宋体" w:hAnsi="宋体" w:eastAsia="宋体" w:cs="宋体"/>
                <w:color w:val="000000" w:themeColor="text1"/>
                <w:sz w:val="24"/>
                <w:szCs w:val="24"/>
                <w:highlight w:val="none"/>
                <w14:textFill>
                  <w14:solidFill>
                    <w14:schemeClr w14:val="tx1"/>
                  </w14:solidFill>
                </w14:textFill>
              </w:rPr>
              <w:t>。</w:t>
            </w:r>
          </w:p>
        </w:tc>
        <w:tc>
          <w:tcPr>
            <w:tcW w:w="1894" w:type="dxa"/>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投标人提供诚信投标承诺书；</w:t>
            </w:r>
          </w:p>
          <w:p>
            <w:pPr>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7" w:hRule="atLeast"/>
          <w:jc w:val="center"/>
        </w:trPr>
        <w:tc>
          <w:tcPr>
            <w:tcW w:w="643" w:type="dxa"/>
            <w:vAlign w:val="center"/>
          </w:tcPr>
          <w:p>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3</w:t>
            </w:r>
          </w:p>
        </w:tc>
        <w:tc>
          <w:tcPr>
            <w:tcW w:w="1632" w:type="dxa"/>
            <w:vAlign w:val="center"/>
          </w:tcPr>
          <w:p>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投标人信用记录</w:t>
            </w:r>
          </w:p>
        </w:tc>
        <w:tc>
          <w:tcPr>
            <w:tcW w:w="4510" w:type="dxa"/>
            <w:vAlign w:val="center"/>
          </w:tcPr>
          <w:p>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投标人不得存在“</w:t>
            </w:r>
            <w:r>
              <w:rPr>
                <w:rFonts w:hint="eastAsia" w:ascii="宋体" w:hAnsi="宋体" w:eastAsia="宋体" w:cs="宋体"/>
                <w:b/>
                <w:bCs/>
                <w:color w:val="000000" w:themeColor="text1"/>
                <w:sz w:val="24"/>
                <w:szCs w:val="24"/>
                <w:highlight w:val="none"/>
                <w:lang w:bidi="ar"/>
                <w14:textFill>
                  <w14:solidFill>
                    <w14:schemeClr w14:val="tx1"/>
                  </w14:solidFill>
                </w14:textFill>
              </w:rPr>
              <w:t>申请人的资格要求</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中”</w:t>
            </w:r>
            <w:r>
              <w:rPr>
                <w:rFonts w:hint="eastAsia" w:ascii="宋体" w:hAnsi="宋体" w:eastAsia="宋体"/>
                <w:color w:val="000000" w:themeColor="text1"/>
                <w:sz w:val="24"/>
                <w:szCs w:val="28"/>
                <w:highlight w:val="none"/>
                <w14:textFill>
                  <w14:solidFill>
                    <w14:schemeClr w14:val="tx1"/>
                  </w14:solidFill>
                </w14:textFill>
              </w:rPr>
              <w:t>的</w:t>
            </w:r>
            <w:r>
              <w:rPr>
                <w:rFonts w:hint="eastAsia" w:ascii="宋体" w:hAnsi="宋体" w:eastAsia="宋体"/>
                <w:color w:val="000000" w:themeColor="text1"/>
                <w:sz w:val="24"/>
                <w:szCs w:val="18"/>
                <w:highlight w:val="none"/>
                <w14:textFill>
                  <w14:solidFill>
                    <w14:schemeClr w14:val="tx1"/>
                  </w14:solidFill>
                </w14:textFill>
              </w:rPr>
              <w:t>不良信用记录情形</w:t>
            </w:r>
          </w:p>
        </w:tc>
        <w:tc>
          <w:tcPr>
            <w:tcW w:w="1894"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采购人或采购代理机构查询投标人信用记录情形。</w:t>
            </w:r>
          </w:p>
        </w:tc>
      </w:tr>
    </w:tbl>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bookmarkStart w:id="55" w:name="_Hlk16461707"/>
      <w:r>
        <w:rPr>
          <w:rFonts w:hint="eastAsia" w:ascii="宋体" w:hAnsi="宋体" w:eastAsia="宋体"/>
          <w:b/>
          <w:bCs/>
          <w:color w:val="000000" w:themeColor="text1"/>
          <w:sz w:val="24"/>
          <w:highlight w:val="none"/>
          <w14:textFill>
            <w14:solidFill>
              <w14:schemeClr w14:val="tx1"/>
            </w14:solidFill>
          </w14:textFill>
        </w:rPr>
        <w:t>资格审查指标通过标准：</w:t>
      </w:r>
      <w:r>
        <w:rPr>
          <w:rFonts w:hint="eastAsia" w:ascii="宋体" w:hAnsi="宋体" w:eastAsia="宋体"/>
          <w:color w:val="000000" w:themeColor="text1"/>
          <w:sz w:val="24"/>
          <w:highlight w:val="none"/>
          <w14:textFill>
            <w14:solidFill>
              <w14:schemeClr w14:val="tx1"/>
            </w14:solidFill>
          </w14:textFill>
        </w:rPr>
        <w:t>投标人必须通过资格审查表中的全部评审指标。</w:t>
      </w:r>
    </w:p>
    <w:bookmarkEnd w:id="55"/>
    <w:p>
      <w:pPr>
        <w:spacing w:line="360" w:lineRule="auto"/>
        <w:ind w:firstLine="437"/>
        <w:outlineLvl w:val="2"/>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2.2符合性审查</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评标委员会对通过资格审查的投标人的投标文件进行符合性审查，以确定其是否满足招标文件的实质性要求。符合性审查表如下：</w:t>
      </w:r>
    </w:p>
    <w:tbl>
      <w:tblPr>
        <w:tblStyle w:val="4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117"/>
        <w:gridCol w:w="3128"/>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spacing w:line="360" w:lineRule="auto"/>
              <w:ind w:right="-10"/>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6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序号</w:t>
            </w:r>
          </w:p>
        </w:tc>
        <w:tc>
          <w:tcPr>
            <w:tcW w:w="2117" w:type="dxa"/>
            <w:tcBorders>
              <w:bottom w:val="single" w:color="auto" w:sz="4" w:space="0"/>
            </w:tcBorders>
            <w:vAlign w:val="center"/>
          </w:tcPr>
          <w:p>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000000" w:themeColor="text1"/>
                <w:kern w:val="2"/>
                <w:highlight w:val="none"/>
                <w14:textFill>
                  <w14:solidFill>
                    <w14:schemeClr w14:val="tx1"/>
                  </w14:solidFill>
                </w14:textFill>
              </w:rPr>
            </w:pPr>
            <w:r>
              <w:rPr>
                <w:rFonts w:hint="eastAsia" w:ascii="宋体" w:hAnsi="宋体" w:eastAsia="宋体"/>
                <w:color w:val="000000" w:themeColor="text1"/>
                <w:kern w:val="2"/>
                <w:highlight w:val="none"/>
                <w14:textFill>
                  <w14:solidFill>
                    <w14:schemeClr w14:val="tx1"/>
                  </w14:solidFill>
                </w14:textFill>
              </w:rPr>
              <w:t>审查指标</w:t>
            </w:r>
          </w:p>
        </w:tc>
        <w:tc>
          <w:tcPr>
            <w:tcW w:w="3128"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审查标准</w:t>
            </w:r>
          </w:p>
        </w:tc>
        <w:tc>
          <w:tcPr>
            <w:tcW w:w="2512"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2117"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开标一览表</w:t>
            </w:r>
          </w:p>
        </w:tc>
        <w:tc>
          <w:tcPr>
            <w:tcW w:w="3128"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2512"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2117"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投标函</w:t>
            </w:r>
          </w:p>
        </w:tc>
        <w:tc>
          <w:tcPr>
            <w:tcW w:w="3128"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2512"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p>
        </w:tc>
        <w:tc>
          <w:tcPr>
            <w:tcW w:w="2117"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授权书</w:t>
            </w:r>
          </w:p>
        </w:tc>
        <w:tc>
          <w:tcPr>
            <w:tcW w:w="3128"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格式、填写要求符合招标文件规定并加盖投标人公章</w:t>
            </w:r>
          </w:p>
        </w:tc>
        <w:tc>
          <w:tcPr>
            <w:tcW w:w="2512"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法定代表人参加投标的无需此件，提供身份证明即可。详见第六章投标文件格式。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2117"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投标报价</w:t>
            </w:r>
          </w:p>
        </w:tc>
        <w:tc>
          <w:tcPr>
            <w:tcW w:w="3128"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asciiTheme="minorEastAsia" w:hAnsiTheme="minorEastAsia" w:eastAsiaTheme="minorEastAsia"/>
                <w:color w:val="000000" w:themeColor="text1"/>
                <w:sz w:val="24"/>
                <w:highlight w:val="none"/>
                <w14:textFill>
                  <w14:solidFill>
                    <w14:schemeClr w14:val="tx1"/>
                  </w14:solidFill>
                </w14:textFill>
              </w:rPr>
              <w:t>招标文件投标人须知正文第9条要求</w:t>
            </w:r>
          </w:p>
        </w:tc>
        <w:tc>
          <w:tcPr>
            <w:tcW w:w="2512"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2117"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商务响应情况</w:t>
            </w:r>
          </w:p>
        </w:tc>
        <w:tc>
          <w:tcPr>
            <w:tcW w:w="3128"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符合招标文件采购需求中对付款方式、供货及安装期限、供货及安装地点、免费质保期等实质性要求</w:t>
            </w:r>
          </w:p>
        </w:tc>
        <w:tc>
          <w:tcPr>
            <w:tcW w:w="2512"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p>
        </w:tc>
        <w:tc>
          <w:tcPr>
            <w:tcW w:w="2117"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技术响应情况</w:t>
            </w:r>
          </w:p>
        </w:tc>
        <w:tc>
          <w:tcPr>
            <w:tcW w:w="3128"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符合招标文件采购需求中货物技术参数等实质性要求</w:t>
            </w:r>
          </w:p>
        </w:tc>
        <w:tc>
          <w:tcPr>
            <w:tcW w:w="2512"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5"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p>
        </w:tc>
        <w:tc>
          <w:tcPr>
            <w:tcW w:w="2117"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其他要求</w:t>
            </w:r>
          </w:p>
        </w:tc>
        <w:tc>
          <w:tcPr>
            <w:tcW w:w="3128" w:type="dxa"/>
            <w:vAlign w:val="center"/>
          </w:tcPr>
          <w:p>
            <w:pPr>
              <w:spacing w:after="50" w:line="360" w:lineRule="auto"/>
              <w:ind w:right="-10"/>
              <w:jc w:val="center"/>
              <w:rPr>
                <w:rFonts w:hint="eastAsia" w:asciiTheme="minorEastAsia" w:hAnsiTheme="minorEastAsia" w:eastAsiaTheme="minorEastAsia"/>
                <w:color w:val="000000" w:themeColor="text1"/>
                <w:sz w:val="24"/>
                <w:szCs w:val="28"/>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符合法律、行政法规规定的其他条件或招标文件列明的其他实质性要求</w:t>
            </w:r>
          </w:p>
        </w:tc>
        <w:tc>
          <w:tcPr>
            <w:tcW w:w="2512" w:type="dxa"/>
            <w:vAlign w:val="center"/>
          </w:tcPr>
          <w:p>
            <w:pPr>
              <w:adjustRightInd w:val="0"/>
              <w:snapToGrid w:val="0"/>
              <w:spacing w:line="360" w:lineRule="auto"/>
              <w:ind w:right="-10"/>
              <w:jc w:val="center"/>
              <w:rPr>
                <w:rFonts w:hint="eastAsia" w:asciiTheme="minorEastAsia" w:hAnsiTheme="minorEastAsia" w:eastAsiaTheme="minorEastAsia"/>
                <w:color w:val="000000" w:themeColor="text1"/>
                <w:sz w:val="24"/>
                <w:highlight w:val="none"/>
                <w14:textFill>
                  <w14:solidFill>
                    <w14:schemeClr w14:val="tx1"/>
                  </w14:solidFill>
                </w14:textFill>
              </w:rPr>
            </w:pPr>
          </w:p>
        </w:tc>
      </w:tr>
    </w:tbl>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符合性审查指标通过标准：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投标人必须通过符合性审查表中的全部评审指标。</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ind w:firstLine="420" w:firstLineChars="200"/>
        <w:rPr>
          <w:rFonts w:hint="eastAsia"/>
          <w:color w:val="000000" w:themeColor="text1"/>
          <w:highlight w:val="none"/>
          <w14:textFill>
            <w14:solidFill>
              <w14:schemeClr w14:val="tx1"/>
            </w14:solidFill>
          </w14:textFill>
        </w:rPr>
      </w:pPr>
    </w:p>
    <w:p>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bookmarkStart w:id="56" w:name="_Toc4682"/>
    </w:p>
    <w:p>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p>
    <w:p>
      <w:pPr>
        <w:widowControl/>
        <w:jc w:val="center"/>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56"/>
    </w:p>
    <w:p>
      <w:pPr>
        <w:pStyle w:val="13"/>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bookmarkStart w:id="57" w:name="_Toc22492"/>
    </w:p>
    <w:p>
      <w:pPr>
        <w:pStyle w:val="13"/>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pPr>
        <w:pStyle w:val="13"/>
        <w:spacing w:after="0" w:line="360" w:lineRule="auto"/>
        <w:jc w:val="center"/>
        <w:rPr>
          <w:rFonts w:hint="eastAsia" w:ascii="宋体" w:hAnsi="宋体" w:eastAsia="宋体" w:cs="宋体"/>
          <w:b/>
          <w:bCs/>
          <w:color w:val="000000" w:themeColor="text1"/>
          <w:spacing w:val="-20"/>
          <w:kern w:val="44"/>
          <w:sz w:val="24"/>
          <w:highlight w:val="none"/>
          <w14:textFill>
            <w14:solidFill>
              <w14:schemeClr w14:val="tx1"/>
            </w14:solidFill>
          </w14:textFill>
        </w:rPr>
      </w:pPr>
    </w:p>
    <w:p>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pPr>
        <w:pStyle w:val="13"/>
        <w:rPr>
          <w:rFonts w:hint="eastAsia" w:ascii="宋体" w:hAnsi="宋体" w:eastAsia="宋体" w:cs="宋体"/>
          <w:b/>
          <w:bCs/>
          <w:color w:val="000000" w:themeColor="text1"/>
          <w:spacing w:val="-20"/>
          <w:kern w:val="44"/>
          <w:sz w:val="24"/>
          <w:highlight w:val="none"/>
          <w14:textFill>
            <w14:solidFill>
              <w14:schemeClr w14:val="tx1"/>
            </w14:solidFill>
          </w14:textFill>
        </w:rPr>
      </w:pPr>
    </w:p>
    <w:p>
      <w:pPr>
        <w:pStyle w:val="13"/>
        <w:rPr>
          <w:rFonts w:hint="eastAsia" w:ascii="宋体" w:hAnsi="宋体" w:eastAsia="宋体" w:cs="宋体"/>
          <w:b/>
          <w:bCs/>
          <w:color w:val="000000" w:themeColor="text1"/>
          <w:spacing w:val="-20"/>
          <w:kern w:val="44"/>
          <w:sz w:val="24"/>
          <w:highlight w:val="none"/>
          <w14:textFill>
            <w14:solidFill>
              <w14:schemeClr w14:val="tx1"/>
            </w14:solidFill>
          </w14:textFill>
        </w:rPr>
      </w:pPr>
    </w:p>
    <w:p>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pPr>
        <w:pStyle w:val="13"/>
        <w:spacing w:line="360" w:lineRule="auto"/>
        <w:rPr>
          <w:rFonts w:hint="eastAsia"/>
          <w:color w:val="000000" w:themeColor="text1"/>
          <w:highlight w:val="none"/>
          <w14:textFill>
            <w14:solidFill>
              <w14:schemeClr w14:val="tx1"/>
            </w14:solidFill>
          </w14:textFill>
        </w:rPr>
      </w:pPr>
    </w:p>
    <w:p>
      <w:pPr>
        <w:spacing w:line="360" w:lineRule="auto"/>
        <w:rPr>
          <w:rFonts w:hint="eastAsia" w:ascii="宋体" w:hAnsi="宋体" w:eastAsia="宋体" w:cs="宋体"/>
          <w:b/>
          <w:bCs/>
          <w:color w:val="000000" w:themeColor="text1"/>
          <w:spacing w:val="-20"/>
          <w:kern w:val="44"/>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Times New Roman"/>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滁州市第一人民医院</w:t>
      </w:r>
    </w:p>
    <w:p>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乙方（中标人）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420" w:left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bookmarkStart w:id="58" w:name="_Toc22209"/>
      <w:r>
        <w:rPr>
          <w:rFonts w:hint="eastAsia" w:ascii="宋体" w:hAnsi="宋体" w:eastAsia="宋体"/>
          <w:b/>
          <w:color w:val="000000" w:themeColor="text1"/>
          <w:sz w:val="24"/>
          <w:highlight w:val="none"/>
          <w14:textFill>
            <w14:solidFill>
              <w14:schemeClr w14:val="tx1"/>
            </w14:solidFill>
          </w14:textFill>
        </w:rPr>
        <w:t>第一节 政府采购合同协议书</w:t>
      </w:r>
      <w:bookmarkEnd w:id="58"/>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甲方（全称）：</w:t>
      </w:r>
      <w:r>
        <w:rPr>
          <w:rFonts w:hint="eastAsia" w:ascii="宋体" w:hAnsi="宋体" w:eastAsia="宋体" w:cs="宋体"/>
          <w:color w:val="000000" w:themeColor="text1"/>
          <w:sz w:val="24"/>
          <w:szCs w:val="24"/>
          <w:highlight w:val="none"/>
          <w:u w:val="single"/>
          <w14:textFill>
            <w14:solidFill>
              <w14:schemeClr w14:val="tx1"/>
            </w14:solidFill>
          </w14:textFill>
        </w:rPr>
        <w:t>滁州市第一人民医院</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w:t>
      </w:r>
    </w:p>
    <w:p>
      <w:pPr>
        <w:pStyle w:val="3"/>
        <w:keepNext w:val="0"/>
        <w:keepLines w:val="0"/>
        <w:pageBreakBefore w:val="0"/>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项目信息</w:t>
      </w:r>
    </w:p>
    <w:p>
      <w:pPr>
        <w:pStyle w:val="3"/>
        <w:keepNext w:val="0"/>
        <w:keepLines w:val="0"/>
        <w:pageBreakBefore w:val="0"/>
        <w:numPr>
          <w:ilvl w:val="0"/>
          <w:numId w:val="4"/>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滁州市第一人民医院胸腔镜手术器械采购项目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3"/>
        <w:keepNext w:val="0"/>
        <w:keepLines w:val="0"/>
        <w:pageBreakBefore w:val="0"/>
        <w:numPr>
          <w:ilvl w:val="0"/>
          <w:numId w:val="4"/>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采购项目编号：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CZYY-2025-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26</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3"/>
        <w:keepNext w:val="0"/>
        <w:keepLines w:val="0"/>
        <w:pageBreakBefore w:val="0"/>
        <w:numPr>
          <w:ilvl w:val="0"/>
          <w:numId w:val="4"/>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项目内容：</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采购标的及数量（台）：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规格型号：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72"/>
        <w:keepNext w:val="0"/>
        <w:keepLines w:val="0"/>
        <w:pageBreakBefore w:val="0"/>
        <w:numPr>
          <w:ilvl w:val="255"/>
          <w:numId w:val="0"/>
        </w:numPr>
        <w:kinsoku/>
        <w:wordWrap/>
        <w:overflowPunct/>
        <w:topLinePunct w:val="0"/>
        <w:bidi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（4）政府采购组织形式：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政府集中采购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部门集中采购  </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分散采购</w:t>
      </w:r>
    </w:p>
    <w:p>
      <w:pPr>
        <w:pStyle w:val="72"/>
        <w:keepNext w:val="0"/>
        <w:keepLines w:val="0"/>
        <w:pageBreakBefore w:val="0"/>
        <w:numPr>
          <w:ilvl w:val="255"/>
          <w:numId w:val="0"/>
        </w:numPr>
        <w:kinsoku/>
        <w:wordWrap/>
        <w:overflowPunct/>
        <w:topLinePunct w:val="0"/>
        <w:bidi w:val="0"/>
        <w:snapToGrid w:val="0"/>
        <w:spacing w:line="44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（5）政府采购方式：</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公开招标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邀请招标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竞争性谈判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竞争性磋商</w:t>
      </w:r>
    </w:p>
    <w:p>
      <w:pPr>
        <w:pStyle w:val="72"/>
        <w:keepNext w:val="0"/>
        <w:keepLines w:val="0"/>
        <w:pageBreakBefore w:val="0"/>
        <w:numPr>
          <w:ilvl w:val="255"/>
          <w:numId w:val="0"/>
        </w:numPr>
        <w:kinsoku/>
        <w:wordWrap/>
        <w:overflowPunct/>
        <w:topLinePunct w:val="0"/>
        <w:bidi w:val="0"/>
        <w:snapToGrid w:val="0"/>
        <w:spacing w:line="44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询价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单一来源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框架协议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（6）中标（成交）供应商是否为外商投资企业：</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pPr>
        <w:pStyle w:val="72"/>
        <w:keepNext w:val="0"/>
        <w:keepLines w:val="0"/>
        <w:pageBreakBefore w:val="0"/>
        <w:tabs>
          <w:tab w:val="left" w:pos="1340"/>
        </w:tabs>
        <w:kinsoku/>
        <w:wordWrap/>
        <w:overflowPunct/>
        <w:topLinePunct w:val="0"/>
        <w:bidi w:val="0"/>
        <w:spacing w:line="440" w:lineRule="exact"/>
        <w:ind w:firstLine="48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外商投资企业类型：</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部分由外国投资者投资</w:t>
      </w:r>
    </w:p>
    <w:p>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（9）是否涉及进口产品：</w:t>
      </w:r>
    </w:p>
    <w:p>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是，《政府采购品目分类目录》底级品目名称：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金额：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国别：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品牌：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规格型号：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（10）是否涉及节能产品：</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是，《节能产品政府采购品目清单》的底级品目名称：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 xml:space="preserve">     </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强制采购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优先采购    </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是否涉及环境标志产品：</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是，《环境标志产品政府采购品目清单》的底级品目名称：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 xml:space="preserve"> </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强制采购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优先采购    </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pPr>
        <w:pStyle w:val="72"/>
        <w:keepNext w:val="0"/>
        <w:keepLines w:val="0"/>
        <w:pageBreakBefore w:val="0"/>
        <w:numPr>
          <w:ilvl w:val="255"/>
          <w:numId w:val="0"/>
        </w:numPr>
        <w:kinsoku/>
        <w:wordWrap/>
        <w:overflowPunct/>
        <w:topLinePunct w:val="0"/>
        <w:bidi w:val="0"/>
        <w:snapToGrid w:val="0"/>
        <w:spacing w:line="440" w:lineRule="exact"/>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t xml:space="preserve">是否涉及绿色产品： </w:t>
      </w:r>
    </w:p>
    <w:p>
      <w:pPr>
        <w:pStyle w:val="72"/>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2"/>
          <w:sz w:val="24"/>
          <w:szCs w:val="24"/>
          <w:highlight w:val="none"/>
          <w14:textFill>
            <w14:solidFill>
              <w14:schemeClr w14:val="tx1"/>
            </w14:solidFill>
          </w14:textFill>
        </w:rPr>
        <w:t>是，绿色产品政府采购相关政策确定的底级品目名称：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强制采购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优先采购    </w:t>
      </w:r>
    </w:p>
    <w:p>
      <w:pPr>
        <w:pStyle w:val="72"/>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14:textFill>
            <w14:solidFill>
              <w14:schemeClr w14:val="tx1"/>
            </w14:solidFill>
          </w14:textFill>
        </w:rPr>
        <w:sym w:font="Wingdings" w:char="00A8"/>
      </w:r>
      <w:r>
        <w:rPr>
          <w:rFonts w:hint="eastAsia" w:ascii="宋体" w:hAnsi="宋体" w:eastAsia="宋体" w:cs="宋体"/>
          <w:color w:val="000000" w:themeColor="text1"/>
          <w:kern w:val="2"/>
          <w:sz w:val="24"/>
          <w:szCs w:val="24"/>
          <w:highlight w:val="none"/>
          <w14:textFill>
            <w14:solidFill>
              <w14:schemeClr w14:val="tx1"/>
            </w14:solidFill>
          </w14:textFill>
        </w:rPr>
        <w:t>否</w:t>
      </w:r>
    </w:p>
    <w:p>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（11）涉及商品包装和快递包装的，是否参考《商品包装政府采购需求标准（试行）》、《快递包装政府采购需求标准（试行）》明确产品及相关快递服务的具体包装要求：</w:t>
      </w:r>
    </w:p>
    <w:p>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否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不涉及</w:t>
      </w:r>
    </w:p>
    <w:p>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合同金额</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（1）合同金额小写：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（注：固定单价合同应填写单价和最高限价）</w:t>
      </w:r>
    </w:p>
    <w:p>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（2）合同定价方式（采用组合定价方式的，可以勾选多项）：</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sym w:font="Wingdings" w:char="00FE"/>
      </w:r>
      <w:r>
        <w:rPr>
          <w:rFonts w:hint="eastAsia" w:ascii="宋体" w:hAnsi="宋体" w:eastAsia="宋体" w:cs="宋体"/>
          <w:iCs/>
          <w:color w:val="000000" w:themeColor="text1"/>
          <w:sz w:val="24"/>
          <w:szCs w:val="24"/>
          <w:highlight w:val="none"/>
          <w14:textFill>
            <w14:solidFill>
              <w14:schemeClr w14:val="tx1"/>
            </w14:solidFill>
          </w14:textFill>
        </w:rPr>
        <w:t xml:space="preserve">固定总价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固定单价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固定费率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成本补偿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绩效激励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73"/>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（3）付款方式（按项目实际勾选填写）：</w:t>
      </w:r>
    </w:p>
    <w:p>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全额付款：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（应明确一次性支付合同款项的条件）                    </w:t>
      </w:r>
    </w:p>
    <w:p>
      <w:pPr>
        <w:keepNext w:val="0"/>
        <w:keepLines w:val="0"/>
        <w:pageBreakBefore w:val="0"/>
        <w:kinsoku/>
        <w:wordWrap/>
        <w:overflowPunct/>
        <w:topLinePunct w:val="0"/>
        <w:bidi w:val="0"/>
        <w:snapToGrid w:val="0"/>
        <w:spacing w:line="44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分期付款：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highlight w:val="none"/>
          <w14:textFill>
            <w14:solidFill>
              <w14:schemeClr w14:val="tx1"/>
            </w14:solidFill>
          </w14:textFill>
        </w:rPr>
        <w:t>，其中涉及预付款的：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（应明确预付款的支付比例和支付条件） </w:t>
      </w:r>
    </w:p>
    <w:p>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成本补偿：</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（应明确按照成本补偿方式的支付方式和支付条件）   </w:t>
      </w:r>
    </w:p>
    <w:p>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绩效激励：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（应明确按照绩效激励方式的支付方式和支付条件）   </w:t>
      </w:r>
    </w:p>
    <w:p>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合同履行</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（1）起始日期：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日，完成日期：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（2）履约地点</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（3）履约担保：</w:t>
      </w:r>
      <w:r>
        <w:rPr>
          <w:rFonts w:hint="eastAsia" w:ascii="宋体" w:hAnsi="宋体" w:eastAsia="宋体" w:cs="宋体"/>
          <w:color w:val="000000" w:themeColor="text1"/>
          <w:sz w:val="24"/>
          <w:szCs w:val="24"/>
          <w:highlight w:val="none"/>
          <w14:textFill>
            <w14:solidFill>
              <w14:schemeClr w14:val="tx1"/>
            </w14:solidFill>
          </w14:textFill>
        </w:rPr>
        <w:t>是否收取履约保证金：</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否</w:t>
      </w:r>
    </w:p>
    <w:p>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收取履约保证金形式：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收取履约保证金金额：</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履约担保期限：</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（4）分期履行要求：</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（5）风险处置措施和替代方案：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合同验收</w:t>
      </w:r>
    </w:p>
    <w:p>
      <w:pPr>
        <w:keepNext w:val="0"/>
        <w:keepLines w:val="0"/>
        <w:pageBreakBefore w:val="0"/>
        <w:numPr>
          <w:ilvl w:val="0"/>
          <w:numId w:val="5"/>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验收组织方式：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自行组织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委托第三方组织</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验收主体：</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是否邀请专家参加验收：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是否邀请服务对象参加验收：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是否邀请第三方检测机构参加验收：</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是否进行抽查检测：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是，抽查比例：</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是否存在破坏性检测：</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是，</w:t>
      </w:r>
      <w:r>
        <w:rPr>
          <w:rFonts w:hint="eastAsia" w:ascii="宋体" w:hAnsi="宋体" w:eastAsia="宋体" w:cs="宋体"/>
          <w:bCs/>
          <w:color w:val="000000" w:themeColor="text1"/>
          <w:sz w:val="24"/>
          <w:szCs w:val="24"/>
          <w:highlight w:val="none"/>
          <w:u w:val="single"/>
          <w14:textFill>
            <w14:solidFill>
              <w14:schemeClr w14:val="tx1"/>
            </w14:solidFill>
          </w14:textFill>
        </w:rPr>
        <w:t>（应明确对被破坏的检测产品的处理方式）</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验收组织的其他事项：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（2）履约验收时间：</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（计划于何时验收/供应商提出验收申请之日起   日内组织验收）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（3）履约验收方式：</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一次性验收         </w:t>
      </w:r>
    </w:p>
    <w:p>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分期/分项验收：</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（应明确分期/分项验收的工作安排）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（4）履约验收程序：</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（5）履约验收的内容：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（6）履约验收标准：</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bCs/>
          <w:color w:val="000000" w:themeColor="text1"/>
          <w:sz w:val="24"/>
          <w:szCs w:val="24"/>
          <w:highlight w:val="none"/>
          <w14:textFill>
            <w14:solidFill>
              <w14:schemeClr w14:val="tx1"/>
            </w14:solidFill>
          </w14:textFill>
        </w:rPr>
        <w:t>否</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（8）履约验收其他事项：</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（产权过户登记等）          </w:t>
      </w:r>
    </w:p>
    <w:p>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组成合同的文件</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本协议书与下列文件一起构成合同文件，如下述文件之间有任何抵触、矛盾或歧义，应按以下顺序解释：</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（1）政府采购合同协议书及其变更、补充协议</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（2）政府采购合同专用条款</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（3）政府采购合同通用条款</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（4）中标（成交）通知书</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（5）投标（响应）文件</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（6）采购文件</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（7）有关技术文件，图纸</w:t>
      </w:r>
    </w:p>
    <w:p>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kern w:val="2"/>
          <w:sz w:val="24"/>
          <w:szCs w:val="24"/>
          <w:highlight w:val="none"/>
          <w14:textFill>
            <w14:solidFill>
              <w14:schemeClr w14:val="tx1"/>
            </w14:solidFill>
          </w14:textFill>
        </w:rPr>
        <w:t>国家法律、行政法规和规章制度规定或合同约定的作为合同组成部分的其他文件</w:t>
      </w:r>
    </w:p>
    <w:p>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合同生效</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本合同自</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生效。</w:t>
      </w:r>
    </w:p>
    <w:p>
      <w:pPr>
        <w:keepNext w:val="0"/>
        <w:keepLines w:val="0"/>
        <w:pageBreakBefore w:val="0"/>
        <w:numPr>
          <w:ilvl w:val="0"/>
          <w:numId w:val="3"/>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合同份数</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本合同一式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份，甲方执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份，乙方执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份，均具有同等法律效力。</w:t>
      </w:r>
    </w:p>
    <w:p>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合同订立时间：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日合同订立地点：</w:t>
      </w:r>
      <w:r>
        <w:rPr>
          <w:rFonts w:hint="eastAsia" w:ascii="宋体" w:hAnsi="宋体" w:eastAsia="宋体" w:cs="宋体"/>
          <w:color w:val="000000" w:themeColor="text1"/>
          <w:sz w:val="24"/>
          <w:szCs w:val="24"/>
          <w:highlight w:val="none"/>
          <w:u w:val="single"/>
          <w14:textFill>
            <w14:solidFill>
              <w14:schemeClr w14:val="tx1"/>
            </w14:solidFill>
          </w14:textFill>
        </w:rPr>
        <w:t>滁州市第一人民医院</w:t>
      </w:r>
    </w:p>
    <w:tbl>
      <w:tblPr>
        <w:tblStyle w:val="40"/>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0"/>
        <w:gridCol w:w="2412"/>
        <w:gridCol w:w="1979"/>
        <w:gridCol w:w="21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302" w:type="dxa"/>
            <w:gridSpan w:val="2"/>
            <w:tcBorders>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甲方（采购人、受采购人委托签订合同的单位或采购文件约定的合同甲方）</w:t>
            </w:r>
          </w:p>
        </w:tc>
        <w:tc>
          <w:tcPr>
            <w:tcW w:w="4096" w:type="dxa"/>
            <w:gridSpan w:val="2"/>
            <w:tcBorders>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单位名称（公章或合同章）</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90" w:type="dxa"/>
            <w:vMerge w:val="restart"/>
            <w:tcBorders>
              <w:top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pPr>
              <w:adjustRightInd w:val="0"/>
              <w:snapToGrid w:val="0"/>
              <w:spacing w:line="360" w:lineRule="auto"/>
              <w:ind w:firstLine="115" w:firstLineChars="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或其委托代理人（签章）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或其委托代理人（签章）</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vMerge w:val="continue"/>
            <w:tcBorders>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拥有者性别</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住  所</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 系 人</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电子邮箱</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统一社会信用代码</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银行账号</w:t>
            </w:r>
          </w:p>
        </w:tc>
        <w:tc>
          <w:tcPr>
            <w:tcW w:w="2117" w:type="dxa"/>
            <w:tcBorders>
              <w:top w:val="single" w:color="auto" w:sz="2" w:space="0"/>
              <w:left w:val="single" w:color="auto" w:sz="2" w:space="0"/>
              <w:bottom w:val="single" w:color="auto" w:sz="2" w:space="0"/>
            </w:tcBorders>
            <w:vAlign w:val="center"/>
          </w:tcPr>
          <w:p>
            <w:pPr>
              <w:adjustRightInd w:val="0"/>
              <w:snapToGrid w:val="0"/>
              <w:spacing w:line="360" w:lineRule="auto"/>
              <w:jc w:val="center"/>
              <w:rPr>
                <w:rFonts w:hint="eastAsia" w:ascii="宋体" w:hAnsi="宋体" w:eastAsia="宋体" w:cs="宋体"/>
                <w:color w:val="000000" w:themeColor="text1"/>
                <w:spacing w:val="20"/>
                <w:sz w:val="24"/>
                <w:szCs w:val="24"/>
                <w:highlight w:val="none"/>
                <w14:textFill>
                  <w14:solidFill>
                    <w14:schemeClr w14:val="tx1"/>
                  </w14:solidFill>
                </w14:textFill>
              </w:rPr>
            </w:pPr>
          </w:p>
        </w:tc>
      </w:tr>
    </w:tbl>
    <w:p>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pStyle w:val="7"/>
        <w:adjustRightInd w:val="0"/>
        <w:snapToGrid w:val="0"/>
        <w:spacing w:before="156" w:beforeLines="5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bookmarkStart w:id="59" w:name="_Toc27624"/>
      <w:r>
        <w:rPr>
          <w:rFonts w:hint="eastAsia" w:ascii="宋体" w:hAnsi="宋体" w:eastAsia="宋体" w:cs="@仿宋_GB2312"/>
          <w:bCs w:val="0"/>
          <w:color w:val="000000" w:themeColor="text1"/>
          <w:sz w:val="24"/>
          <w:szCs w:val="20"/>
          <w:highlight w:val="none"/>
          <w14:textFill>
            <w14:solidFill>
              <w14:schemeClr w14:val="tx1"/>
            </w14:solidFill>
          </w14:textFill>
        </w:rPr>
        <w:t>第二节 政府采购合同通用条款</w:t>
      </w:r>
      <w:bookmarkEnd w:id="59"/>
    </w:p>
    <w:p>
      <w:pPr>
        <w:tabs>
          <w:tab w:val="left" w:pos="8820"/>
          <w:tab w:val="left" w:pos="9345"/>
          <w:tab w:val="left" w:pos="9765"/>
        </w:tabs>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1. </w:t>
      </w:r>
      <w:r>
        <w:rPr>
          <w:rFonts w:hint="eastAsia" w:ascii="宋体" w:hAnsi="宋体" w:eastAsia="宋体" w:cs="宋体"/>
          <w:b/>
          <w:bCs/>
          <w:color w:val="000000" w:themeColor="text1"/>
          <w:sz w:val="24"/>
          <w:szCs w:val="24"/>
          <w:highlight w:val="none"/>
          <w14:textFill>
            <w14:solidFill>
              <w14:schemeClr w14:val="tx1"/>
            </w14:solidFill>
          </w14:textFill>
        </w:rPr>
        <w:t>定义</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（1）采购人（以下称甲方）是指使用财政性资金，通过政府采购方式向供应商购买货物及其相关服务的国家机关、事业单位、团体组织。</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highlight w:val="none"/>
          <w14:textFill>
            <w14:solidFill>
              <w14:schemeClr w14:val="tx1"/>
            </w14:solidFill>
          </w14:textFill>
        </w:rPr>
        <w:t>。</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1.2本合同下列术语应解释为：</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（2）“合同价款”系指根据本合同规定乙方在全面履行合同义务后甲方应支付给乙方的价款。</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pPr>
        <w:numPr>
          <w:ilvl w:val="0"/>
          <w:numId w:val="6"/>
        </w:num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合同标的及金额应与中标（成交）结果一致。乙方为履行本合同而发生的所有费用均应包含在合同价款中，甲方不再另行支付其他任何费用。</w:t>
      </w:r>
    </w:p>
    <w:p>
      <w:pPr>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 履行合同的时间、地点和方式</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乙方应当在约定的时间、地点，按照约定方式履行合同。</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 甲方的权利和义务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 甲方有权要求乙方对缺陷部分予以修复，并按合同约定享有货物保修及其他合同约定的权利。</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约定的期限内对乙方履约提出任何异议或者向乙方作出任何说明的，视为验收通过。</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4.5 甲方应当根据合同约定及时向乙方支付合同价款，不得以内部人员变更、履行内部付款流程等为由，拒绝或迟延支付。</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4.6 国家法律法规规定及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约定应由甲方承担的其他义务和责任。</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 乙方的权利和义务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签署合同后，乙方应确定项目负责人（或项目联系人），负责与本合同有关的事务。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3"/>
        <w:spacing w:after="0" w:line="360" w:lineRule="auto"/>
        <w:ind w:firstLine="422" w:firstLineChars="17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5.3乙方有权根据合同约定向甲方收取合同价款。</w:t>
      </w:r>
    </w:p>
    <w:p>
      <w:pPr>
        <w:pStyle w:val="13"/>
        <w:spacing w:after="0" w:line="360" w:lineRule="auto"/>
        <w:ind w:firstLine="422" w:firstLineChars="17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5.4国家法律法规规定及</w:t>
      </w:r>
      <w:r>
        <w:rPr>
          <w:rFonts w:hint="eastAsia" w:ascii="宋体" w:hAnsi="宋体" w:eastAsia="宋体" w:cs="宋体"/>
          <w:b/>
          <w:bCs/>
          <w:color w:val="000000" w:themeColor="text1"/>
          <w:sz w:val="24"/>
          <w:highlight w:val="none"/>
          <w14:textFill>
            <w14:solidFill>
              <w14:schemeClr w14:val="tx1"/>
            </w14:solidFill>
          </w14:textFill>
        </w:rPr>
        <w:t>【政府采购合同专用条款】</w:t>
      </w:r>
      <w:r>
        <w:rPr>
          <w:rFonts w:hint="eastAsia" w:ascii="宋体" w:hAnsi="宋体" w:eastAsia="宋体" w:cs="宋体"/>
          <w:color w:val="000000" w:themeColor="text1"/>
          <w:sz w:val="24"/>
          <w:highlight w:val="none"/>
          <w14:textFill>
            <w14:solidFill>
              <w14:schemeClr w14:val="tx1"/>
            </w14:solidFill>
          </w14:textFill>
        </w:rPr>
        <w:t>约定应由乙方承担的其他义务和责任。</w:t>
      </w:r>
    </w:p>
    <w:p>
      <w:pPr>
        <w:numPr>
          <w:ilvl w:val="0"/>
          <w:numId w:val="7"/>
        </w:num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合同履行</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 甲乙双方应当按照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 货物包装、运输、保险和交付要求</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另有约定外，</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乙方负责办理将货物运抵本合同规定的交货地点，并装卸、交付至甲方的一切运输事项，相关费用应包含在合同价款中。</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7.5 乙方在运输到达之前应提前通知甲方，并提示货物运输装卸的注意事项，甲方配合乙方做好货物的接收工作。</w:t>
      </w:r>
    </w:p>
    <w:p>
      <w:pPr>
        <w:pStyle w:val="7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pPr>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8. 质量标准和保证</w:t>
      </w:r>
    </w:p>
    <w:p>
      <w:pPr>
        <w:pStyle w:val="17"/>
        <w:adjustRightInd w:val="0"/>
        <w:snapToGrid w:val="0"/>
        <w:spacing w:line="360" w:lineRule="auto"/>
        <w:ind w:firstLine="480" w:firstLineChars="200"/>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8.1 质量标准</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7"/>
        <w:adjustRightInd w:val="0"/>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（2）采用中华人民共和国法定计量单位。</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（3）乙方所提供的货物应符合国家有关安全、环保、卫生的规定。</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 保证</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规定或乙方书面承诺（两者以较长的为准）的质量保证期内，本保证保持有效。</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（2）在质量保证期内所发现的缺陷，甲方应尽快以书面形式通知乙方。</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（3）乙方收到通知后，应在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规定的响应时间内以合理的速度免费维修或更换有缺陷的货物或部件。</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 权利瑕疵担保</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 乙方保证对其出售的货物享有合法的权利。</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9.2 乙方保证在交付的货物上不存在抵押权等担保物权。</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9.3 如甲方使用上述货物构成对第三人侵权的，则由乙方承担全部责任。</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 知识产权保护</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000000" w:themeColor="text1"/>
          <w:sz w:val="24"/>
          <w:szCs w:val="24"/>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000000" w:themeColor="text1"/>
          <w:sz w:val="24"/>
          <w:szCs w:val="24"/>
          <w:highlight w:val="none"/>
          <w14:textFill>
            <w14:solidFill>
              <w14:schemeClr w14:val="tx1"/>
            </w14:solidFill>
          </w14:textFill>
        </w:rPr>
        <w:t>。</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 保密义务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中约定。</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 合同价款支付</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合同价款支付按照国库集中支付制度及财政管理相关规定执行。</w:t>
      </w:r>
    </w:p>
    <w:p>
      <w:pPr>
        <w:pStyle w:val="7"/>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14:textFill>
            <w14:solidFill>
              <w14:schemeClr w14:val="tx1"/>
            </w14:solidFill>
          </w14:textFill>
        </w:rPr>
        <w:t>】中约定。</w:t>
      </w:r>
    </w:p>
    <w:p>
      <w:pPr>
        <w:pStyle w:val="13"/>
        <w:spacing w:after="0"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13.</w:t>
      </w:r>
      <w:r>
        <w:rPr>
          <w:rFonts w:hint="eastAsia" w:ascii="宋体" w:hAnsi="宋体" w:eastAsia="宋体" w:cs="宋体"/>
          <w:b/>
          <w:bCs/>
          <w:color w:val="000000" w:themeColor="text1"/>
          <w:sz w:val="24"/>
          <w:highlight w:val="none"/>
          <w:lang w:val="en-US"/>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履约保证金</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乙方应当以支票、汇票、本票或者金融机构、担保机构出具的保函等非现金形式提交。</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如果乙方出现</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360" w:lineRule="auto"/>
        <w:ind w:firstLine="4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甲方在项目通过验收后按照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规定支付。</w:t>
      </w:r>
    </w:p>
    <w:p>
      <w:p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14. </w:t>
      </w:r>
      <w:r>
        <w:rPr>
          <w:rFonts w:hint="eastAsia" w:ascii="宋体" w:hAnsi="宋体" w:eastAsia="宋体" w:cs="宋体"/>
          <w:b/>
          <w:color w:val="000000" w:themeColor="text1"/>
          <w:sz w:val="24"/>
          <w:szCs w:val="24"/>
          <w:highlight w:val="none"/>
          <w14:textFill>
            <w14:solidFill>
              <w14:schemeClr w14:val="tx1"/>
            </w14:solidFill>
          </w14:textFill>
        </w:rPr>
        <w:t>售后服务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除项目不涉及或采购活动中明确约定无须承担外，乙方还应提供下列服务：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（1）货物的现场移动、安装、调试、启动监督及技术支持；</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（2）提供货物组装和维修所需的专用工具和辅助材料；</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约定的期限内对所有的货物实施运行监督、维修，但前提条件是该服务并不能免除乙方在质量保证期内所承担的义务；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（4）在制造商所在地或指定现场就货物的安装、启动、运营、维护、废弃处置等对甲方操作人员进行培训；</w:t>
      </w:r>
    </w:p>
    <w:p>
      <w:pPr>
        <w:pStyle w:val="7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约定，货物在有效使用年限届满后应予回收的，乙方负有自行或者委托第三人对货物予以回收的义务；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规定由乙方提供的其他服务。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乙方提供的售后服务的费用已包含在合同价款中，甲方不再另行支付。</w:t>
      </w:r>
    </w:p>
    <w:p>
      <w:p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 违约责任</w:t>
      </w:r>
    </w:p>
    <w:p>
      <w:pPr>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15.1质量瑕疵的违约责任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及时修理、重作、更换，并承担由此给甲方造成的损失。</w:t>
      </w:r>
    </w:p>
    <w:p>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15.2 迟延交货的违约责任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规定执行。如果涉及公共利益，且赔偿金额无法弥补公共利益损失，甲方可要求继续履行或者采取其他补救措施。</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迟延支付的违约责任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规定的逾期付款利息。</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w:t>
      </w:r>
    </w:p>
    <w:p>
      <w:pPr>
        <w:numPr>
          <w:ilvl w:val="0"/>
          <w:numId w:val="8"/>
        </w:num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合同变更、中止与终止</w:t>
      </w:r>
    </w:p>
    <w:p>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16.1合同的变更</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16.2合同的中止</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（1）合同履行过程中因供应商就采购文件、采购过程或结果提起投诉的，甲方认为有必要的，可以中止合同的履行。</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（4）甲方不得以行政区划调整、政府换届、机构或者职能调整以及相关责任人更替为由中止合同。</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16.3合同的终止</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（1）合同因有效期限届满而终止；</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（2）乙方未按合同约定履行，构成根本性违约的，甲方有权终止合同，并追究乙方的违约责任。</w:t>
      </w:r>
    </w:p>
    <w:p>
      <w:pPr>
        <w:pStyle w:val="72"/>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16.4 </w:t>
      </w:r>
      <w:r>
        <w:rPr>
          <w:rFonts w:hint="eastAsia" w:ascii="宋体" w:hAnsi="宋体" w:eastAsia="宋体" w:cs="宋体"/>
          <w:color w:val="000000" w:themeColor="text1"/>
          <w:kern w:val="2"/>
          <w:sz w:val="24"/>
          <w:szCs w:val="24"/>
          <w:highlight w:val="none"/>
          <w14:textFill>
            <w14:solidFill>
              <w14:schemeClr w14:val="tx1"/>
            </w14:solidFill>
          </w14:textFill>
        </w:rPr>
        <w:t>涉及国家利益、社会公共利益的情形</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 合同分包</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 乙方不得将合同转包给其他供应商。涉及合同分包的，乙方应根据采购文件和投标（响应）文件规定进行合同分包。</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 不可抗力</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不可抗力是指合同双方不能预见、不能避免且不能克服的客观情况。</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任何一方对由于不可抗力造成的部分或全部不能履行合同不承担违约责任。但迟延履行后发生不可抗力的，不能免除责任。</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19. 解决争议的方法</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19.2 选择仲裁的，应在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中进一步约定选择与争议有实际联系的地点的人民法院管辖，但管辖法院的约定不得违反级别管辖和专属管辖的规定。</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 如甲乙双方有争议的事项不影响合同其他部分的履行，在争议解决期间，合同其他部分应当继续履行。</w:t>
      </w:r>
    </w:p>
    <w:p>
      <w:pPr>
        <w:autoSpaceDE w:val="0"/>
        <w:autoSpaceDN w:val="0"/>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20. 政府采购政策</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20.1 </w:t>
      </w:r>
      <w:r>
        <w:rPr>
          <w:rFonts w:hint="eastAsia" w:ascii="宋体" w:hAnsi="宋体" w:eastAsia="宋体" w:cs="宋体"/>
          <w:color w:val="000000" w:themeColor="text1"/>
          <w:sz w:val="24"/>
          <w:szCs w:val="24"/>
          <w:highlight w:val="none"/>
          <w:lang w:val="en-GB"/>
          <w14:textFill>
            <w14:solidFill>
              <w14:schemeClr w14:val="tx1"/>
            </w14:solidFill>
          </w14:textFill>
        </w:rPr>
        <w:t>本合同应当按照规定执行政府采购政策。</w:t>
      </w:r>
    </w:p>
    <w:p>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highlight w:val="none"/>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highlight w:val="none"/>
          <w14:textFill>
            <w14:solidFill>
              <w14:schemeClr w14:val="tx1"/>
            </w14:solidFill>
          </w14:textFill>
        </w:rPr>
        <w:t>，有过错的一方应当承担赔偿责任，双方都有过错的，各自承担相应的责任。</w:t>
      </w:r>
    </w:p>
    <w:p>
      <w:pPr>
        <w:pStyle w:val="13"/>
        <w:spacing w:after="0"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21. 法律适用</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本合同的订立、生效、解释、履行及与本合同有关的争议解决，均适用法律、行政法规。</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22. 通知</w:t>
      </w:r>
    </w:p>
    <w:p>
      <w:pPr>
        <w:pStyle w:val="72"/>
        <w:spacing w:line="36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pStyle w:val="72"/>
        <w:spacing w:line="360" w:lineRule="auto"/>
        <w:ind w:firstLine="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22.3本合同一方给另一方的通知均应采用书面形式，传真或快递送到本合同中规定的对方的地址和办理签收手续。</w:t>
      </w:r>
    </w:p>
    <w:p>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22.4通知以送达之日或通知书中规定的生效之日起生效，两者中以较迟之日为准。</w:t>
      </w:r>
    </w:p>
    <w:p>
      <w:pPr>
        <w:numPr>
          <w:ilvl w:val="0"/>
          <w:numId w:val="9"/>
        </w:numPr>
        <w:adjustRightInd w:val="0"/>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合同未尽事项</w:t>
      </w:r>
    </w:p>
    <w:p>
      <w:pPr>
        <w:adjustRightInd w:val="0"/>
        <w:snapToGrid w:val="0"/>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23.1合同未尽事项见</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w:t>
      </w:r>
    </w:p>
    <w:p>
      <w:pPr>
        <w:adjustRightInd w:val="0"/>
        <w:snapToGri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23.2 合同附件与合同正文具有同等的法律效力。</w:t>
      </w:r>
    </w:p>
    <w:p>
      <w:pPr>
        <w:pStyle w:val="7"/>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rPr>
          <w:rFonts w:hint="eastAsia" w:asciiTheme="minorEastAsia" w:hAnsiTheme="minorEastAsia" w:eastAsiaTheme="minorEastAsia"/>
          <w:b/>
          <w:color w:val="000000" w:themeColor="text1"/>
          <w:sz w:val="24"/>
          <w:highlight w:val="none"/>
          <w14:textFill>
            <w14:solidFill>
              <w14:schemeClr w14:val="tx1"/>
            </w14:solidFill>
          </w14:textFill>
        </w:rPr>
      </w:pPr>
    </w:p>
    <w:p>
      <w:pPr>
        <w:pStyle w:val="7"/>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highlight w:val="none"/>
          <w14:textFill>
            <w14:solidFill>
              <w14:schemeClr w14:val="tx1"/>
            </w14:solidFill>
          </w14:textFill>
        </w:rPr>
        <w:t>第三节 政府采购合同专用条款</w:t>
      </w:r>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第1.2（6）项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联合体具体要求</w:t>
            </w:r>
          </w:p>
        </w:tc>
        <w:tc>
          <w:tcPr>
            <w:tcW w:w="5170" w:type="dxa"/>
            <w:vAlign w:val="center"/>
          </w:tcPr>
          <w:p>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xml:space="preserve">不接受联合体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第1.2（7）项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其他术语解释</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第4.4款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履约验收中甲方提出异议或作出说明的期限</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第4.6款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约定甲方承担的其他义务和责任</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第5.4款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约定乙方承担的其他义务和责任</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第6.1款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履行合同义务的顺序</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第7.1款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包装特殊要求</w:t>
            </w:r>
          </w:p>
        </w:tc>
        <w:tc>
          <w:tcPr>
            <w:tcW w:w="5170" w:type="dxa"/>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指定现场</w:t>
            </w:r>
          </w:p>
        </w:tc>
        <w:tc>
          <w:tcPr>
            <w:tcW w:w="5170" w:type="dxa"/>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第7.2款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运输特殊要求</w:t>
            </w:r>
          </w:p>
        </w:tc>
        <w:tc>
          <w:tcPr>
            <w:tcW w:w="5170" w:type="dxa"/>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第7.3款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保险要求</w:t>
            </w:r>
          </w:p>
        </w:tc>
        <w:tc>
          <w:tcPr>
            <w:tcW w:w="5170" w:type="dxa"/>
            <w:vAlign w:val="center"/>
          </w:tcPr>
          <w:p>
            <w:pP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第8.2（1）项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质量保证期</w:t>
            </w:r>
          </w:p>
        </w:tc>
        <w:tc>
          <w:tcPr>
            <w:tcW w:w="5170" w:type="dxa"/>
            <w:vAlign w:val="center"/>
          </w:tcPr>
          <w:p>
            <w:pPr>
              <w:autoSpaceDE w:val="0"/>
              <w:autoSpaceDN w:val="0"/>
              <w:adjustRightInd w:val="0"/>
              <w:snapToGrid w:val="0"/>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第8.2（3）项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货物质量缺陷</w:t>
            </w:r>
          </w:p>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响应时间</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pStyle w:val="72"/>
              <w:spacing w:line="240" w:lineRule="auto"/>
              <w:ind w:firstLine="0" w:firstLine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第11.1款</w:t>
            </w:r>
          </w:p>
        </w:tc>
        <w:tc>
          <w:tcPr>
            <w:tcW w:w="1742" w:type="dxa"/>
            <w:vAlign w:val="center"/>
          </w:tcPr>
          <w:p>
            <w:pPr>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其他应当保密的信息</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第12.2款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合同价款支付时间</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第13.2款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履约保证金不予退还的情形</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第13.3款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履约保证金退还时间及逾期退还的违约金</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第14.1（3）项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运行监督、维修期限</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第14.1（5）项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货物回收的约定</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第14.1（6）项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乙方提供的其他服务</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第15.1款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修理、重作、更换相关具体规定</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第15.2（2）项</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迟延交货赔偿费</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第15.3款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逾期付款利息</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种方式解决：</w:t>
            </w:r>
          </w:p>
          <w:p>
            <w:pPr>
              <w:autoSpaceDE w:val="0"/>
              <w:autoSpaceDN w:val="0"/>
              <w:adjustRightInd w:val="0"/>
              <w:snapToGrid w:val="0"/>
              <w:jc w:val="left"/>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（1）向</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仲裁委员会申请仲裁，仲裁地点为</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w:t>
            </w:r>
          </w:p>
          <w:p>
            <w:pPr>
              <w:adjustRightInd w:val="0"/>
              <w:snapToGrid w:val="0"/>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iCs/>
                <w:color w:val="000000" w:themeColor="text1"/>
                <w:sz w:val="24"/>
                <w:szCs w:val="24"/>
                <w:highlight w:val="none"/>
                <w14:textFill>
                  <w14:solidFill>
                    <w14:schemeClr w14:val="tx1"/>
                  </w14:solidFill>
                </w14:textFill>
              </w:rPr>
              <w:t>（2）向</w:t>
            </w:r>
            <w:r>
              <w:rPr>
                <w:rFonts w:hint="eastAsia" w:ascii="宋体" w:hAnsi="宋体" w:eastAsia="宋体" w:cs="宋体"/>
                <w:i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Cs/>
                <w:color w:val="000000" w:themeColor="text1"/>
                <w:sz w:val="24"/>
                <w:szCs w:val="24"/>
                <w:highlight w:val="none"/>
                <w14:textFill>
                  <w14:solidFill>
                    <w14:schemeClr w14:val="tx1"/>
                  </w14:solidFill>
                </w14:textFill>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第二节</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第23.1款</w:t>
            </w:r>
          </w:p>
        </w:tc>
        <w:tc>
          <w:tcPr>
            <w:tcW w:w="1742"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其他专用条款</w:t>
            </w:r>
          </w:p>
        </w:tc>
        <w:tc>
          <w:tcPr>
            <w:tcW w:w="5170" w:type="dxa"/>
            <w:vAlign w:val="center"/>
          </w:tcPr>
          <w:p>
            <w:pPr>
              <w:adjustRightInd w:val="0"/>
              <w:snapToGrid w:val="0"/>
              <w:jc w:val="left"/>
              <w:rPr>
                <w:rFonts w:hint="eastAsia" w:ascii="宋体" w:hAnsi="宋体" w:eastAsia="宋体" w:cs="宋体"/>
                <w:color w:val="000000" w:themeColor="text1"/>
                <w:sz w:val="24"/>
                <w:szCs w:val="24"/>
                <w:highlight w:val="none"/>
                <w14:textFill>
                  <w14:solidFill>
                    <w14:schemeClr w14:val="tx1"/>
                  </w14:solidFill>
                </w14:textFill>
              </w:rPr>
            </w:pPr>
          </w:p>
        </w:tc>
      </w:tr>
    </w:tbl>
    <w:p>
      <w:pPr>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p>
    <w:p>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第六章  投标文件格式</w:t>
      </w:r>
      <w:bookmarkEnd w:id="57"/>
    </w:p>
    <w:p>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pPr>
        <w:rPr>
          <w:rFonts w:hint="eastAsia" w:eastAsia="黑体"/>
          <w:color w:val="000000" w:themeColor="text1"/>
          <w:sz w:val="20"/>
          <w:highlight w:val="none"/>
          <w14:textFill>
            <w14:solidFill>
              <w14:schemeClr w14:val="tx1"/>
            </w14:solidFill>
          </w14:textFill>
        </w:rPr>
      </w:pPr>
      <w:bookmarkStart w:id="61" w:name="_Toc28960"/>
      <w:bookmarkStart w:id="62" w:name="_Toc5555"/>
    </w:p>
    <w:p>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63" w:name="_Toc651"/>
      <w:r>
        <w:rPr>
          <w:rFonts w:hint="eastAsia" w:asciiTheme="minorEastAsia" w:hAnsiTheme="minorEastAsia" w:eastAsiaTheme="minorEastAsia"/>
          <w:b/>
          <w:color w:val="000000" w:themeColor="text1"/>
          <w:sz w:val="72"/>
          <w:highlight w:val="none"/>
          <w14:textFill>
            <w14:solidFill>
              <w14:schemeClr w14:val="tx1"/>
            </w14:solidFill>
          </w14:textFill>
        </w:rPr>
        <w:t>投</w:t>
      </w:r>
      <w:bookmarkEnd w:id="63"/>
    </w:p>
    <w:p>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64" w:name="_Toc6148"/>
      <w:r>
        <w:rPr>
          <w:rFonts w:hint="eastAsia" w:asciiTheme="minorEastAsia" w:hAnsiTheme="minorEastAsia" w:eastAsiaTheme="minorEastAsia"/>
          <w:b/>
          <w:color w:val="000000" w:themeColor="text1"/>
          <w:sz w:val="72"/>
          <w:highlight w:val="none"/>
          <w14:textFill>
            <w14:solidFill>
              <w14:schemeClr w14:val="tx1"/>
            </w14:solidFill>
          </w14:textFill>
        </w:rPr>
        <w:t>标</w:t>
      </w:r>
      <w:bookmarkEnd w:id="64"/>
    </w:p>
    <w:p>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pPr>
        <w:spacing w:line="900" w:lineRule="exact"/>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65" w:name="_Toc1338"/>
      <w:r>
        <w:rPr>
          <w:rFonts w:hint="eastAsia" w:asciiTheme="minorEastAsia" w:hAnsiTheme="minorEastAsia" w:eastAsiaTheme="minorEastAsia"/>
          <w:b/>
          <w:color w:val="000000" w:themeColor="text1"/>
          <w:sz w:val="72"/>
          <w:highlight w:val="none"/>
          <w14:textFill>
            <w14:solidFill>
              <w14:schemeClr w14:val="tx1"/>
            </w14:solidFill>
          </w14:textFill>
        </w:rPr>
        <w:t>文</w:t>
      </w:r>
      <w:bookmarkEnd w:id="65"/>
    </w:p>
    <w:p>
      <w:pPr>
        <w:spacing w:line="900" w:lineRule="exact"/>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pPr>
        <w:jc w:val="center"/>
        <w:outlineLvl w:val="1"/>
        <w:rPr>
          <w:rFonts w:hint="eastAsia" w:asciiTheme="minorEastAsia" w:hAnsiTheme="minorEastAsia" w:eastAsiaTheme="minorEastAsia"/>
          <w:b/>
          <w:color w:val="000000" w:themeColor="text1"/>
          <w:sz w:val="72"/>
          <w:highlight w:val="none"/>
          <w14:textFill>
            <w14:solidFill>
              <w14:schemeClr w14:val="tx1"/>
            </w14:solidFill>
          </w14:textFill>
        </w:rPr>
      </w:pPr>
      <w:bookmarkStart w:id="66" w:name="_Toc10796"/>
      <w:r>
        <w:rPr>
          <w:rFonts w:hint="eastAsia" w:asciiTheme="minorEastAsia" w:hAnsiTheme="minorEastAsia" w:eastAsiaTheme="minorEastAsia"/>
          <w:b/>
          <w:color w:val="000000" w:themeColor="text1"/>
          <w:sz w:val="72"/>
          <w:highlight w:val="none"/>
          <w14:textFill>
            <w14:solidFill>
              <w14:schemeClr w14:val="tx1"/>
            </w14:solidFill>
          </w14:textFill>
        </w:rPr>
        <w:t>件</w:t>
      </w:r>
      <w:bookmarkEnd w:id="66"/>
    </w:p>
    <w:p>
      <w:pPr>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tabs>
          <w:tab w:val="left" w:pos="2410"/>
        </w:tabs>
        <w:autoSpaceDE w:val="0"/>
        <w:autoSpaceDN w:val="0"/>
        <w:adjustRightInd w:val="0"/>
        <w:snapToGrid w:val="0"/>
        <w:spacing w:line="360" w:lineRule="auto"/>
        <w:ind w:firstLine="643" w:firstLineChars="200"/>
        <w:rPr>
          <w:rFonts w:hint="eastAsia" w:ascii="宋体" w:hAnsi="宋体" w:eastAsia="宋体"/>
          <w:b/>
          <w:color w:val="000000" w:themeColor="text1"/>
          <w:spacing w:val="20"/>
          <w:kern w:val="0"/>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投 标 人：</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pPr>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pacing w:line="48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pPr>
        <w:spacing w:line="400" w:lineRule="exact"/>
        <w:ind w:firstLine="562" w:firstLineChars="200"/>
        <w:rPr>
          <w:rFonts w:hint="eastAsia" w:ascii="宋体" w:hAnsi="宋体" w:eastAsia="宋体" w:cs="宋体"/>
          <w:b/>
          <w:color w:val="000000" w:themeColor="text1"/>
          <w:sz w:val="28"/>
          <w:szCs w:val="28"/>
          <w:highlight w:val="none"/>
          <w:lang w:bidi="ar"/>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widowControl/>
        <w:jc w:val="center"/>
        <w:rPr>
          <w:rFonts w:hint="eastAsia" w:ascii="Times New Roman"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资格声明书（格式见附件）；                                                                                                                                                                                                                                                                                                                                                                                                                                                                                                                                                                                                                                                                                                                                                                                                                                                                                                                                                                                                                                                                                                                                                                                                                                                                                                                                                                                                                                                                                                                                                                                             </w:t>
      </w:r>
    </w:p>
    <w:p>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提供的有效营业执照</w:t>
      </w:r>
      <w:r>
        <w:rPr>
          <w:rFonts w:hint="eastAsia" w:ascii="宋体" w:hAnsi="宋体" w:eastAsia="宋体" w:cs="宋体"/>
          <w:color w:val="auto"/>
          <w:sz w:val="24"/>
          <w:szCs w:val="24"/>
          <w:highlight w:val="none"/>
          <w:lang w:val="en-US" w:eastAsia="zh-CN"/>
        </w:rPr>
        <w:t>或事业单位法人证书</w:t>
      </w:r>
      <w:r>
        <w:rPr>
          <w:rFonts w:hint="eastAsia" w:ascii="宋体" w:hAnsi="宋体" w:eastAsia="宋体" w:cs="宋体"/>
          <w:color w:val="auto"/>
          <w:sz w:val="24"/>
          <w:szCs w:val="24"/>
          <w:highlight w:val="none"/>
        </w:rPr>
        <w:t>；</w:t>
      </w:r>
    </w:p>
    <w:p>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（4）其他特定资格要求；</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pPr>
        <w:spacing w:line="360" w:lineRule="auto"/>
        <w:ind w:firstLine="484" w:firstLineChars="20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中要求的</w:t>
      </w:r>
      <w:r>
        <w:rPr>
          <w:rFonts w:hint="eastAsia" w:ascii="宋体" w:hAnsi="宋体" w:eastAsia="宋体" w:cs="宋体"/>
          <w:color w:val="auto"/>
          <w:sz w:val="24"/>
          <w:szCs w:val="24"/>
          <w:highlight w:val="none"/>
          <w:lang w:val="en-US" w:eastAsia="zh-CN"/>
        </w:rPr>
        <w:t>提供的其他相关</w:t>
      </w:r>
      <w:r>
        <w:rPr>
          <w:rFonts w:hint="eastAsia" w:ascii="宋体" w:hAnsi="宋体" w:eastAsia="宋体" w:cs="宋体"/>
          <w:color w:val="auto"/>
          <w:sz w:val="24"/>
          <w:szCs w:val="24"/>
          <w:highlight w:val="none"/>
        </w:rPr>
        <w:t>资料；</w:t>
      </w:r>
    </w:p>
    <w:p>
      <w:pPr>
        <w:spacing w:line="360" w:lineRule="auto"/>
        <w:ind w:firstLine="484" w:firstLineChars="202"/>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认为需要提供的其他证明材料；</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）其他（如有）。</w:t>
      </w: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一、投标人资格声明书</w:t>
      </w:r>
    </w:p>
    <w:p>
      <w:pPr>
        <w:pStyle w:val="25"/>
        <w:spacing w:before="0" w:beforeAutospacing="0" w:after="0" w:afterAutospacing="0" w:line="360" w:lineRule="auto"/>
        <w:ind w:firstLine="482"/>
        <w:jc w:val="both"/>
        <w:rPr>
          <w:rFonts w:hint="eastAsia" w:ascii="宋体" w:hAnsi="宋体" w:eastAsia="宋体" w:cs="宋体"/>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致：</w:t>
      </w:r>
      <w:r>
        <w:rPr>
          <w:rFonts w:hint="eastAsia" w:ascii="宋体" w:hAnsi="宋体" w:eastAsia="宋体" w:cs="宋体"/>
          <w:b/>
          <w:color w:val="000000" w:themeColor="text1"/>
          <w:kern w:val="2"/>
          <w:szCs w:val="24"/>
          <w:highlight w:val="none"/>
          <w:u w:val="single"/>
          <w:lang w:bidi="ar"/>
          <w14:textFill>
            <w14:solidFill>
              <w14:schemeClr w14:val="tx1"/>
            </w14:solidFill>
          </w14:textFill>
        </w:rPr>
        <w:t>采购人</w:t>
      </w:r>
    </w:p>
    <w:p>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在参与本次项目投标中，我单位承诺：</w:t>
      </w:r>
    </w:p>
    <w:p>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（一）具有良好的商业信誉和健全的财务会计制度；</w:t>
      </w:r>
    </w:p>
    <w:p>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（二）具有履行合同所必需的设备和专业技术能力；</w:t>
      </w:r>
    </w:p>
    <w:p>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（三）有依法缴纳税收和社会保障资金的良好记录；</w:t>
      </w:r>
    </w:p>
    <w:p>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autoSpaceDE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（五）我单位不存在为采购项目提供整体设计、规范编制或者项目管理、监理、检测等服务后，再参加该采购项目的其他采购活动的情形（单一来源采购项目除外）；</w:t>
      </w:r>
    </w:p>
    <w:p>
      <w:pPr>
        <w:widowControl/>
        <w:autoSpaceDE w:val="0"/>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（六）与我单位存在单位负责人为同一人或者存在直接控股、管理关系的其他法人单位信息如下（如有，不论其是否参加同一合同项下的政府采购活动均须填写）：</w:t>
      </w:r>
    </w:p>
    <w:tbl>
      <w:tblPr>
        <w:tblStyle w:val="4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spacing w:before="156" w:beforeLines="50" w:after="1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序号</w:t>
            </w:r>
          </w:p>
        </w:tc>
        <w:tc>
          <w:tcPr>
            <w:tcW w:w="2841" w:type="dxa"/>
            <w:tcBorders>
              <w:top w:val="single" w:color="auto" w:sz="4" w:space="0"/>
              <w:left w:val="nil"/>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单位名称</w:t>
            </w:r>
          </w:p>
        </w:tc>
        <w:tc>
          <w:tcPr>
            <w:tcW w:w="2841" w:type="dxa"/>
            <w:tcBorders>
              <w:top w:val="single" w:color="auto" w:sz="4" w:space="0"/>
              <w:left w:val="nil"/>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w:t>
            </w:r>
          </w:p>
        </w:tc>
        <w:tc>
          <w:tcPr>
            <w:tcW w:w="2841" w:type="dxa"/>
            <w:tcBorders>
              <w:top w:val="single" w:color="auto" w:sz="4" w:space="0"/>
              <w:left w:val="nil"/>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2</w:t>
            </w:r>
          </w:p>
        </w:tc>
        <w:tc>
          <w:tcPr>
            <w:tcW w:w="2841" w:type="dxa"/>
            <w:tcBorders>
              <w:top w:val="single" w:color="auto" w:sz="4" w:space="0"/>
              <w:left w:val="nil"/>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c>
          <w:tcPr>
            <w:tcW w:w="2841" w:type="dxa"/>
            <w:tcBorders>
              <w:top w:val="single" w:color="auto" w:sz="4" w:space="0"/>
              <w:left w:val="nil"/>
              <w:bottom w:val="single" w:color="auto" w:sz="4" w:space="0"/>
              <w:right w:val="single" w:color="auto" w:sz="4" w:space="0"/>
            </w:tcBorders>
            <w:shd w:val="clear" w:color="auto" w:fill="auto"/>
          </w:tcPr>
          <w:p>
            <w:pPr>
              <w:pStyle w:val="25"/>
              <w:autoSpaceDE w:val="0"/>
              <w:spacing w:before="156" w:beforeLines="50" w:beforeAutospacing="0" w:after="10" w:afterAutospacing="0"/>
              <w:jc w:val="center"/>
              <w:rPr>
                <w:rFonts w:hint="eastAsia" w:ascii="宋体" w:hAnsi="宋体" w:eastAsia="宋体" w:cs="宋体"/>
                <w:color w:val="000000" w:themeColor="text1"/>
                <w:szCs w:val="24"/>
                <w:highlight w:val="none"/>
                <w14:textFill>
                  <w14:solidFill>
                    <w14:schemeClr w14:val="tx1"/>
                  </w14:solidFill>
                </w14:textFill>
              </w:rPr>
            </w:pPr>
          </w:p>
        </w:tc>
      </w:tr>
    </w:tbl>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本单位对上述声明的真实性负责。如有虚假，将依法承担相应责任。</w:t>
      </w:r>
    </w:p>
    <w:p>
      <w:pPr>
        <w:spacing w:line="360" w:lineRule="auto"/>
        <w:ind w:firstLine="4800" w:firstLineChars="2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投标人 ：</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（盖 章）</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p>
    <w:p>
      <w:pPr>
        <w:spacing w:line="360" w:lineRule="auto"/>
        <w:ind w:firstLine="4800" w:firstLineChars="20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   期：</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p>
    <w:p>
      <w:pPr>
        <w:pStyle w:val="25"/>
        <w:spacing w:before="0" w:after="120" w:afterAutospacing="0"/>
        <w:ind w:firstLine="482"/>
        <w:jc w:val="center"/>
        <w:rPr>
          <w:rFonts w:hint="eastAsia"/>
          <w:b/>
          <w:color w:val="000000" w:themeColor="text1"/>
          <w:highlight w:val="none"/>
          <w:lang w:bidi="ar"/>
          <w14:textFill>
            <w14:solidFill>
              <w14:schemeClr w14:val="tx1"/>
            </w14:solidFill>
          </w14:textFill>
        </w:rPr>
      </w:pPr>
    </w:p>
    <w:p>
      <w:pPr>
        <w:pStyle w:val="25"/>
        <w:spacing w:before="0" w:after="120" w:afterAutospacing="0"/>
        <w:ind w:firstLine="482"/>
        <w:jc w:val="center"/>
        <w:rPr>
          <w:rFonts w:hint="eastAsia"/>
          <w:b/>
          <w:color w:val="000000" w:themeColor="text1"/>
          <w:highlight w:val="none"/>
          <w:lang w:bidi="ar"/>
          <w14:textFill>
            <w14:solidFill>
              <w14:schemeClr w14:val="tx1"/>
            </w14:solidFill>
          </w14:textFill>
        </w:rPr>
      </w:pPr>
    </w:p>
    <w:p>
      <w:pPr>
        <w:pStyle w:val="25"/>
        <w:spacing w:before="0" w:after="120" w:afterAutospacing="0"/>
        <w:ind w:firstLine="482"/>
        <w:jc w:val="center"/>
        <w:rPr>
          <w:rFonts w:hint="eastAsia"/>
          <w:b/>
          <w:color w:val="000000" w:themeColor="text1"/>
          <w:highlight w:val="none"/>
          <w:lang w:bidi="ar"/>
          <w14:textFill>
            <w14:solidFill>
              <w14:schemeClr w14:val="tx1"/>
            </w14:solidFill>
          </w14:textFill>
        </w:rPr>
      </w:pPr>
    </w:p>
    <w:p>
      <w:pPr>
        <w:pStyle w:val="25"/>
        <w:spacing w:before="0" w:after="120" w:afterAutospacing="0"/>
        <w:ind w:firstLine="482"/>
        <w:jc w:val="center"/>
        <w:rPr>
          <w:rFonts w:hint="eastAsia"/>
          <w:b/>
          <w:color w:val="000000" w:themeColor="text1"/>
          <w:highlight w:val="none"/>
          <w:lang w:bidi="ar"/>
          <w14:textFill>
            <w14:solidFill>
              <w14:schemeClr w14:val="tx1"/>
            </w14:solidFill>
          </w14:textFill>
        </w:rPr>
      </w:pPr>
    </w:p>
    <w:p>
      <w:pPr>
        <w:pStyle w:val="25"/>
        <w:spacing w:before="0" w:after="120" w:afterAutospacing="0"/>
        <w:ind w:firstLine="482"/>
        <w:jc w:val="center"/>
        <w:rPr>
          <w:rFonts w:hint="eastAsia"/>
          <w:b/>
          <w:color w:val="000000" w:themeColor="text1"/>
          <w:highlight w:val="none"/>
          <w:lang w:bidi="ar"/>
          <w14:textFill>
            <w14:solidFill>
              <w14:schemeClr w14:val="tx1"/>
            </w14:solidFill>
          </w14:textFill>
        </w:rPr>
      </w:pPr>
    </w:p>
    <w:p>
      <w:pPr>
        <w:pStyle w:val="25"/>
        <w:spacing w:before="0" w:after="120" w:afterAutospacing="0"/>
        <w:ind w:firstLine="482"/>
        <w:jc w:val="center"/>
        <w:rPr>
          <w:rFonts w:hint="eastAsia"/>
          <w:b/>
          <w:color w:val="000000" w:themeColor="text1"/>
          <w:highlight w:val="none"/>
          <w:lang w:bidi="ar"/>
          <w14:textFill>
            <w14:solidFill>
              <w14:schemeClr w14:val="tx1"/>
            </w14:solidFill>
          </w14:textFill>
        </w:rPr>
      </w:pPr>
    </w:p>
    <w:p>
      <w:pPr>
        <w:pStyle w:val="25"/>
        <w:spacing w:before="0" w:after="120" w:afterAutospacing="0"/>
        <w:ind w:firstLine="482"/>
        <w:jc w:val="center"/>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二、授权书</w:t>
      </w:r>
    </w:p>
    <w:p>
      <w:pPr>
        <w:pStyle w:val="25"/>
        <w:spacing w:before="0" w:beforeAutospacing="0" w:after="0" w:afterAutospacing="0" w:line="360" w:lineRule="auto"/>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本授权书声明：</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（投标人名称）授权</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（投标人授权代表姓名）代表我方参加本项目</w:t>
      </w:r>
      <w:r>
        <w:rPr>
          <w:rFonts w:hint="eastAsia" w:ascii="宋体" w:hAnsi="宋体" w:eastAsia="宋体" w:cs="宋体"/>
          <w:bCs/>
          <w:color w:val="000000" w:themeColor="text1"/>
          <w:sz w:val="24"/>
          <w:szCs w:val="24"/>
          <w:highlight w:val="none"/>
          <w:lang w:bidi="ar"/>
          <w14:textFill>
            <w14:solidFill>
              <w14:schemeClr w14:val="tx1"/>
            </w14:solidFill>
          </w14:textFill>
        </w:rPr>
        <w:t>采购活动</w:t>
      </w:r>
      <w:r>
        <w:rPr>
          <w:rFonts w:hint="eastAsia" w:ascii="宋体" w:hAnsi="宋体" w:eastAsia="宋体" w:cs="宋体"/>
          <w:color w:val="000000" w:themeColor="text1"/>
          <w:sz w:val="24"/>
          <w:szCs w:val="24"/>
          <w:highlight w:val="none"/>
          <w:lang w:bidi="ar"/>
          <w14:textFill>
            <w14:solidFill>
              <w14:schemeClr w14:val="tx1"/>
            </w14:solidFill>
          </w14:textFill>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本授权书自出具之日起生效。</w:t>
      </w:r>
    </w:p>
    <w:p>
      <w:pPr>
        <w:spacing w:line="360" w:lineRule="auto"/>
        <w:ind w:firstLine="48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授权代表身份证明复印件：</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授权代表联系方式：</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（请填写手机号码）</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特此声明。</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投标人</w:t>
      </w:r>
      <w:r>
        <w:rPr>
          <w:rFonts w:hint="eastAsia" w:asciiTheme="minorEastAsia" w:hAnsiTheme="minorEastAsia" w:eastAsiaTheme="minorEastAsia"/>
          <w:bCs/>
          <w:color w:val="000000" w:themeColor="text1"/>
          <w:sz w:val="24"/>
          <w:highlight w:val="none"/>
          <w14:textFill>
            <w14:solidFill>
              <w14:schemeClr w14:val="tx1"/>
            </w14:solidFill>
          </w14:textFill>
        </w:rPr>
        <w:t>盖章</w:t>
      </w:r>
      <w:r>
        <w:rPr>
          <w:rFonts w:hint="eastAsia" w:ascii="宋体" w:hAnsi="宋体" w:eastAsia="宋体" w:cs="宋体"/>
          <w:bCs/>
          <w:color w:val="000000" w:themeColor="text1"/>
          <w:sz w:val="24"/>
          <w:szCs w:val="24"/>
          <w:highlight w:val="none"/>
          <w:lang w:bidi="ar"/>
          <w14:textFill>
            <w14:solidFill>
              <w14:schemeClr w14:val="tx1"/>
            </w14:solidFill>
          </w14:textFill>
        </w:rPr>
        <w:t>：</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日  期：</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注：</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1.本项目只允许有唯一的投标人授权代表，提供身份证明复印件；</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2.法定代表人参加磋商的无需提供授权书，提供身份证明复印件。</w:t>
      </w: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color w:val="000000" w:themeColor="text1"/>
          <w:highlight w:val="none"/>
          <w:lang w:bidi="ar"/>
          <w14:textFill>
            <w14:solidFill>
              <w14:schemeClr w14:val="tx1"/>
            </w14:solidFill>
          </w14:textFill>
        </w:rPr>
        <w:br w:type="page"/>
      </w: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三、开标一览表</w:t>
      </w:r>
    </w:p>
    <w:tbl>
      <w:tblPr>
        <w:tblStyle w:val="4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项目名称</w:t>
            </w:r>
          </w:p>
        </w:tc>
        <w:tc>
          <w:tcPr>
            <w:tcW w:w="6218" w:type="dxa"/>
            <w:tcBorders>
              <w:top w:val="single" w:color="auto" w:sz="4" w:space="0"/>
              <w:bottom w:val="single" w:color="auto" w:sz="4" w:space="0"/>
              <w:right w:val="single" w:color="auto" w:sz="4" w:space="0"/>
            </w:tcBorders>
            <w:vAlign w:val="center"/>
          </w:tcPr>
          <w:p>
            <w:pPr>
              <w:spacing w:line="360" w:lineRule="exact"/>
              <w:jc w:val="center"/>
              <w:rPr>
                <w:rFonts w:hint="eastAsia" w:asciiTheme="minorEastAsia" w:hAnsiTheme="minorEastAsia" w:eastAsiaTheme="minorEastAsia"/>
                <w:bCs/>
                <w:color w:val="000000" w:themeColor="text1"/>
                <w:sz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2304" w:type="dxa"/>
            <w:tcBorders>
              <w:top w:val="nil"/>
            </w:tcBorders>
            <w:vAlign w:val="center"/>
          </w:tcPr>
          <w:p>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投标人全称</w:t>
            </w:r>
          </w:p>
        </w:tc>
        <w:tc>
          <w:tcPr>
            <w:tcW w:w="6218" w:type="dxa"/>
            <w:tcBorders>
              <w:top w:val="nil"/>
            </w:tcBorders>
            <w:vAlign w:val="center"/>
          </w:tcPr>
          <w:p>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2304" w:type="dxa"/>
            <w:tcBorders>
              <w:top w:val="nil"/>
            </w:tcBorders>
            <w:vAlign w:val="center"/>
          </w:tcPr>
          <w:p>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投标范围</w:t>
            </w:r>
          </w:p>
        </w:tc>
        <w:tc>
          <w:tcPr>
            <w:tcW w:w="6218" w:type="dxa"/>
            <w:tcBorders>
              <w:top w:val="nil"/>
            </w:tcBorders>
            <w:vAlign w:val="center"/>
          </w:tcPr>
          <w:p>
            <w:pPr>
              <w:widowControl/>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8" w:hRule="atLeast"/>
          <w:jc w:val="center"/>
        </w:trPr>
        <w:tc>
          <w:tcPr>
            <w:tcW w:w="2304" w:type="dxa"/>
            <w:tcBorders>
              <w:top w:val="nil"/>
            </w:tcBorders>
            <w:vAlign w:val="center"/>
          </w:tcPr>
          <w:p>
            <w:pPr>
              <w:spacing w:line="36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投标报价</w:t>
            </w:r>
          </w:p>
        </w:tc>
        <w:tc>
          <w:tcPr>
            <w:tcW w:w="6218" w:type="dxa"/>
            <w:tcBorders>
              <w:top w:val="nil"/>
            </w:tcBorders>
            <w:vAlign w:val="center"/>
          </w:tcPr>
          <w:p>
            <w:pPr>
              <w:snapToGrid w:val="0"/>
              <w:spacing w:line="360" w:lineRule="auto"/>
              <w:jc w:val="left"/>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大写：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pPr>
              <w:spacing w:line="360" w:lineRule="auto"/>
              <w:ind w:right="-670"/>
              <w:rPr>
                <w:rFonts w:hint="eastAsia" w:eastAsia="宋体" w:asciiTheme="minorEastAsia" w:hAnsiTheme="minorEastAsia"/>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小写：</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pPr>
              <w:spacing w:line="360" w:lineRule="auto"/>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其他</w:t>
            </w:r>
          </w:p>
        </w:tc>
        <w:tc>
          <w:tcPr>
            <w:tcW w:w="6218" w:type="dxa"/>
            <w:tcBorders>
              <w:top w:val="nil"/>
            </w:tcBorders>
            <w:vAlign w:val="center"/>
          </w:tcPr>
          <w:p>
            <w:pPr>
              <w:spacing w:line="360" w:lineRule="auto"/>
              <w:jc w:val="left"/>
              <w:rPr>
                <w:rFonts w:hint="eastAsia" w:asciiTheme="minorEastAsia" w:hAnsiTheme="minorEastAsia" w:eastAsiaTheme="minorEastAsia"/>
                <w:color w:val="000000" w:themeColor="text1"/>
                <w:sz w:val="24"/>
                <w:szCs w:val="28"/>
                <w:highlight w:val="none"/>
                <w14:textFill>
                  <w14:solidFill>
                    <w14:schemeClr w14:val="tx1"/>
                  </w14:solidFill>
                </w14:textFill>
              </w:rPr>
            </w:pPr>
          </w:p>
        </w:tc>
      </w:tr>
    </w:tbl>
    <w:p>
      <w:pPr>
        <w:spacing w:line="360" w:lineRule="auto"/>
        <w:ind w:firstLine="4320" w:firstLineChars="1800"/>
        <w:jc w:val="center"/>
        <w:rPr>
          <w:rFonts w:hint="eastAsia" w:asciiTheme="minorEastAsia" w:hAnsiTheme="minorEastAsia" w:eastAsiaTheme="minorEastAsia"/>
          <w:bCs/>
          <w:color w:val="000000" w:themeColor="text1"/>
          <w:sz w:val="24"/>
          <w:highlight w:val="none"/>
          <w14:textFill>
            <w14:solidFill>
              <w14:schemeClr w14:val="tx1"/>
            </w14:solidFill>
          </w14:textFill>
        </w:rPr>
      </w:pPr>
    </w:p>
    <w:p>
      <w:pPr>
        <w:spacing w:line="360" w:lineRule="auto"/>
        <w:ind w:firstLine="4320" w:firstLineChars="1800"/>
        <w:jc w:val="center"/>
        <w:rPr>
          <w:rFonts w:hint="eastAsia" w:asciiTheme="minorEastAsia" w:hAnsiTheme="minorEastAsia" w:eastAsiaTheme="minorEastAsia"/>
          <w:bCs/>
          <w:color w:val="000000" w:themeColor="text1"/>
          <w:sz w:val="24"/>
          <w:highlight w:val="none"/>
          <w:u w:val="singl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投标人盖章：</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pPr>
        <w:spacing w:line="360" w:lineRule="auto"/>
        <w:ind w:firstLine="4320" w:firstLineChars="1800"/>
        <w:jc w:val="center"/>
        <w:rPr>
          <w:rFonts w:hint="eastAsia"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日      期：</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     </w:t>
      </w:r>
    </w:p>
    <w:p>
      <w:pPr>
        <w:spacing w:line="360" w:lineRule="auto"/>
        <w:ind w:firstLine="360" w:firstLineChars="150"/>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注：</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此表用于开标唱标之用。</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任何有选择或有条件的投标报价，或者表中某一包别填写多个报价，均为无效报价。</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3.表中大写金额与小写金额不一致的，以大写金额为准。</w:t>
      </w:r>
      <w:r>
        <w:rPr>
          <w:rFonts w:asciiTheme="minorEastAsia" w:hAnsiTheme="minorEastAsia" w:eastAsiaTheme="minorEastAsia"/>
          <w:color w:val="000000" w:themeColor="text1"/>
          <w:sz w:val="24"/>
          <w:highlight w:val="none"/>
          <w14:textFill>
            <w14:solidFill>
              <w14:schemeClr w14:val="tx1"/>
            </w14:solidFill>
          </w14:textFill>
        </w:rPr>
        <w:br w:type="page"/>
      </w: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四、投标函</w:t>
      </w:r>
    </w:p>
    <w:p>
      <w:pPr>
        <w:pStyle w:val="18"/>
        <w:spacing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根据贵方的招标公告和投标邀请，我方兹宣布同意如下：</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我方根据招标文件的规定，严格履行合同的责任和义务,并保证于买方要求的日期内完成，并通过买方验收。</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2.我方已详细审核全部招标文件，包括招标文件附件及更正公告（如有），我方正式认可并遵守本次招标文件，并对招标文件各项条款、规定及要求均无异议。</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3.我方同意从招标文件规定的开标日期起遵循本招标文件，并在招标文件规定的投标有效期之前均具有约束力。</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800" w:firstLineChars="2000"/>
        <w:rPr>
          <w:rFonts w:hint="eastAsia" w:ascii="宋体" w:hAnsi="宋体" w:eastAsia="宋体"/>
          <w:color w:val="000000" w:themeColor="text1"/>
          <w:sz w:val="24"/>
          <w:highlight w:val="none"/>
          <w14:textFill>
            <w14:solidFill>
              <w14:schemeClr w14:val="tx1"/>
            </w14:solidFill>
          </w14:textFill>
        </w:rPr>
      </w:pPr>
    </w:p>
    <w:p>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投标人盖章：</w:t>
      </w:r>
      <w:r>
        <w:rPr>
          <w:rFonts w:hint="eastAsia" w:ascii="宋体" w:hAnsi="宋体" w:eastAsia="宋体"/>
          <w:color w:val="000000" w:themeColor="text1"/>
          <w:sz w:val="24"/>
          <w:highlight w:val="none"/>
          <w:u w:val="single"/>
          <w14:textFill>
            <w14:solidFill>
              <w14:schemeClr w14:val="tx1"/>
            </w14:solidFill>
          </w14:textFill>
        </w:rPr>
        <w:t xml:space="preserve">             </w:t>
      </w:r>
    </w:p>
    <w:p>
      <w:pPr>
        <w:spacing w:line="360" w:lineRule="auto"/>
        <w:ind w:firstLine="4800" w:firstLineChars="2000"/>
        <w:rPr>
          <w:rFonts w:hint="eastAsia" w:ascii="宋体" w:hAnsi="宋体" w:eastAsia="宋体"/>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日      期：</w:t>
      </w:r>
      <w:r>
        <w:rPr>
          <w:rFonts w:hint="eastAsia" w:ascii="宋体" w:hAnsi="宋体" w:eastAsia="宋体"/>
          <w:color w:val="000000" w:themeColor="text1"/>
          <w:sz w:val="24"/>
          <w:highlight w:val="none"/>
          <w:u w:val="single"/>
          <w14:textFill>
            <w14:solidFill>
              <w14:schemeClr w14:val="tx1"/>
            </w14:solidFill>
          </w14:textFill>
        </w:rPr>
        <w:t xml:space="preserve">             </w:t>
      </w:r>
    </w:p>
    <w:p>
      <w:pPr>
        <w:widowControl/>
        <w:jc w:val="left"/>
        <w:rPr>
          <w:rFonts w:hint="eastAsia" w:ascii="宋体" w:hAnsi="宋体" w:eastAsia="宋体"/>
          <w:color w:val="000000" w:themeColor="text1"/>
          <w:sz w:val="24"/>
          <w:highlight w:val="none"/>
          <w:u w:val="single"/>
          <w14:textFill>
            <w14:solidFill>
              <w14:schemeClr w14:val="tx1"/>
            </w14:solidFill>
          </w14:textFill>
        </w:rPr>
      </w:pPr>
      <w:r>
        <w:rPr>
          <w:rFonts w:ascii="宋体" w:hAnsi="宋体" w:eastAsia="宋体"/>
          <w:color w:val="000000" w:themeColor="text1"/>
          <w:sz w:val="24"/>
          <w:highlight w:val="none"/>
          <w:u w:val="single"/>
          <w14:textFill>
            <w14:solidFill>
              <w14:schemeClr w14:val="tx1"/>
            </w14:solidFill>
          </w14:textFill>
        </w:rPr>
        <w:br w:type="page"/>
      </w:r>
    </w:p>
    <w:p>
      <w:pPr>
        <w:spacing w:line="360" w:lineRule="auto"/>
        <w:ind w:firstLine="435"/>
        <w:jc w:val="cente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五、投标报价表</w:t>
      </w:r>
    </w:p>
    <w:tbl>
      <w:tblPr>
        <w:tblStyle w:val="40"/>
        <w:tblW w:w="88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21"/>
        <w:gridCol w:w="1571"/>
        <w:gridCol w:w="1215"/>
        <w:gridCol w:w="900"/>
        <w:gridCol w:w="1378"/>
        <w:gridCol w:w="109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1"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仿宋_GB2312"/>
                <w:b/>
                <w:kern w:val="2"/>
                <w:szCs w:val="24"/>
              </w:rPr>
            </w:pPr>
            <w:r>
              <w:rPr>
                <w:rFonts w:hint="eastAsia" w:ascii="宋体" w:hAnsi="宋体" w:eastAsia="宋体" w:cs="宋体"/>
                <w:b/>
                <w:kern w:val="2"/>
                <w:szCs w:val="24"/>
                <w:lang w:bidi="ar"/>
              </w:rPr>
              <w:t>序号</w:t>
            </w:r>
          </w:p>
        </w:tc>
        <w:tc>
          <w:tcPr>
            <w:tcW w:w="28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货物名称</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单位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数量</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综合单价</w:t>
            </w:r>
          </w:p>
          <w:p>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小计</w:t>
            </w:r>
          </w:p>
          <w:p>
            <w:pPr>
              <w:jc w:val="center"/>
              <w:rPr>
                <w:rFonts w:hint="eastAsia" w:ascii="宋体" w:hAnsi="宋体" w:eastAsia="宋体"/>
                <w:b/>
                <w:sz w:val="24"/>
                <w:szCs w:val="24"/>
              </w:rPr>
            </w:pPr>
            <w:r>
              <w:rPr>
                <w:rFonts w:hint="eastAsia" w:ascii="宋体" w:hAnsi="宋体" w:eastAsia="宋体" w:cs="宋体"/>
                <w:b/>
                <w:sz w:val="24"/>
                <w:szCs w:val="24"/>
                <w:lang w:bidi="ar"/>
              </w:rPr>
              <w:t>（元）</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b/>
                <w:sz w:val="24"/>
                <w:szCs w:val="24"/>
              </w:rPr>
            </w:pPr>
            <w:r>
              <w:rPr>
                <w:rFonts w:hint="eastAsia" w:ascii="宋体" w:hAnsi="宋体" w:eastAsia="宋体" w:cs="宋体"/>
                <w:b/>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28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胸腔镜手术器械</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套</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lang w:val="en-US" w:eastAsia="zh-CN" w:bidi="ar"/>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sz w:val="24"/>
                <w:szCs w:val="24"/>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jc w:val="center"/>
        </w:trPr>
        <w:tc>
          <w:tcPr>
            <w:tcW w:w="1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Arial"/>
                <w:kern w:val="2"/>
                <w:szCs w:val="24"/>
              </w:rPr>
            </w:pPr>
            <w:r>
              <w:rPr>
                <w:rFonts w:hint="eastAsia" w:ascii="宋体" w:hAnsi="宋体" w:eastAsia="宋体" w:cs="宋体"/>
                <w:kern w:val="2"/>
                <w:szCs w:val="24"/>
                <w:lang w:bidi="ar"/>
              </w:rPr>
              <w:t>合计（元）</w:t>
            </w:r>
          </w:p>
        </w:tc>
        <w:tc>
          <w:tcPr>
            <w:tcW w:w="68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hint="eastAsia" w:ascii="宋体" w:hAnsi="宋体" w:eastAsia="宋体"/>
                <w:sz w:val="24"/>
                <w:szCs w:val="24"/>
              </w:rPr>
            </w:pPr>
            <w:r>
              <w:rPr>
                <w:rFonts w:hint="eastAsia" w:ascii="宋体" w:hAnsi="宋体" w:eastAsia="宋体" w:cs="宋体"/>
                <w:sz w:val="24"/>
                <w:szCs w:val="24"/>
                <w:lang w:bidi="ar"/>
              </w:rPr>
              <w:t>大写：</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；小写：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 。（填入开标一览表）</w:t>
            </w:r>
          </w:p>
        </w:tc>
      </w:tr>
    </w:tbl>
    <w:p>
      <w:pPr>
        <w:spacing w:line="360" w:lineRule="auto"/>
        <w:ind w:firstLine="435"/>
        <w:rPr>
          <w:rFonts w:hint="eastAsia" w:ascii="宋体" w:hAnsi="宋体" w:eastAsia="宋体" w:cs="宋体"/>
          <w:color w:val="000000" w:themeColor="text1"/>
          <w:sz w:val="24"/>
          <w:szCs w:val="24"/>
          <w:highlight w:val="none"/>
          <w:lang w:bidi="ar"/>
          <w14:textFill>
            <w14:solidFill>
              <w14:schemeClr w14:val="tx1"/>
            </w14:solidFill>
          </w14:textFill>
        </w:rPr>
      </w:pPr>
    </w:p>
    <w:p>
      <w:pPr>
        <w:spacing w:line="360" w:lineRule="auto"/>
        <w:ind w:firstLine="435"/>
        <w:rPr>
          <w:rFonts w:hint="eastAsia" w:ascii="宋体" w:hAnsi="宋体" w:eastAsia="宋体" w:cs="宋体"/>
          <w:color w:val="0000FF"/>
          <w:sz w:val="24"/>
          <w:szCs w:val="24"/>
          <w:lang w:bidi="ar"/>
        </w:rPr>
      </w:pPr>
      <w:r>
        <w:rPr>
          <w:rFonts w:hint="eastAsia" w:ascii="宋体" w:hAnsi="宋体" w:eastAsia="宋体" w:cs="宋体"/>
          <w:color w:val="0000FF"/>
          <w:sz w:val="24"/>
          <w:szCs w:val="24"/>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pPr>
        <w:widowControl/>
        <w:jc w:val="center"/>
        <w:rPr>
          <w:rFonts w:hint="eastAsia" w:ascii="宋体" w:hAnsi="宋体" w:eastAsia="宋体" w:cs="宋体"/>
          <w:b/>
          <w:sz w:val="24"/>
          <w:szCs w:val="24"/>
          <w:lang w:bidi="ar"/>
        </w:rPr>
      </w:pPr>
    </w:p>
    <w:p>
      <w:pPr>
        <w:spacing w:line="360" w:lineRule="auto"/>
        <w:ind w:firstLine="4800" w:firstLineChars="2000"/>
        <w:rPr>
          <w:rFonts w:hint="eastAsia" w:ascii="宋体" w:hAnsi="宋体" w:eastAsia="宋体" w:cs="宋体"/>
          <w:color w:val="000000" w:themeColor="text1"/>
          <w:sz w:val="24"/>
          <w:szCs w:val="24"/>
          <w:highlight w:val="none"/>
          <w:lang w:bidi="ar"/>
          <w14:textFill>
            <w14:solidFill>
              <w14:schemeClr w14:val="tx1"/>
            </w14:solidFill>
          </w14:textFill>
        </w:rPr>
      </w:pPr>
    </w:p>
    <w:p>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投标人盖章：</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期：</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pPr>
        <w:pStyle w:val="25"/>
        <w:spacing w:before="0" w:beforeAutospacing="0" w:after="0" w:afterAutospacing="0" w:line="360" w:lineRule="auto"/>
        <w:jc w:val="both"/>
        <w:rPr>
          <w:rFonts w:hint="eastAsia" w:ascii="宋体" w:hAnsi="宋体" w:eastAsia="宋体" w:cs="Arial"/>
          <w:color w:val="000000" w:themeColor="text1"/>
          <w:kern w:val="2"/>
          <w:szCs w:val="24"/>
          <w:highlight w:val="none"/>
          <w:lang w:bidi="ar"/>
          <w14:textFill>
            <w14:solidFill>
              <w14:schemeClr w14:val="tx1"/>
            </w14:solidFill>
          </w14:textFill>
        </w:rPr>
      </w:pPr>
      <w:r>
        <w:rPr>
          <w:rFonts w:hint="eastAsia" w:ascii="宋体" w:hAnsi="宋体" w:eastAsia="宋体" w:cs="Arial"/>
          <w:color w:val="000000" w:themeColor="text1"/>
          <w:kern w:val="2"/>
          <w:szCs w:val="24"/>
          <w:highlight w:val="none"/>
          <w:lang w:bidi="ar"/>
          <w14:textFill>
            <w14:solidFill>
              <w14:schemeClr w14:val="tx1"/>
            </w14:solidFill>
          </w14:textFill>
        </w:rPr>
        <w:br w:type="page"/>
      </w:r>
    </w:p>
    <w:p>
      <w:pPr>
        <w:spacing w:line="360" w:lineRule="auto"/>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spacing w:line="360" w:lineRule="auto"/>
        <w:jc w:val="center"/>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六、投标响应表</w:t>
      </w:r>
    </w:p>
    <w:p>
      <w:pPr>
        <w:spacing w:line="360" w:lineRule="auto"/>
        <w:ind w:firstLine="435"/>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1.商务响应表</w:t>
      </w:r>
    </w:p>
    <w:tbl>
      <w:tblPr>
        <w:tblStyle w:val="4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序号</w:t>
            </w:r>
          </w:p>
        </w:tc>
        <w:tc>
          <w:tcPr>
            <w:tcW w:w="1916"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bCs/>
                <w:color w:val="000000" w:themeColor="text1"/>
                <w:kern w:val="2"/>
                <w:szCs w:val="24"/>
                <w:highlight w:val="none"/>
                <w:lang w:bidi="ar"/>
                <w14:textFill>
                  <w14:solidFill>
                    <w14:schemeClr w14:val="tx1"/>
                  </w14:solidFill>
                </w14:textFill>
              </w:rPr>
              <w:t>商务条款</w:t>
            </w:r>
          </w:p>
        </w:tc>
        <w:tc>
          <w:tcPr>
            <w:tcW w:w="2498"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招标文件要求</w:t>
            </w:r>
          </w:p>
        </w:tc>
        <w:tc>
          <w:tcPr>
            <w:tcW w:w="2575"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投标人承诺</w:t>
            </w:r>
          </w:p>
        </w:tc>
        <w:tc>
          <w:tcPr>
            <w:tcW w:w="810"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color w:val="000000" w:themeColor="text1"/>
                <w:kern w:val="2"/>
                <w:szCs w:val="24"/>
                <w:highlight w:val="none"/>
                <w14:textFill>
                  <w14:solidFill>
                    <w14:schemeClr w14:val="tx1"/>
                  </w14:solidFill>
                </w14:textFill>
              </w:rPr>
            </w:pPr>
            <w:r>
              <w:rPr>
                <w:rFonts w:hint="eastAsia" w:ascii="宋体" w:hAnsi="宋体" w:eastAsia="宋体" w:cs="宋体"/>
                <w:b/>
                <w:color w:val="000000" w:themeColor="text1"/>
                <w:kern w:val="2"/>
                <w:szCs w:val="24"/>
                <w:highlight w:val="none"/>
                <w:lang w:bidi="ar"/>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付款方式</w:t>
            </w:r>
          </w:p>
        </w:tc>
        <w:tc>
          <w:tcPr>
            <w:tcW w:w="249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供货及安装地点</w:t>
            </w:r>
          </w:p>
        </w:tc>
        <w:tc>
          <w:tcPr>
            <w:tcW w:w="249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供货及安装期限</w:t>
            </w:r>
          </w:p>
        </w:tc>
        <w:tc>
          <w:tcPr>
            <w:tcW w:w="249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Arial"/>
                <w:color w:val="000000" w:themeColor="text1"/>
                <w:kern w:val="2"/>
                <w:szCs w:val="24"/>
                <w:highlight w:val="none"/>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4</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质保期限</w:t>
            </w:r>
          </w:p>
        </w:tc>
        <w:tc>
          <w:tcPr>
            <w:tcW w:w="249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Arial"/>
                <w:color w:val="000000" w:themeColor="text1"/>
                <w:kern w:val="2"/>
                <w:szCs w:val="24"/>
                <w:highlight w:val="none"/>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w:t>
            </w:r>
          </w:p>
        </w:tc>
        <w:tc>
          <w:tcPr>
            <w:tcW w:w="191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249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25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c>
          <w:tcPr>
            <w:tcW w:w="81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olor w:val="000000" w:themeColor="text1"/>
                <w:sz w:val="24"/>
                <w:szCs w:val="24"/>
                <w:highlight w:val="none"/>
                <w14:textFill>
                  <w14:solidFill>
                    <w14:schemeClr w14:val="tx1"/>
                  </w14:solidFill>
                </w14:textFill>
              </w:rPr>
            </w:pPr>
          </w:p>
        </w:tc>
      </w:tr>
    </w:tbl>
    <w:p>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投标人盖章：</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pPr>
        <w:spacing w:line="360" w:lineRule="auto"/>
        <w:ind w:firstLine="4809" w:firstLineChars="2004"/>
        <w:rPr>
          <w:rFonts w:hint="eastAsia" w:ascii="宋体" w:hAnsi="宋体" w:eastAsia="宋体" w:cs="宋体"/>
          <w:b/>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期：</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pPr>
        <w:spacing w:line="360" w:lineRule="auto"/>
        <w:ind w:firstLine="435"/>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2.技术响应表</w:t>
      </w:r>
    </w:p>
    <w:tbl>
      <w:tblPr>
        <w:tblStyle w:val="40"/>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87"/>
        <w:gridCol w:w="2548"/>
        <w:gridCol w:w="2035"/>
        <w:gridCol w:w="939"/>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387"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2548"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招标文件规定的技术参数及要求</w:t>
            </w:r>
          </w:p>
        </w:tc>
        <w:tc>
          <w:tcPr>
            <w:tcW w:w="2035"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所投产品的品牌、型号及技术参数</w:t>
            </w:r>
          </w:p>
        </w:tc>
        <w:tc>
          <w:tcPr>
            <w:tcW w:w="939"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是否响应</w:t>
            </w:r>
          </w:p>
        </w:tc>
        <w:tc>
          <w:tcPr>
            <w:tcW w:w="933"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54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0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939" w:type="dxa"/>
            <w:tcBorders>
              <w:top w:val="single" w:color="auto" w:sz="4" w:space="0"/>
              <w:left w:val="nil"/>
              <w:bottom w:val="single" w:color="auto" w:sz="4" w:space="0"/>
              <w:right w:val="single" w:color="auto" w:sz="4" w:space="0"/>
            </w:tcBorders>
            <w:shd w:val="clear" w:color="auto" w:fill="auto"/>
            <w:vAlign w:val="center"/>
          </w:tcPr>
          <w:p>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9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38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54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0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939" w:type="dxa"/>
            <w:tcBorders>
              <w:top w:val="single" w:color="auto" w:sz="4" w:space="0"/>
              <w:left w:val="nil"/>
              <w:bottom w:val="single" w:color="auto" w:sz="4" w:space="0"/>
              <w:right w:val="single" w:color="auto" w:sz="4" w:space="0"/>
            </w:tcBorders>
            <w:shd w:val="clear" w:color="auto" w:fill="auto"/>
            <w:vAlign w:val="center"/>
          </w:tcPr>
          <w:p>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9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38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54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035"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Arial"/>
                <w:kern w:val="2"/>
                <w:szCs w:val="24"/>
              </w:rPr>
            </w:pPr>
          </w:p>
        </w:tc>
        <w:tc>
          <w:tcPr>
            <w:tcW w:w="939" w:type="dxa"/>
            <w:tcBorders>
              <w:top w:val="single" w:color="auto" w:sz="4" w:space="0"/>
              <w:left w:val="nil"/>
              <w:bottom w:val="single" w:color="auto" w:sz="4" w:space="0"/>
              <w:right w:val="single" w:color="auto" w:sz="4" w:space="0"/>
            </w:tcBorders>
            <w:shd w:val="clear" w:color="auto" w:fill="auto"/>
            <w:vAlign w:val="center"/>
          </w:tcPr>
          <w:p>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9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sz w:val="24"/>
                <w:szCs w:val="24"/>
                <w:lang w:val="en-US" w:eastAsia="zh-CN"/>
              </w:rPr>
            </w:pPr>
            <w:r>
              <w:rPr>
                <w:rFonts w:hint="eastAsia" w:ascii="宋体" w:hAnsi="宋体" w:eastAsia="宋体" w:cs="宋体"/>
                <w:sz w:val="24"/>
                <w:szCs w:val="24"/>
                <w:lang w:val="en-US" w:eastAsia="zh-CN" w:bidi="ar"/>
              </w:rPr>
              <w:t>4</w:t>
            </w:r>
          </w:p>
        </w:tc>
        <w:tc>
          <w:tcPr>
            <w:tcW w:w="138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54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035" w:type="dxa"/>
            <w:tcBorders>
              <w:top w:val="single" w:color="auto" w:sz="4" w:space="0"/>
              <w:left w:val="nil"/>
              <w:bottom w:val="single" w:color="auto" w:sz="4" w:space="0"/>
              <w:right w:val="single" w:color="auto" w:sz="4" w:space="0"/>
            </w:tcBorders>
            <w:shd w:val="clear" w:color="auto" w:fill="auto"/>
            <w:vAlign w:val="center"/>
          </w:tcPr>
          <w:p>
            <w:pPr>
              <w:pStyle w:val="25"/>
              <w:spacing w:before="0" w:beforeAutospacing="0" w:after="0" w:afterAutospacing="0"/>
              <w:jc w:val="center"/>
              <w:rPr>
                <w:rFonts w:hint="eastAsia" w:ascii="宋体" w:hAnsi="宋体" w:eastAsia="宋体" w:cs="Arial"/>
                <w:kern w:val="2"/>
                <w:szCs w:val="24"/>
              </w:rPr>
            </w:pPr>
          </w:p>
        </w:tc>
        <w:tc>
          <w:tcPr>
            <w:tcW w:w="939" w:type="dxa"/>
            <w:tcBorders>
              <w:top w:val="single" w:color="auto" w:sz="4" w:space="0"/>
              <w:left w:val="nil"/>
              <w:bottom w:val="single" w:color="auto" w:sz="4" w:space="0"/>
              <w:right w:val="single" w:color="auto" w:sz="4" w:space="0"/>
            </w:tcBorders>
            <w:shd w:val="clear" w:color="auto" w:fill="auto"/>
            <w:vAlign w:val="center"/>
          </w:tcPr>
          <w:p>
            <w:pPr>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是/否</w:t>
            </w:r>
          </w:p>
        </w:tc>
        <w:tc>
          <w:tcPr>
            <w:tcW w:w="9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38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548"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20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c>
          <w:tcPr>
            <w:tcW w:w="939"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right="-92" w:rightChars="-44"/>
              <w:jc w:val="center"/>
              <w:rPr>
                <w:rFonts w:hint="eastAsia" w:ascii="宋体" w:hAnsi="宋体" w:eastAsia="宋体" w:cs="宋体"/>
                <w:b/>
                <w:kern w:val="2"/>
                <w:sz w:val="24"/>
                <w:szCs w:val="24"/>
                <w:lang w:val="en-US" w:eastAsia="zh-CN" w:bidi="ar"/>
              </w:rPr>
            </w:pPr>
            <w:r>
              <w:rPr>
                <w:rFonts w:hint="eastAsia" w:ascii="宋体" w:hAnsi="宋体" w:eastAsia="宋体" w:cs="宋体"/>
                <w:b/>
                <w:kern w:val="2"/>
                <w:sz w:val="24"/>
                <w:szCs w:val="24"/>
                <w:lang w:val="en-US" w:eastAsia="zh-CN" w:bidi="ar"/>
              </w:rPr>
              <w:t>…</w:t>
            </w:r>
          </w:p>
        </w:tc>
        <w:tc>
          <w:tcPr>
            <w:tcW w:w="93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sz w:val="24"/>
                <w:szCs w:val="24"/>
              </w:rPr>
            </w:pPr>
          </w:p>
        </w:tc>
      </w:tr>
    </w:tbl>
    <w:p>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投标人盖章：</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pPr>
        <w:spacing w:line="360" w:lineRule="auto"/>
        <w:ind w:firstLine="4800" w:firstLineChars="2000"/>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w:t>
      </w: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期：</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pPr>
        <w:pStyle w:val="25"/>
        <w:spacing w:before="0" w:beforeAutospacing="0" w:after="0" w:afterAutospacing="0" w:line="360" w:lineRule="auto"/>
        <w:jc w:val="both"/>
        <w:rPr>
          <w:rFonts w:hint="eastAsia" w:ascii="宋体" w:hAnsi="宋体" w:eastAsia="宋体" w:cs="宋体"/>
          <w:b/>
          <w:color w:val="000000" w:themeColor="text1"/>
          <w:sz w:val="24"/>
          <w:szCs w:val="24"/>
          <w:highlight w:val="none"/>
          <w:lang w:bidi="ar"/>
          <w14:textFill>
            <w14:solidFill>
              <w14:schemeClr w14:val="tx1"/>
            </w14:solidFill>
          </w14:textFill>
        </w:rPr>
      </w:pPr>
      <w:r>
        <w:rPr>
          <w:rFonts w:hint="eastAsia" w:ascii="宋体" w:hAnsi="宋体" w:eastAsia="宋体" w:cs="Arial"/>
          <w:color w:val="000000" w:themeColor="text1"/>
          <w:kern w:val="2"/>
          <w:szCs w:val="24"/>
          <w:highlight w:val="none"/>
          <w:lang w:bidi="ar"/>
          <w14:textFill>
            <w14:solidFill>
              <w14:schemeClr w14:val="tx1"/>
            </w14:solidFill>
          </w14:textFill>
        </w:rPr>
        <w:br w:type="page"/>
      </w:r>
    </w:p>
    <w:p>
      <w:pPr>
        <w:spacing w:line="360" w:lineRule="auto"/>
        <w:jc w:val="center"/>
        <w:outlineLvl w:val="1"/>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bidi="ar"/>
          <w14:textFill>
            <w14:solidFill>
              <w14:schemeClr w14:val="tx1"/>
            </w14:solidFill>
          </w14:textFill>
        </w:rPr>
        <w:t>七</w:t>
      </w:r>
      <w:r>
        <w:rPr>
          <w:rFonts w:hint="eastAsia" w:ascii="宋体" w:hAnsi="宋体" w:eastAsia="宋体" w:cs="宋体"/>
          <w:b/>
          <w:color w:val="000000" w:themeColor="text1"/>
          <w:sz w:val="24"/>
          <w:szCs w:val="24"/>
          <w:highlight w:val="none"/>
          <w:lang w:bidi="ar"/>
          <w14:textFill>
            <w14:solidFill>
              <w14:schemeClr w14:val="tx1"/>
            </w14:solidFill>
          </w14:textFill>
        </w:rPr>
        <w:t>、诚信履约承诺函</w:t>
      </w:r>
    </w:p>
    <w:p>
      <w:pPr>
        <w:spacing w:line="360" w:lineRule="auto"/>
        <w:rPr>
          <w:rFonts w:hint="eastAsia" w:ascii="宋体" w:hAnsi="宋体" w:eastAsia="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致：采购人</w:t>
      </w:r>
    </w:p>
    <w:p>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（1）中标或者成交后无正当理由拒不与采购人签订政府采购合同；</w:t>
      </w:r>
    </w:p>
    <w:p>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（2）未按照采购文件确定的事项签订政府采购合同；</w:t>
      </w:r>
    </w:p>
    <w:p>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（3）将政府采购合同转包；</w:t>
      </w:r>
    </w:p>
    <w:p>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（4）提供假冒伪劣产品；</w:t>
      </w:r>
    </w:p>
    <w:p>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（5）擅自变更、中止或者终止政府采购合同。</w:t>
      </w:r>
    </w:p>
    <w:p>
      <w:pPr>
        <w:spacing w:line="360" w:lineRule="auto"/>
        <w:ind w:firstLine="480" w:firstLineChars="2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本承诺声明：</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（投标人名称）</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对本招标文件的相关要求完全响应。若有幸中标将严格按照以上承诺进行供货和服务。</w:t>
      </w:r>
    </w:p>
    <w:p>
      <w:pPr>
        <w:spacing w:line="360" w:lineRule="auto"/>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bCs/>
          <w:color w:val="000000" w:themeColor="text1"/>
          <w:sz w:val="24"/>
          <w:szCs w:val="24"/>
          <w:highlight w:val="none"/>
          <w:lang w:bidi="ar"/>
          <w14:textFill>
            <w14:solidFill>
              <w14:schemeClr w14:val="tx1"/>
            </w14:solidFill>
          </w14:textFill>
        </w:rPr>
        <w:t xml:space="preserve"> </w:t>
      </w:r>
    </w:p>
    <w:p>
      <w:pPr>
        <w:spacing w:line="360" w:lineRule="auto"/>
        <w:ind w:firstLine="4320" w:firstLineChars="1800"/>
        <w:rPr>
          <w:rFonts w:hint="eastAsia" w:ascii="宋体" w:hAnsi="宋体" w:eastAsia="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投标人盖章：</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p>
    <w:p>
      <w:pPr>
        <w:spacing w:line="360" w:lineRule="auto"/>
        <w:ind w:firstLine="4320" w:firstLineChars="1800"/>
        <w:rPr>
          <w:rFonts w:hint="eastAsia" w:ascii="宋体" w:hAnsi="宋体" w:eastAsia="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期：</w:t>
      </w:r>
      <w:r>
        <w:rPr>
          <w:rFonts w:hint="eastAsia" w:ascii="宋体" w:hAnsi="宋体" w:eastAsia="宋体"/>
          <w:bCs/>
          <w:color w:val="000000" w:themeColor="text1"/>
          <w:sz w:val="24"/>
          <w:szCs w:val="24"/>
          <w:highlight w:val="none"/>
          <w:u w:val="single"/>
          <w:lang w:bidi="ar"/>
          <w14:textFill>
            <w14:solidFill>
              <w14:schemeClr w14:val="tx1"/>
            </w14:solidFill>
          </w14:textFill>
        </w:rPr>
        <w:t xml:space="preserve">             </w:t>
      </w:r>
    </w:p>
    <w:p>
      <w:pPr>
        <w:widowControl/>
        <w:jc w:val="left"/>
        <w:rPr>
          <w:rFonts w:hint="eastAsia" w:ascii="宋体" w:hAnsi="宋体" w:eastAsia="宋体" w:cs="Arial"/>
          <w:color w:val="000000" w:themeColor="text1"/>
          <w:sz w:val="24"/>
          <w:szCs w:val="24"/>
          <w:highlight w:val="none"/>
          <w14:textFill>
            <w14:solidFill>
              <w14:schemeClr w14:val="tx1"/>
            </w14:solidFill>
          </w14:textFill>
        </w:rPr>
      </w:pPr>
      <w:r>
        <w:rPr>
          <w:rFonts w:hint="eastAsia" w:ascii="宋体" w:hAnsi="宋体" w:eastAsia="宋体" w:cs="Arial"/>
          <w:color w:val="000000" w:themeColor="text1"/>
          <w:sz w:val="24"/>
          <w:szCs w:val="24"/>
          <w:highlight w:val="none"/>
          <w:lang w:bidi="ar"/>
          <w14:textFill>
            <w14:solidFill>
              <w14:schemeClr w14:val="tx1"/>
            </w14:solidFill>
          </w14:textFill>
        </w:rPr>
        <w:br w:type="page"/>
      </w:r>
    </w:p>
    <w:p>
      <w:pPr>
        <w:spacing w:line="360" w:lineRule="auto"/>
        <w:jc w:val="center"/>
        <w:outlineLvl w:val="1"/>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bidi="ar"/>
          <w14:textFill>
            <w14:solidFill>
              <w14:schemeClr w14:val="tx1"/>
            </w14:solidFill>
          </w14:textFill>
        </w:rPr>
        <w:t>八</w:t>
      </w:r>
      <w:r>
        <w:rPr>
          <w:rFonts w:hint="eastAsia" w:ascii="宋体" w:hAnsi="宋体" w:eastAsia="宋体" w:cs="宋体"/>
          <w:b/>
          <w:color w:val="000000" w:themeColor="text1"/>
          <w:sz w:val="24"/>
          <w:szCs w:val="24"/>
          <w:highlight w:val="none"/>
          <w:lang w:bidi="ar"/>
          <w14:textFill>
            <w14:solidFill>
              <w14:schemeClr w14:val="tx1"/>
            </w14:solidFill>
          </w14:textFill>
        </w:rPr>
        <w:t>、诚信投标承诺书</w:t>
      </w:r>
    </w:p>
    <w:p>
      <w:pPr>
        <w:spacing w:line="5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本人以企业法定代表人的身份郑重承诺：</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项目的投标，所提供的一切材料都是真实、有效、合法的；</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三、不出借、转让资质证书，不让他人挂靠投标，不以他人名义投标或者以其他方式弄虚作假，骗取中标；</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四、不与其他投标人相互串通投标报价，不排挤其他投标人的公平竞争、损害招标人的合法权益；</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五、不与招标人、招标代理机构或其他投标人串通投标，损害国家利益、社会公共利益或者他人的合法权益；</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七、我公司没有下列情形：被滁州市县两级公管部门记入不良行为记录且在披露期内。</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八、严格遵守开标现场纪律，服从监管人员管理；</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九、保证中标后不转包，若有分包征得招标人同意；</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十、保证中标之后，按照投标文件要求提供相关后续服务；</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十一、保证企业及所属相关人员在本次投标中无行贿等犯罪行为；</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开户银行：                      基本账户：</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投标单位（盖章）：              法定代表人（签字或盖章）：</w:t>
      </w:r>
    </w:p>
    <w:p>
      <w:pPr>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560" w:lineRule="exact"/>
        <w:jc w:val="right"/>
        <w:rPr>
          <w:rFonts w:hint="eastAsia" w:ascii="仿宋_GB2312" w:eastAsia="仿宋_GB2312" w:cs="仿宋_GB2312"/>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日期：</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年 </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pPr>
        <w:spacing w:line="360" w:lineRule="auto"/>
        <w:jc w:val="center"/>
        <w:outlineLvl w:val="1"/>
        <w:rPr>
          <w:rFonts w:hint="eastAsia" w:ascii="宋体" w:hAnsi="宋体" w:eastAsia="宋体"/>
          <w:b/>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lang w:bidi="ar"/>
          <w14:textFill>
            <w14:solidFill>
              <w14:schemeClr w14:val="tx1"/>
            </w14:solidFill>
          </w14:textFill>
        </w:rPr>
        <w:t xml:space="preserve"> </w:t>
      </w: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67" w:name="_Toc32633"/>
      <w:bookmarkStart w:id="68" w:name="_Toc2683"/>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p>
    <w:p>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sz w:val="24"/>
          <w:highlight w:val="none"/>
          <w14:textFill>
            <w14:solidFill>
              <w14:schemeClr w14:val="tx1"/>
            </w14:solidFill>
          </w14:textFill>
        </w:rPr>
        <w:t>、其他相关证明材料</w:t>
      </w:r>
      <w:bookmarkEnd w:id="67"/>
      <w:bookmarkEnd w:id="68"/>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提供符合投标邀请、采购需求及评标方法和标准规定的相关证明文件。</w:t>
      </w:r>
    </w:p>
    <w:p>
      <w:pPr>
        <w:spacing w:line="360" w:lineRule="auto"/>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p>
    <w:p>
      <w:pPr>
        <w:widowControl/>
        <w:jc w:val="left"/>
        <w:rPr>
          <w:rFonts w:hint="eastAsia" w:asciiTheme="minorEastAsia" w:hAnsiTheme="minorEastAsia" w:eastAsiaTheme="minorEastAsia"/>
          <w:color w:val="000000" w:themeColor="text1"/>
          <w:sz w:val="24"/>
          <w:highlight w:val="none"/>
          <w14:textFill>
            <w14:solidFill>
              <w14:schemeClr w14:val="tx1"/>
            </w14:solidFill>
          </w14:textFill>
        </w:rPr>
      </w:pPr>
    </w:p>
    <w:bookmarkEnd w:id="61"/>
    <w:bookmarkEnd w:id="62"/>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bookmarkStart w:id="69" w:name="_Toc6435"/>
      <w:bookmarkStart w:id="70" w:name="_Toc18131"/>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widowControl/>
        <w:jc w:val="center"/>
        <w:rPr>
          <w:rFonts w:hint="eastAsia" w:ascii="宋体" w:hAnsi="宋体" w:eastAsia="宋体" w:cs="宋体"/>
          <w:b/>
          <w:color w:val="000000" w:themeColor="text1"/>
          <w:sz w:val="24"/>
          <w:szCs w:val="24"/>
          <w:highlight w:val="none"/>
          <w:lang w:bidi="ar"/>
          <w14:textFill>
            <w14:solidFill>
              <w14:schemeClr w14:val="tx1"/>
            </w14:solidFill>
          </w14:textFill>
        </w:rPr>
      </w:pPr>
    </w:p>
    <w:p>
      <w:pPr>
        <w:spacing w:line="360" w:lineRule="auto"/>
        <w:jc w:val="center"/>
        <w:outlineLvl w:val="0"/>
        <w:rPr>
          <w:rFonts w:hint="eastAsia" w:ascii="宋体" w:hAnsi="宋体" w:eastAsia="宋体"/>
          <w:b/>
          <w:bCs/>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第七章</w:t>
      </w:r>
      <w:r>
        <w:rPr>
          <w:rFonts w:hint="eastAsia" w:ascii="宋体" w:hAnsi="宋体" w:eastAsia="宋体"/>
          <w:b/>
          <w:bCs/>
          <w:color w:val="000000" w:themeColor="text1"/>
          <w:sz w:val="28"/>
          <w:highlight w:val="none"/>
          <w14:textFill>
            <w14:solidFill>
              <w14:schemeClr w14:val="tx1"/>
            </w14:solidFill>
          </w14:textFill>
        </w:rPr>
        <w:t xml:space="preserve">  政府采购</w:t>
      </w:r>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ascii="宋体" w:hAnsi="宋体" w:eastAsia="宋体"/>
          <w:b/>
          <w:bCs/>
          <w:color w:val="000000" w:themeColor="text1"/>
          <w:sz w:val="28"/>
          <w:highlight w:val="none"/>
          <w14:textFill>
            <w14:solidFill>
              <w14:schemeClr w14:val="tx1"/>
            </w14:solidFill>
          </w14:textFill>
        </w:rPr>
        <w:t>商询问函和质疑函范本</w:t>
      </w:r>
      <w:bookmarkEnd w:id="69"/>
      <w:bookmarkEnd w:id="70"/>
    </w:p>
    <w:p>
      <w:pPr>
        <w:spacing w:line="360" w:lineRule="auto"/>
        <w:jc w:val="center"/>
        <w:outlineLvl w:val="1"/>
        <w:rPr>
          <w:rFonts w:hint="eastAsia" w:ascii="仿宋" w:hAnsi="仿宋" w:eastAsia="仿宋" w:cs="仿宋"/>
          <w:b/>
          <w:bCs/>
          <w:color w:val="000000" w:themeColor="text1"/>
          <w:sz w:val="32"/>
          <w:szCs w:val="44"/>
          <w:highlight w:val="none"/>
          <w14:textFill>
            <w14:solidFill>
              <w14:schemeClr w14:val="tx1"/>
            </w14:solidFill>
          </w14:textFill>
        </w:rPr>
      </w:pPr>
      <w:bookmarkStart w:id="71" w:name="_Toc27159"/>
      <w:bookmarkStart w:id="72" w:name="_Toc27489"/>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71"/>
      <w:bookmarkEnd w:id="72"/>
    </w:p>
    <w:p>
      <w:pPr>
        <w:adjustRightInd w:val="0"/>
        <w:snapToGrid w:val="0"/>
        <w:spacing w:line="360" w:lineRule="auto"/>
        <w:rPr>
          <w:rFonts w:hint="eastAsia"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（如为对采购文件或采购程序的询问或疑问，请按询问函范本格式进行提交）</w:t>
      </w:r>
    </w:p>
    <w:p>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u w:val="single"/>
          <w14:textFill>
            <w14:solidFill>
              <w14:schemeClr w14:val="tx1"/>
            </w14:solidFill>
          </w14:textFill>
        </w:rPr>
      </w:pPr>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致：采购人</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bookmarkStart w:id="73" w:name="_Toc13899"/>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73"/>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bookmarkStart w:id="74" w:name="_Toc3352"/>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74"/>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pPr>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pPr>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pPr>
        <w:tabs>
          <w:tab w:val="left" w:pos="630"/>
        </w:tabs>
        <w:spacing w:line="360" w:lineRule="auto"/>
        <w:ind w:firstLine="4228" w:firstLineChars="1762"/>
        <w:rPr>
          <w:rFonts w:hint="eastAsia"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pPr>
        <w:rPr>
          <w:rFonts w:hint="eastAsia" w:ascii="仿宋" w:hAnsi="仿宋" w:eastAsia="仿宋" w:cs="仿宋"/>
          <w:b/>
          <w:bCs/>
          <w:color w:val="000000" w:themeColor="text1"/>
          <w:sz w:val="32"/>
          <w:szCs w:val="44"/>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pPr>
        <w:jc w:val="center"/>
        <w:outlineLvl w:val="1"/>
        <w:rPr>
          <w:rFonts w:hint="eastAsia" w:ascii="仿宋" w:hAnsi="仿宋" w:eastAsia="仿宋" w:cs="仿宋"/>
          <w:b/>
          <w:bCs/>
          <w:color w:val="000000" w:themeColor="text1"/>
          <w:sz w:val="32"/>
          <w:szCs w:val="44"/>
          <w:highlight w:val="none"/>
          <w14:textFill>
            <w14:solidFill>
              <w14:schemeClr w14:val="tx1"/>
            </w14:solidFill>
          </w14:textFill>
        </w:rPr>
      </w:pPr>
      <w:bookmarkStart w:id="75" w:name="_Toc1575"/>
      <w:bookmarkStart w:id="76" w:name="_Toc3245"/>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75"/>
      <w:bookmarkEnd w:id="76"/>
    </w:p>
    <w:p>
      <w:pPr>
        <w:adjustRightInd w:val="0"/>
        <w:snapToGrid w:val="0"/>
        <w:spacing w:before="312" w:beforeLines="100"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77" w:name="_Toc21381"/>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77"/>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78" w:name="_Toc28415"/>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78"/>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79" w:name="_Toc19014"/>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79"/>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pPr>
        <w:adjustRightInd w:val="0"/>
        <w:snapToGrid w:val="0"/>
        <w:spacing w:line="360" w:lineRule="auto"/>
        <w:rPr>
          <w:rFonts w:hint="eastAsia"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pPr>
        <w:adjustRightInd w:val="0"/>
        <w:snapToGrid w:val="0"/>
        <w:spacing w:line="360" w:lineRule="auto"/>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pPr>
      <w:bookmarkStart w:id="80" w:name="_Toc17919"/>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80"/>
    </w:p>
    <w:p>
      <w:pPr>
        <w:adjustRightInd w:val="0"/>
        <w:snapToGrid w:val="0"/>
        <w:spacing w:line="360" w:lineRule="auto"/>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签字(签字或盖章)：                   公章：                      </w:t>
      </w:r>
    </w:p>
    <w:p>
      <w:pPr>
        <w:spacing w:line="360" w:lineRule="auto"/>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pPr>
        <w:widowControl/>
        <w:jc w:val="left"/>
        <w:rPr>
          <w:rFonts w:hint="eastAsia"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pPr>
        <w:outlineLvl w:val="0"/>
        <w:rPr>
          <w:rFonts w:hint="eastAsia" w:asciiTheme="minorEastAsia" w:hAnsiTheme="minorEastAsia" w:eastAsiaTheme="minorEastAsia"/>
          <w:b/>
          <w:color w:val="000000" w:themeColor="text1"/>
          <w:sz w:val="28"/>
          <w:szCs w:val="32"/>
          <w:highlight w:val="none"/>
          <w14:textFill>
            <w14:solidFill>
              <w14:schemeClr w14:val="tx1"/>
            </w14:solidFill>
          </w14:textFill>
        </w:rPr>
      </w:pPr>
      <w:bookmarkStart w:id="81" w:name="_Toc26836"/>
      <w:bookmarkStart w:id="82" w:name="_Toc9754"/>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81"/>
      <w:bookmarkEnd w:id="82"/>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p>
    <w:p>
      <w:pPr>
        <w:spacing w:line="38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附件1</w:t>
      </w:r>
    </w:p>
    <w:p>
      <w:pPr>
        <w:spacing w:line="38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关于联合惩戒失信行为 加强信用查询管理的通知</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一、失信行为联合惩戒的范围和查询渠道</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在我市公共资源交易活动中对存在下列失信行为的投标人、法定代表人及其项目负责人实施联合惩戒，禁止参与我市公共资源交易活动。</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（一）工程建设项目</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1、“信用中国”网站（www.creditchina.gov.cn）查询以下失信行为：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①投标人被人民法院列入失信被执行人的；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②投标人被税务部门列入重大税收违法案件当事人的；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③投标人被人力资源社会保障行政部门列入拖欠农民工工资“黑名单”的；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④在“信用中国”网站上披露的仍在公示期的严重失信行为的。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2、国家企业信用信息公示系统网站（www.gsxt.gov.cn）查询以下失信行为：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①被市场监督管理部门列入经营异常名录或者严重违法企业名单，且未被移除的。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3、滁州市第一人民医院网（http://ggzy.chuzhou.gov.cn/）查询以下失信行为：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①被滁州市县两级公管部门取消在一定期限内的投标资格且在取消期限内的；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②被滁州市县两级公管部门记入不良行为记录或者信用信息记录，且在披露期内的。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4、由竞争主体进行承诺，不进行现场网上信用查询的失信行为：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①前三年列入行贿犯罪档案的单位和个人；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②被滁州市县两级各行业主管部门取消在一定期限内的投标资格且在取消期限内的；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③因拖欠农民工工资被县级及以上有关行政主管部门限制投标资格且在限制期限内的。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（二）政府采购项目</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1、“信用中国”网站（www.creditchina.gov.cn）查询以下失信行为：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①投标人被人民法院列入失信被执行人的；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②投标人被税务部门列入重大税收违法案件当事人的；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③在“信用中国”网站上披露的仍在公示期的严重失信行为的。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2、国家企业信用信息公示系统网站（www.gsxt.gov.cn）查询以下失信行为：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①被市场监督管理部门列入经营异常名录或者严重违法企业名单，且未被移除的。</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3、中国政府采购网站（www.ccgp.gov.cn）查询以下失信行为：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①政府采购严重违法失信行为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4、由竞争主体进行承诺，不进行现场网上信用查询的失信行为：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①前三年列入行贿犯罪档案的单位和个人。</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二、在开评标活动中的查询程序</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3、项目单位及其委托的代理机构应当做好信用查询结果截图和记录留存。</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4、交易中心见证人员对预中标候选人信用查询结果进行复查，发现问题及时纠正，并按规定程序追究相关单位和人员责任。</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5、结果公告须提供有评标委员会、代理机构及交易中心现场见证人员查询记录三方签字表方可发布。</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三、相关要求</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1、参与公共资源交易活动的竞争主体根据上述范围查询的内容进行自查并承诺，出具《诚信投标承诺书》（诚信投标承诺书包括但不限于上述自查并承诺内容）并注明承诺日期（投标截止时间前5日内）。</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2、“信用中国”查询的严重失信行为判定依据为各行业主管部门下发的联合惩戒文件中规定的行为（按附件2执行）。</w:t>
      </w:r>
    </w:p>
    <w:p>
      <w:pPr>
        <w:spacing w:line="38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3、资格预审的项目以递交资格预审申请文件截止时间查询为准；资格后审的项目以递交投标文件截止时间查询为准。</w:t>
      </w:r>
    </w:p>
    <w:p>
      <w:pPr>
        <w:spacing w:line="38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附件2</w:t>
      </w:r>
    </w:p>
    <w:p>
      <w:pPr>
        <w:spacing w:line="38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“信用中国”查询的严重失信行为类别及判定依据</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“信用中国”查询的严重失信行为判定依据为各行业主管部门下发的联合惩戒文件中规定的行为。下面将部分类别的严重失信行为列举如下：</w:t>
      </w:r>
    </w:p>
    <w:p>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一、安全生产领域严重失信行为：</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（一）发生较大及以上生产安全责任事故，或1年内累计发生3起及以上造成人员死亡的一般生产安全责任事故的；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（二）未按规定取得安全生产许可，擅自开展生产经营建设活动的；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（三）发现重大生产安全事故隐患，或职业病危害严重超标，不及时整改，仍组织从业人员冒险作业的；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（四）采取隐蔽、欺骗或阻碍等方式逃避、对抗安全监管监察的;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（五）被责令停产停业整顿，仍然从事生产经营建设活动的；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（六）瞒报、谎报、迟报生产安全事故的；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（七）矿山、危险化学品、金属冶炼等高危行业建设项目安全设施未经验收合格即投入生产和使用的；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（八）矿山生产经营单位存在超层越界开采、以探代采行为的；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（九）发生事故后，故意破坏事故现场，伪造有关证据资料，妨碍、对抗事故调查，或主要负责人逃逸的；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（十）安全生产和职业健康技术服务机构出具虚假报告或证明，违规转让或出借资质的。</w:t>
      </w:r>
    </w:p>
    <w:p>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依据：《对安全生产领域失信行为开展联合惩戒的实施办法》（安监总办〔2017〕49号）第二条</w:t>
      </w:r>
    </w:p>
    <w:p>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二、环境保护领域严重失信行为：</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（一）因为环境违法构成</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"https://baike.sogou.com/m/fullLemma?lid=10403954&amp;g_ut=3"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环境犯罪</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"https://baike.sogou.com/m/fullLemma?lid=76033123&amp;g_ut=3"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建设项目环境影响评价</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文件未按规定通过审批，擅自开工建设的；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（三）建设项目环保设施未建成、环保措施未落实、未通过</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"https://baike.sogou.com/m/fullLemma?lid=6470550&amp;g_ut=3"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竣工环保验收</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或者验收不合格，主体工程正式投入生产或者使用的；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（四）建设项目性质、规模、地点、采用的生产工艺或者防治污染、防止生态破坏的措施发生重大变动，未重新报批环境影响评价文件，擅自投入生产或者使用的；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（五）主要污染物排放总量超过控制指标的；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（六）私设暗管或者利用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"https://baike.sogou.com/m/fullLemma?lid=41657319&amp;g_ut=3"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渗井</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、渗坑、裂隙、溶洞等排放、倾倒、处置水污染物，或者通过私设旁路排放</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"https://baike.sogou.com/m/fullLemma?lid=7758328&amp;g_ut=3"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大气污染物</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（七）非法排放、倾倒、处置危险废物，或者向无</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"https://baike.sogou.com/m/fullLemma?lid=5923292&amp;g_ut=3"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经营许可证</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或者超出经营许可范围的单位或个人提供或者委托其收集、贮存、利用、处置危险废物的；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（八）</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"https://baike.sogou.com/m/fullLemma?lid=167759803&amp;g_ut=3"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环境违法行为</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造成集中式生活饮用水水源取水中断的；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（九）环境违法行为对生活饮用水水源保护区、自然保护区、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"https://baike.sogou.com/m/fullLemma?lid=155199213&amp;g_ut=3"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国家重点生态功能区</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、风景名胜区、居住功能区、</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"https://baike.sogou.com/m/fullLemma?lid=7757164&amp;g_ut=3" </w:instrText>
      </w:r>
      <w:r>
        <w:rPr>
          <w:color w:val="000000" w:themeColor="text1"/>
          <w:highlight w:val="none"/>
          <w14:textFill>
            <w14:solidFill>
              <w14:schemeClr w14:val="tx1"/>
            </w14:solidFill>
          </w14:textFill>
        </w:rPr>
        <w:fldChar w:fldCharType="separate"/>
      </w:r>
      <w:r>
        <w:rPr>
          <w:rStyle w:val="34"/>
          <w:rFonts w:hint="eastAsia" w:ascii="宋体" w:hAnsi="宋体" w:eastAsia="宋体" w:cs="宋体"/>
          <w:color w:val="000000" w:themeColor="text1"/>
          <w:sz w:val="24"/>
          <w:szCs w:val="24"/>
          <w:highlight w:val="none"/>
          <w14:textFill>
            <w14:solidFill>
              <w14:schemeClr w14:val="tx1"/>
            </w14:solidFill>
          </w14:textFill>
        </w:rPr>
        <w:t>基本农田保护区</w:t>
      </w:r>
      <w:r>
        <w:rPr>
          <w:rStyle w:val="34"/>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bidi="ar"/>
          <w14:textFill>
            <w14:solidFill>
              <w14:schemeClr w14:val="tx1"/>
            </w14:solidFill>
          </w14:textFill>
        </w:rPr>
        <w:t>等环境敏感区造成重大不利影响的；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（十）违法从事自然资源开发、交通基础设施建设，以及其他开发建设活动，造成严重生态破坏的；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（十一）发生较大及以上突发环境事件的；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（十二）被环保部门挂牌督办，整改逾期未完成的；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（十三）以暴力、威胁等方式拒绝、阻挠环保部门工作人员现场检查的；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（十四）违反重污染天气应急预案有关规定，对重污染天气响应不力的。</w:t>
      </w:r>
    </w:p>
    <w:p>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依据：《关于对环境保护领域失信生产经营单位及其有关人员开展联合惩戒的合作备忘录》、《企业环境信用评价办法（试行）》（环发〔2013〕150号）</w:t>
      </w:r>
    </w:p>
    <w:p>
      <w:pPr>
        <w:spacing w:line="380" w:lineRule="exact"/>
        <w:ind w:firstLine="645"/>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三、</w:t>
      </w:r>
      <w:r>
        <w:rPr>
          <w:rFonts w:hint="eastAsia" w:ascii="宋体" w:hAnsi="宋体" w:eastAsia="宋体" w:cs="宋体"/>
          <w:b/>
          <w:bCs/>
          <w:color w:val="000000" w:themeColor="text1"/>
          <w:sz w:val="24"/>
          <w:szCs w:val="24"/>
          <w:highlight w:val="none"/>
          <w:lang w:bidi="ar"/>
          <w14:textFill>
            <w14:solidFill>
              <w14:schemeClr w14:val="tx1"/>
            </w14:solidFill>
          </w14:textFill>
        </w:rPr>
        <w:t>公共资源交易领域严重失信行为</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（一）违反法律规定，必须进行招标的项目而不招标的，将必须进行招标的项目化整为零或者以其他任何方式规避招标的；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（二）招标代理机构违反法律规定，泄露应当保密的与招标投标活动有关的情况和资料的，或者与招标人、投标人串通损害国家利益、社会公共利益或者他人合法权益的；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（三）招标人以不合理的条件限制或者排斥潜在投标人的，对潜在投标人实行歧视待遇的，强制要求投标人组成联合体共同投标的，或者限制投标人之间竞争的；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（四）依法必须进行招标的项目的招标人向他人透露已获取招标文件的潜在投标人的名称、数量或者可能影响公平竞争的有关招标投标的其他情况的，或者泄露标底的；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（五）投标人相互串通投标或者与招标人串通投标的，投标人以向招标人或者评标委员会成员行贿的手段谋取中标的； </w:t>
      </w:r>
    </w:p>
    <w:p>
      <w:pPr>
        <w:spacing w:line="380" w:lineRule="exact"/>
        <w:ind w:firstLine="763" w:firstLineChars="318"/>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（六）投标人以他人名义投标或者以其他方式弄虚作假，骗取中标的；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（七）依法必须进行招标的项目，招标人违反法律规定，与投标人就投标价格、投标方案等实质性内容进行谈判的；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（八）评标委员会成员收受投标人的财物或者其他好处的，评标委员会成员或者参加评标的有关工作人员向他人透露对投标文件的评审和比较、中标候选人的推荐以及与评标有关的其他情况的；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（九）招标人在评标委员会依法推荐的中标候选人以外确定中标人的，依法必须进行招标的项目在所有投标被评标委员会否决后自行确定中标人的；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（十）中标人将中标项目转让给他人的，将中标项目肢解后分别转让给他人的，违反法律规定将中标项目的部分主体、关键性工作分包给他人的，或者分包人再次分包的；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（十一）招标人与中标人不按照招标文件和中标人的投标文件订立合同的，或者招标人、中标人订立背离合同实质性内容的协议的；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（十二）中标人不按照与招标人订立的合同履行义务，情节严重的；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（十五）采购人对应当实行集中采购的政府采购项目，不委托集中采购机构实行集中采购的；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（十六）采购人、采购代理机构违反法律规定隐匿、销毁应当保存的采购文件或者伪造、变造采购文件的； </w:t>
      </w:r>
    </w:p>
    <w:p>
      <w:pPr>
        <w:spacing w:line="380" w:lineRule="exact"/>
        <w:ind w:firstLine="645"/>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（十八）疫苗生产企业向县级疾病预防控制机构以外的单位或者个人销售第二类疫苗的；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（十九）存在其他违反公共资源交易法律法规行为的。</w:t>
      </w:r>
    </w:p>
    <w:p>
      <w:pPr>
        <w:spacing w:line="380" w:lineRule="exact"/>
        <w:ind w:firstLine="766" w:firstLineChars="318"/>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依据：《关于对公共资源交易领域严重失信主体开展联合惩戒的备忘录》（发改法规〔2018〕457号）</w:t>
      </w:r>
    </w:p>
    <w:p>
      <w:pPr>
        <w:spacing w:line="380" w:lineRule="exact"/>
        <w:ind w:firstLine="645"/>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四、</w:t>
      </w:r>
      <w:r>
        <w:rPr>
          <w:rFonts w:hint="eastAsia" w:ascii="宋体" w:hAnsi="宋体" w:eastAsia="宋体" w:cs="宋体"/>
          <w:b/>
          <w:bCs/>
          <w:color w:val="000000" w:themeColor="text1"/>
          <w:sz w:val="24"/>
          <w:szCs w:val="24"/>
          <w:highlight w:val="none"/>
          <w:lang w:bidi="ar"/>
          <w14:textFill>
            <w14:solidFill>
              <w14:schemeClr w14:val="tx1"/>
            </w14:solidFill>
          </w14:textFill>
        </w:rPr>
        <w:t>社会保险领域严重失信行为</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（一）用人单位未按相关规定参加社会保险且拒不整改的；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（二）用人单位未如实申报社会保险缴费基数且拒不整改的；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（三）应缴纳社会保险费却拒不缴纳的；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（四）隐匿、转移、侵占、挪用社会保险费款、基金或者违规投资运营的；</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（五）以欺诈、伪造证明材料或者其他手段参加、申报社会保险和骗取社会保险基金支出或社会保险待遇的；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（六）非法获取、出售或变相交易社会保险个人权益数据的；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（七）社会保险服务机构违反服务协议或相关规定的；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（八）拒绝协助社会保险行政部门、经办机构对事故和问题进 行调查核实的；拒绝接受或协助税务部门对社会保险实施监督检查， 不如实提供与社会保险相关各项资料的； </w:t>
      </w:r>
    </w:p>
    <w:p>
      <w:pPr>
        <w:spacing w:line="380" w:lineRule="exact"/>
        <w:ind w:left="765" w:leftChars="307" w:hanging="120" w:hanging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（九）其他违反法律法规规定的。</w:t>
      </w:r>
    </w:p>
    <w:p>
      <w:pPr>
        <w:spacing w:line="380" w:lineRule="exact"/>
        <w:ind w:left="1200" w:leftChars="342" w:hanging="482" w:hanging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依据：《关于对社会保险领域严重失信企业及其有关人员实施联合惩戒的合作备忘录》（发改财金〔2018〕1704号）</w:t>
      </w:r>
    </w:p>
    <w:p>
      <w:pPr>
        <w:spacing w:line="380" w:lineRule="exact"/>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
          <w:color w:val="000000" w:themeColor="text1"/>
          <w:sz w:val="24"/>
          <w:szCs w:val="24"/>
          <w:highlight w:val="none"/>
          <w:lang w:bidi="ar"/>
          <w14:textFill>
            <w14:solidFill>
              <w14:schemeClr w14:val="tx1"/>
            </w14:solidFill>
          </w14:textFill>
        </w:rPr>
        <w:t>五、建筑市场领域</w:t>
      </w:r>
      <w:r>
        <w:rPr>
          <w:rFonts w:hint="eastAsia" w:ascii="宋体" w:hAnsi="宋体" w:eastAsia="宋体" w:cs="宋体"/>
          <w:b/>
          <w:bCs/>
          <w:color w:val="000000" w:themeColor="text1"/>
          <w:sz w:val="24"/>
          <w:szCs w:val="24"/>
          <w:highlight w:val="none"/>
          <w:lang w:bidi="ar"/>
          <w14:textFill>
            <w14:solidFill>
              <w14:schemeClr w14:val="tx1"/>
            </w14:solidFill>
          </w14:textFill>
        </w:rPr>
        <w:t>严重失信行为</w:t>
      </w:r>
    </w:p>
    <w:p>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（一）利用虚假材料、以欺骗手段取得企业资质的；</w:t>
      </w:r>
    </w:p>
    <w:p>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（二）发生转包、出借资质，受到行政处罚的；</w:t>
      </w:r>
    </w:p>
    <w:p>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（三）发生重大及以上工程质量安全事故，或1年内累计发生2次及以上较大工程质量安全事故，或发生性质恶劣、危害性严重、社会影响大的较大工程质量安全事故，受到行政处罚的；</w:t>
      </w:r>
    </w:p>
    <w:p>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（四）经法院判决或仲裁机构裁决，认定为拖欠工程款,且拒不履行生效法律文书确定的义务的。</w:t>
      </w:r>
    </w:p>
    <w:p>
      <w:pPr>
        <w:spacing w:line="38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各级住房城乡建设主管部门应当参照建筑市场主体“黑名单”，对被人力资源社会保障主管部门列入拖欠农民工工资“黑名单”的建筑市场各方主体加强监管。</w:t>
      </w:r>
    </w:p>
    <w:p>
      <w:pPr>
        <w:spacing w:line="380" w:lineRule="exact"/>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依据：《建筑市场信用管理暂行办法》（建市〔2017〕241号）</w:t>
      </w:r>
    </w:p>
    <w:p>
      <w:pPr>
        <w:spacing w:line="38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六、政府采购严重失信行为</w:t>
      </w:r>
    </w:p>
    <w:p>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供应商、采购代理机构在三年内受到财政部门作出下列情形之一的行政处罚，列入政府采购严重违法失信行为记录名单。</w:t>
      </w:r>
    </w:p>
    <w:p>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（一）三万元以上罚款；</w:t>
      </w:r>
    </w:p>
    <w:p>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（二）在一至三年内禁止参加政府采购活动（处罚期限届满的除外）；</w:t>
      </w:r>
    </w:p>
    <w:p>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（三）在一至三年内禁止代理政府采购业务（处罚期限届满的除外）；</w:t>
      </w:r>
    </w:p>
    <w:p>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（四）撤销政府采购代理机构资格（仅针对《政府采购法》第78条修改前作出的处罚决定）。</w:t>
      </w:r>
    </w:p>
    <w:p>
      <w:pPr>
        <w:spacing w:line="380" w:lineRule="exact"/>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依据：《关于报送政府采购严重违法失信行为信息记录的通知》</w:t>
      </w:r>
      <w:r>
        <w:rPr>
          <w:rFonts w:hint="eastAsia" w:ascii="宋体" w:hAnsi="宋体" w:eastAsia="宋体" w:cs="宋体"/>
          <w:b/>
          <w:color w:val="000000" w:themeColor="text1"/>
          <w:sz w:val="24"/>
          <w:szCs w:val="24"/>
          <w:highlight w:val="none"/>
          <w:lang w:bidi="ar"/>
          <w14:textFill>
            <w14:solidFill>
              <w14:schemeClr w14:val="tx1"/>
            </w14:solidFill>
          </w14:textFill>
        </w:rPr>
        <w:t>（财办库〔2014〕526号）</w:t>
      </w:r>
    </w:p>
    <w:p>
      <w:pPr>
        <w:spacing w:line="380" w:lineRule="exact"/>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七、水利建设领域严重失信行为</w:t>
      </w:r>
    </w:p>
    <w:p>
      <w:pPr>
        <w:pStyle w:val="25"/>
        <w:widowControl/>
        <w:shd w:val="clear" w:color="auto" w:fill="FFFFFF"/>
        <w:spacing w:before="0" w:beforeAutospacing="0" w:after="0" w:afterAutospacing="0" w:line="380" w:lineRule="exact"/>
        <w:ind w:firstLine="480" w:firstLineChars="200"/>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（一）1年内不良行为记录累计扣分达到20分的；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（二）"重点关注名单"公开期满后仍不整改的；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（三）存在以下严重危害人民群众身体健康、生命安全和工程质量，以及特别严重违规行为之一的：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1.发生重大、特大质量或安全事故，并负有直接责任的；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2.在单位公开信息、工程相关技术成果和工程建设过程中隐瞒真实情况、弄虚作假，提供虚假材料，谋取不正当利益的；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3.违反有关法律、法规、规章、政策、技术标准、设计文件、合同等有关规定开展工作造成的工程质量问题，经处理后仍影响工程正常使用或减少工程使用寿命的；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4.违反规定施工，造成生态环境严重破坏且拒不修复的；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5.被证实恶意制造工程质量缺陷或质量隐患的；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6.其他违反法律法规，造成严重后果或社会危害较大的。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（四）存在以下严重破坏市场公平竞争秩序和社会正常秩序行为之一的：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1.不按合同约定，恶意拖欠承包人项目款的；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2.隐瞒有关情况或者提供虚假材料申请资质的，在全国水利建设市场监管服务平台公开虚假信息的，以欺骗、贿赂等不正当手段取得资质等级证书的；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3.出借、借用资质证书,允许他人以本单位名义或借用他人名义等弄虚作假方式承揽业务的；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4.未取得相应资质或超越资质证书核定范围、营业范围承揽业务的；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5.操纵招标过程，谋取不正当利益的；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6.与招标人或投标人串通投标的；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7.以向招标人或评标委员会成员行贿的手段谋取中标的；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8.中标后，无正当理由不签订合同的；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9.转包或违法分包所承揽业务的；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10.弄虚作假，以欺诈手段降低工程或设备质量的；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11.单位行贿、受贿，受到刑事处罚的；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12.逃税骗税、恶意逃废债务的；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13.参与非法集资，受到刑事处罚的；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14.在签订、履行合同过程中，存在合同欺诈行为，受到刑事处罚的；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15.虚构工程项目，套取资金的；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16.克扣、无故拖欠农民工工资报酬，数额达到认定拒不支付劳动报酬罪数额标准的；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17.发生社会公共事件，影响较大，并负有直接责任的。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（五）存在以下拒不履行法定义务，严重影响司法机关、行政机关公信力行为之一的：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1.发生事故拒绝接受调查或拒绝提供有关资料的；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2.拒不执行生效的行政处罚决定的；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3.拒不执行仲裁、法院判决结果的。</w:t>
      </w:r>
    </w:p>
    <w:p>
      <w:pPr>
        <w:pStyle w:val="25"/>
        <w:widowControl/>
        <w:shd w:val="clear" w:color="auto" w:fill="FFFFFF"/>
        <w:spacing w:before="0" w:beforeAutospacing="0" w:after="0" w:afterAutospacing="0" w:line="380" w:lineRule="exact"/>
        <w:rPr>
          <w:rFonts w:hint="eastAsia" w:ascii="宋体" w:hAnsi="宋体" w:eastAsia="宋体" w:cs="宋体"/>
          <w:color w:val="000000" w:themeColor="text1"/>
          <w:kern w:val="2"/>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Cs w:val="24"/>
          <w:highlight w:val="none"/>
          <w:shd w:val="clear" w:color="auto" w:fill="FFFFFF"/>
          <w:lang w:bidi="ar"/>
          <w14:textFill>
            <w14:solidFill>
              <w14:schemeClr w14:val="tx1"/>
            </w14:solidFill>
          </w14:textFill>
        </w:rPr>
        <w:t xml:space="preserve">  （六）被相关联合惩戒部门列入"黑名单"，符合联合惩戒措施的。</w:t>
      </w:r>
    </w:p>
    <w:p>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生产建设项目水土保持市场主体"黑名单"列入标准见《水利建设市场主体信用信息管理办法》附件。</w:t>
      </w:r>
    </w:p>
    <w:p>
      <w:pPr>
        <w:spacing w:line="380" w:lineRule="exact"/>
        <w:ind w:firstLine="615"/>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bidi="ar"/>
          <w14:textFill>
            <w14:solidFill>
              <w14:schemeClr w14:val="tx1"/>
            </w14:solidFill>
          </w14:textFill>
        </w:rPr>
        <w:t>依据：《水利建设市场主体信用评价管理办法》水建设〔2019〕307号、《水利建设市场主体信用信息管理办法》水建设〔2019〕306号</w:t>
      </w:r>
    </w:p>
    <w:p>
      <w:pPr>
        <w:spacing w:line="380" w:lineRule="exact"/>
        <w:ind w:firstLine="6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p>
    <w:p>
      <w:pPr>
        <w:spacing w:line="380" w:lineRule="exact"/>
        <w:ind w:firstLine="61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未列出的其他类别严重失信行为，由招标人（代理机构）根据各类别行业主管部门下发的联合惩戒文件进行判断。</w:t>
      </w:r>
    </w:p>
    <w:p>
      <w:pPr>
        <w:spacing w:line="380" w:lineRule="exact"/>
        <w:ind w:firstLine="487" w:firstLineChars="20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 xml:space="preserve"> </w:t>
      </w:r>
    </w:p>
    <w:p>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altName w:val="仿宋"/>
    <w:panose1 w:val="03000509000000000000"/>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0"/>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20"/>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64</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20"/>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64</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788BD"/>
    <w:multiLevelType w:val="singleLevel"/>
    <w:tmpl w:val="964788BD"/>
    <w:lvl w:ilvl="0" w:tentative="0">
      <w:start w:val="2"/>
      <w:numFmt w:val="chineseCounting"/>
      <w:suff w:val="nothing"/>
      <w:lvlText w:val="（%1）"/>
      <w:lvlJc w:val="left"/>
      <w:pPr>
        <w:ind w:left="-17"/>
      </w:pPr>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053208E"/>
    <w:multiLevelType w:val="singleLevel"/>
    <w:tmpl w:val="0053208E"/>
    <w:lvl w:ilvl="0" w:tentative="0">
      <w:start w:val="16"/>
      <w:numFmt w:val="decimal"/>
      <w:suff w:val="space"/>
      <w:lvlText w:val="%1."/>
      <w:lvlJc w:val="left"/>
    </w:lvl>
  </w:abstractNum>
  <w:abstractNum w:abstractNumId="8">
    <w:nsid w:val="05BFBD14"/>
    <w:multiLevelType w:val="singleLevel"/>
    <w:tmpl w:val="05BFBD14"/>
    <w:lvl w:ilvl="0" w:tentative="0">
      <w:start w:val="2"/>
      <w:numFmt w:val="chineseCounting"/>
      <w:suff w:val="nothing"/>
      <w:lvlText w:val="%1、"/>
      <w:lvlJc w:val="left"/>
      <w:rPr>
        <w:rFonts w:hint="eastAsia"/>
      </w:rPr>
    </w:lvl>
  </w:abstractNum>
  <w:num w:numId="1">
    <w:abstractNumId w:val="8"/>
  </w:num>
  <w:num w:numId="2">
    <w:abstractNumId w:val="0"/>
  </w:num>
  <w:num w:numId="3">
    <w:abstractNumId w:val="6"/>
  </w:num>
  <w:num w:numId="4">
    <w:abstractNumId w:val="1"/>
  </w:num>
  <w:num w:numId="5">
    <w:abstractNumId w:val="5"/>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D435F7"/>
    <w:rsid w:val="03486B27"/>
    <w:rsid w:val="034A50AE"/>
    <w:rsid w:val="040A094E"/>
    <w:rsid w:val="04866667"/>
    <w:rsid w:val="049D6812"/>
    <w:rsid w:val="056F201D"/>
    <w:rsid w:val="05940AC6"/>
    <w:rsid w:val="05B664D4"/>
    <w:rsid w:val="064B485A"/>
    <w:rsid w:val="06823FBC"/>
    <w:rsid w:val="068C65C4"/>
    <w:rsid w:val="06A7421D"/>
    <w:rsid w:val="07076C01"/>
    <w:rsid w:val="071C12AC"/>
    <w:rsid w:val="07247C28"/>
    <w:rsid w:val="075768C9"/>
    <w:rsid w:val="076F41D7"/>
    <w:rsid w:val="077C7A64"/>
    <w:rsid w:val="07A934B3"/>
    <w:rsid w:val="07EB6287"/>
    <w:rsid w:val="0806421B"/>
    <w:rsid w:val="08684CB5"/>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8A01C3"/>
    <w:rsid w:val="0CBD6F29"/>
    <w:rsid w:val="0D5B011C"/>
    <w:rsid w:val="0D7C07BE"/>
    <w:rsid w:val="0D820829"/>
    <w:rsid w:val="0DC91529"/>
    <w:rsid w:val="0E7F32A9"/>
    <w:rsid w:val="0E810642"/>
    <w:rsid w:val="0EAC50D3"/>
    <w:rsid w:val="0EEA6FC1"/>
    <w:rsid w:val="0F790928"/>
    <w:rsid w:val="0FB30434"/>
    <w:rsid w:val="0FC1695C"/>
    <w:rsid w:val="0FE10DAC"/>
    <w:rsid w:val="102636A0"/>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973D95"/>
    <w:rsid w:val="15B84CA8"/>
    <w:rsid w:val="15C4546D"/>
    <w:rsid w:val="163C139B"/>
    <w:rsid w:val="16881F81"/>
    <w:rsid w:val="16AF4771"/>
    <w:rsid w:val="16EA2C3C"/>
    <w:rsid w:val="17365652"/>
    <w:rsid w:val="17D905BB"/>
    <w:rsid w:val="180C032A"/>
    <w:rsid w:val="18F163B1"/>
    <w:rsid w:val="195A07CF"/>
    <w:rsid w:val="196A4832"/>
    <w:rsid w:val="19F73BFF"/>
    <w:rsid w:val="1A064976"/>
    <w:rsid w:val="1A1839A8"/>
    <w:rsid w:val="1A3B68AA"/>
    <w:rsid w:val="1A3E1C1E"/>
    <w:rsid w:val="1A7267BE"/>
    <w:rsid w:val="1AB65178"/>
    <w:rsid w:val="1AD4308C"/>
    <w:rsid w:val="1B6F4F40"/>
    <w:rsid w:val="1C141836"/>
    <w:rsid w:val="1C33473D"/>
    <w:rsid w:val="1C76537D"/>
    <w:rsid w:val="1C840C9A"/>
    <w:rsid w:val="1CB87339"/>
    <w:rsid w:val="1D9C6312"/>
    <w:rsid w:val="1E4449D5"/>
    <w:rsid w:val="1E6B6A14"/>
    <w:rsid w:val="1EA27958"/>
    <w:rsid w:val="1F146D94"/>
    <w:rsid w:val="1F370744"/>
    <w:rsid w:val="1F4D401F"/>
    <w:rsid w:val="1FD16A32"/>
    <w:rsid w:val="2021099F"/>
    <w:rsid w:val="20284A23"/>
    <w:rsid w:val="20550D9A"/>
    <w:rsid w:val="21845C9E"/>
    <w:rsid w:val="218E2416"/>
    <w:rsid w:val="22404767"/>
    <w:rsid w:val="226915FE"/>
    <w:rsid w:val="22702106"/>
    <w:rsid w:val="228B6BA3"/>
    <w:rsid w:val="22A85809"/>
    <w:rsid w:val="231F3F50"/>
    <w:rsid w:val="234F4B80"/>
    <w:rsid w:val="2411199F"/>
    <w:rsid w:val="241804A5"/>
    <w:rsid w:val="245B2E54"/>
    <w:rsid w:val="246B4C91"/>
    <w:rsid w:val="24B97929"/>
    <w:rsid w:val="24D632D7"/>
    <w:rsid w:val="2524556B"/>
    <w:rsid w:val="25381017"/>
    <w:rsid w:val="259A672F"/>
    <w:rsid w:val="265A7B33"/>
    <w:rsid w:val="266D6A9E"/>
    <w:rsid w:val="27710810"/>
    <w:rsid w:val="27CD5A5E"/>
    <w:rsid w:val="27D65DBA"/>
    <w:rsid w:val="27F033FB"/>
    <w:rsid w:val="284943D4"/>
    <w:rsid w:val="285F40CA"/>
    <w:rsid w:val="289E1AF0"/>
    <w:rsid w:val="28C01ECB"/>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B944ACD"/>
    <w:rsid w:val="2C932FD6"/>
    <w:rsid w:val="2D496D68"/>
    <w:rsid w:val="2E0917A2"/>
    <w:rsid w:val="2E7A48DE"/>
    <w:rsid w:val="2E9C43C4"/>
    <w:rsid w:val="2EA471C7"/>
    <w:rsid w:val="2EBA5177"/>
    <w:rsid w:val="2EDC3ED8"/>
    <w:rsid w:val="2EE40E2C"/>
    <w:rsid w:val="2F104B00"/>
    <w:rsid w:val="2F123F15"/>
    <w:rsid w:val="2F6351B4"/>
    <w:rsid w:val="2FAC5093"/>
    <w:rsid w:val="2FC07A03"/>
    <w:rsid w:val="2FC86126"/>
    <w:rsid w:val="2FCF199E"/>
    <w:rsid w:val="30133AD1"/>
    <w:rsid w:val="30483E83"/>
    <w:rsid w:val="309317F7"/>
    <w:rsid w:val="30983075"/>
    <w:rsid w:val="30AC2E50"/>
    <w:rsid w:val="30BF3991"/>
    <w:rsid w:val="3111619A"/>
    <w:rsid w:val="31B139DC"/>
    <w:rsid w:val="32221E1E"/>
    <w:rsid w:val="32497AF3"/>
    <w:rsid w:val="341E788C"/>
    <w:rsid w:val="343C0775"/>
    <w:rsid w:val="345E7431"/>
    <w:rsid w:val="348D47EE"/>
    <w:rsid w:val="34A51AF9"/>
    <w:rsid w:val="34F43D78"/>
    <w:rsid w:val="355F1880"/>
    <w:rsid w:val="356C50EC"/>
    <w:rsid w:val="35B46497"/>
    <w:rsid w:val="36137E45"/>
    <w:rsid w:val="36376E0A"/>
    <w:rsid w:val="36484C39"/>
    <w:rsid w:val="364A4C7C"/>
    <w:rsid w:val="36A83A7F"/>
    <w:rsid w:val="36C02CFA"/>
    <w:rsid w:val="3700166C"/>
    <w:rsid w:val="37211E68"/>
    <w:rsid w:val="37943F2F"/>
    <w:rsid w:val="379A1012"/>
    <w:rsid w:val="37C71CEA"/>
    <w:rsid w:val="38322F7E"/>
    <w:rsid w:val="38694EE9"/>
    <w:rsid w:val="387243E8"/>
    <w:rsid w:val="387B329C"/>
    <w:rsid w:val="38895178"/>
    <w:rsid w:val="38F44DFD"/>
    <w:rsid w:val="39717338"/>
    <w:rsid w:val="39CA5376"/>
    <w:rsid w:val="39CC6FF1"/>
    <w:rsid w:val="3A117273"/>
    <w:rsid w:val="3A6818FA"/>
    <w:rsid w:val="3AB344ED"/>
    <w:rsid w:val="3B0B7708"/>
    <w:rsid w:val="3B365CC9"/>
    <w:rsid w:val="3B60677A"/>
    <w:rsid w:val="3B697D24"/>
    <w:rsid w:val="3B9A7B88"/>
    <w:rsid w:val="3BD8694B"/>
    <w:rsid w:val="3C126FC3"/>
    <w:rsid w:val="3C3631AE"/>
    <w:rsid w:val="3CDF3F9E"/>
    <w:rsid w:val="3D2C7AC8"/>
    <w:rsid w:val="3D536596"/>
    <w:rsid w:val="3D855D12"/>
    <w:rsid w:val="3D8B42FF"/>
    <w:rsid w:val="3DD338D1"/>
    <w:rsid w:val="3DE86C4C"/>
    <w:rsid w:val="3DF36A6E"/>
    <w:rsid w:val="3E307A91"/>
    <w:rsid w:val="3EBA1EE9"/>
    <w:rsid w:val="3EC4042E"/>
    <w:rsid w:val="3F792F1E"/>
    <w:rsid w:val="3FD6525C"/>
    <w:rsid w:val="40824826"/>
    <w:rsid w:val="40CB294D"/>
    <w:rsid w:val="40D3290A"/>
    <w:rsid w:val="40E63923"/>
    <w:rsid w:val="41546D80"/>
    <w:rsid w:val="415643E4"/>
    <w:rsid w:val="424741EF"/>
    <w:rsid w:val="42704A40"/>
    <w:rsid w:val="42971481"/>
    <w:rsid w:val="43194544"/>
    <w:rsid w:val="43317B1C"/>
    <w:rsid w:val="43A91E5B"/>
    <w:rsid w:val="449E0D39"/>
    <w:rsid w:val="45336CAD"/>
    <w:rsid w:val="45B222C8"/>
    <w:rsid w:val="45B44292"/>
    <w:rsid w:val="45C73FC5"/>
    <w:rsid w:val="45E32B26"/>
    <w:rsid w:val="45EF5FB8"/>
    <w:rsid w:val="463A3650"/>
    <w:rsid w:val="46461627"/>
    <w:rsid w:val="46647A66"/>
    <w:rsid w:val="469F0116"/>
    <w:rsid w:val="47277B83"/>
    <w:rsid w:val="4750522E"/>
    <w:rsid w:val="475259B7"/>
    <w:rsid w:val="47995D18"/>
    <w:rsid w:val="47C307BC"/>
    <w:rsid w:val="484F2050"/>
    <w:rsid w:val="488302AE"/>
    <w:rsid w:val="48831CF9"/>
    <w:rsid w:val="48AC020A"/>
    <w:rsid w:val="48CB7AD6"/>
    <w:rsid w:val="48E94A02"/>
    <w:rsid w:val="49024C9C"/>
    <w:rsid w:val="496F4D40"/>
    <w:rsid w:val="49930D96"/>
    <w:rsid w:val="49B1408D"/>
    <w:rsid w:val="49C369F7"/>
    <w:rsid w:val="4A027BBB"/>
    <w:rsid w:val="4A323C61"/>
    <w:rsid w:val="4A39249C"/>
    <w:rsid w:val="4A7D4FD2"/>
    <w:rsid w:val="4A913C9A"/>
    <w:rsid w:val="4AE0041E"/>
    <w:rsid w:val="4B1F70AC"/>
    <w:rsid w:val="4B2006A7"/>
    <w:rsid w:val="4B240F94"/>
    <w:rsid w:val="4B425E9C"/>
    <w:rsid w:val="4B4D6D1A"/>
    <w:rsid w:val="4B6A27EE"/>
    <w:rsid w:val="4B856638"/>
    <w:rsid w:val="4C0832E5"/>
    <w:rsid w:val="4C3C565C"/>
    <w:rsid w:val="4C9F327B"/>
    <w:rsid w:val="4CA24E44"/>
    <w:rsid w:val="4CCC79C7"/>
    <w:rsid w:val="4D0B5439"/>
    <w:rsid w:val="4D553CBF"/>
    <w:rsid w:val="4D6B4B23"/>
    <w:rsid w:val="4D7555C7"/>
    <w:rsid w:val="4DF07D79"/>
    <w:rsid w:val="4DF65A5C"/>
    <w:rsid w:val="4DFD15F1"/>
    <w:rsid w:val="4DFF09CC"/>
    <w:rsid w:val="4E4E3231"/>
    <w:rsid w:val="4EAE6DA0"/>
    <w:rsid w:val="4EF92D15"/>
    <w:rsid w:val="4FD73056"/>
    <w:rsid w:val="4FE617D9"/>
    <w:rsid w:val="4FE707F9"/>
    <w:rsid w:val="5016514B"/>
    <w:rsid w:val="50564F7A"/>
    <w:rsid w:val="50BD4DF3"/>
    <w:rsid w:val="50CF0EE9"/>
    <w:rsid w:val="50FC1A26"/>
    <w:rsid w:val="510237E0"/>
    <w:rsid w:val="513B2CE7"/>
    <w:rsid w:val="516C5A20"/>
    <w:rsid w:val="51723664"/>
    <w:rsid w:val="51BB7195"/>
    <w:rsid w:val="51CB1C78"/>
    <w:rsid w:val="51DF523B"/>
    <w:rsid w:val="51FD6A51"/>
    <w:rsid w:val="52224331"/>
    <w:rsid w:val="526B680A"/>
    <w:rsid w:val="527E021F"/>
    <w:rsid w:val="52836F71"/>
    <w:rsid w:val="52953FFA"/>
    <w:rsid w:val="52D26B02"/>
    <w:rsid w:val="533662E6"/>
    <w:rsid w:val="53A60074"/>
    <w:rsid w:val="53DC5D66"/>
    <w:rsid w:val="53F13BFB"/>
    <w:rsid w:val="54161C73"/>
    <w:rsid w:val="541A5D30"/>
    <w:rsid w:val="541D2170"/>
    <w:rsid w:val="5463070C"/>
    <w:rsid w:val="546D06E2"/>
    <w:rsid w:val="549239F0"/>
    <w:rsid w:val="54F75F49"/>
    <w:rsid w:val="552D1A7A"/>
    <w:rsid w:val="55807CEC"/>
    <w:rsid w:val="55C1559C"/>
    <w:rsid w:val="55F068CD"/>
    <w:rsid w:val="56307A15"/>
    <w:rsid w:val="566C3136"/>
    <w:rsid w:val="568D04F2"/>
    <w:rsid w:val="56C80241"/>
    <w:rsid w:val="578B0CFA"/>
    <w:rsid w:val="581A6B1B"/>
    <w:rsid w:val="587F6530"/>
    <w:rsid w:val="58F17C86"/>
    <w:rsid w:val="593C217C"/>
    <w:rsid w:val="59513E7A"/>
    <w:rsid w:val="5A0B43C0"/>
    <w:rsid w:val="5A296BA4"/>
    <w:rsid w:val="5A526582"/>
    <w:rsid w:val="5A5F5C77"/>
    <w:rsid w:val="5A711A0D"/>
    <w:rsid w:val="5A821E11"/>
    <w:rsid w:val="5B1613E4"/>
    <w:rsid w:val="5B1A63D4"/>
    <w:rsid w:val="5B2568B5"/>
    <w:rsid w:val="5B78003B"/>
    <w:rsid w:val="5BC11A60"/>
    <w:rsid w:val="5BFB2E5D"/>
    <w:rsid w:val="5C7A4D54"/>
    <w:rsid w:val="5CA00C74"/>
    <w:rsid w:val="5CC86079"/>
    <w:rsid w:val="5CD23B73"/>
    <w:rsid w:val="5CD57954"/>
    <w:rsid w:val="5D5A77C0"/>
    <w:rsid w:val="5DC14E75"/>
    <w:rsid w:val="5E1C65B7"/>
    <w:rsid w:val="5E231B5D"/>
    <w:rsid w:val="5E2603BE"/>
    <w:rsid w:val="5E5E2CC3"/>
    <w:rsid w:val="5EE52114"/>
    <w:rsid w:val="5F127819"/>
    <w:rsid w:val="5F6E1E31"/>
    <w:rsid w:val="5FBA1FBA"/>
    <w:rsid w:val="600A2FD4"/>
    <w:rsid w:val="60244033"/>
    <w:rsid w:val="60350ED3"/>
    <w:rsid w:val="606C3A37"/>
    <w:rsid w:val="60B72AEE"/>
    <w:rsid w:val="60F872D1"/>
    <w:rsid w:val="61025188"/>
    <w:rsid w:val="61057D5F"/>
    <w:rsid w:val="614D4977"/>
    <w:rsid w:val="61E33ADD"/>
    <w:rsid w:val="626D25CE"/>
    <w:rsid w:val="6282091F"/>
    <w:rsid w:val="62CE1B77"/>
    <w:rsid w:val="63756BB2"/>
    <w:rsid w:val="63C60FC0"/>
    <w:rsid w:val="63E0211F"/>
    <w:rsid w:val="643B4928"/>
    <w:rsid w:val="645027A9"/>
    <w:rsid w:val="64B40B19"/>
    <w:rsid w:val="64BA3D7A"/>
    <w:rsid w:val="64E75E8A"/>
    <w:rsid w:val="64F179BC"/>
    <w:rsid w:val="64F36292"/>
    <w:rsid w:val="65323AFA"/>
    <w:rsid w:val="65387F06"/>
    <w:rsid w:val="654A23E3"/>
    <w:rsid w:val="658971CF"/>
    <w:rsid w:val="66127E0B"/>
    <w:rsid w:val="662D4693"/>
    <w:rsid w:val="663A217C"/>
    <w:rsid w:val="665704D3"/>
    <w:rsid w:val="669944D9"/>
    <w:rsid w:val="66B17D41"/>
    <w:rsid w:val="6741641A"/>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B656832"/>
    <w:rsid w:val="6B66417A"/>
    <w:rsid w:val="6BA22313"/>
    <w:rsid w:val="6C675CE6"/>
    <w:rsid w:val="6CDD63F2"/>
    <w:rsid w:val="6D4F4321"/>
    <w:rsid w:val="6DC835B5"/>
    <w:rsid w:val="6DF41B82"/>
    <w:rsid w:val="6DFF7360"/>
    <w:rsid w:val="6E0A7D76"/>
    <w:rsid w:val="6E7A5F73"/>
    <w:rsid w:val="6EE90F9D"/>
    <w:rsid w:val="6F1D7B64"/>
    <w:rsid w:val="6FB6454A"/>
    <w:rsid w:val="6FD74228"/>
    <w:rsid w:val="7021106F"/>
    <w:rsid w:val="70D10596"/>
    <w:rsid w:val="71462F6F"/>
    <w:rsid w:val="71633091"/>
    <w:rsid w:val="725A270A"/>
    <w:rsid w:val="72CB2AEB"/>
    <w:rsid w:val="73081CA5"/>
    <w:rsid w:val="73136EFB"/>
    <w:rsid w:val="73275BE6"/>
    <w:rsid w:val="735A5BA1"/>
    <w:rsid w:val="73E831D5"/>
    <w:rsid w:val="74201F7D"/>
    <w:rsid w:val="742F6FCE"/>
    <w:rsid w:val="7487762D"/>
    <w:rsid w:val="74C33AA4"/>
    <w:rsid w:val="750305D7"/>
    <w:rsid w:val="75210D7A"/>
    <w:rsid w:val="75385498"/>
    <w:rsid w:val="75680129"/>
    <w:rsid w:val="75AE0CEB"/>
    <w:rsid w:val="75F37776"/>
    <w:rsid w:val="75F556AF"/>
    <w:rsid w:val="76BC207F"/>
    <w:rsid w:val="76C646D6"/>
    <w:rsid w:val="76EB4904"/>
    <w:rsid w:val="77645DCD"/>
    <w:rsid w:val="777378F5"/>
    <w:rsid w:val="777A2D3C"/>
    <w:rsid w:val="77B01193"/>
    <w:rsid w:val="77B92EBE"/>
    <w:rsid w:val="78673398"/>
    <w:rsid w:val="78A715E8"/>
    <w:rsid w:val="78EE2541"/>
    <w:rsid w:val="79074B81"/>
    <w:rsid w:val="794F0939"/>
    <w:rsid w:val="797E7C40"/>
    <w:rsid w:val="79AF0FCA"/>
    <w:rsid w:val="7AF9279C"/>
    <w:rsid w:val="7B1448AF"/>
    <w:rsid w:val="7B514853"/>
    <w:rsid w:val="7B5F26B3"/>
    <w:rsid w:val="7BCA404B"/>
    <w:rsid w:val="7CC51958"/>
    <w:rsid w:val="7CD53DF9"/>
    <w:rsid w:val="7CDC4B3C"/>
    <w:rsid w:val="7D097C86"/>
    <w:rsid w:val="7E2936C3"/>
    <w:rsid w:val="7E3C2153"/>
    <w:rsid w:val="7E5902AF"/>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7">
    <w:name w:val="heading 2"/>
    <w:basedOn w:val="8"/>
    <w:next w:val="1"/>
    <w:qFormat/>
    <w:uiPriority w:val="0"/>
    <w:pPr>
      <w:spacing w:line="415" w:lineRule="auto"/>
      <w:outlineLvl w:val="1"/>
    </w:pPr>
    <w:rPr>
      <w:rFonts w:ascii="Arial" w:hAnsi="Arial" w:eastAsia="黑体" w:cs="Arial"/>
    </w:rPr>
  </w:style>
  <w:style w:type="paragraph" w:styleId="8">
    <w:name w:val="heading 3"/>
    <w:basedOn w:val="1"/>
    <w:next w:val="1"/>
    <w:link w:val="61"/>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6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0">
    <w:name w:val="annotation subject"/>
    <w:basedOn w:val="11"/>
    <w:next w:val="11"/>
    <w:link w:val="69"/>
    <w:semiHidden/>
    <w:unhideWhenUsed/>
    <w:qFormat/>
    <w:uiPriority w:val="99"/>
    <w:rPr>
      <w:rFonts w:ascii="@仿宋_GB2312" w:hAnsi="@仿宋_GB2312" w:eastAsia="@仿宋_GB2312" w:cs="@仿宋_GB2312"/>
      <w:b/>
      <w:bCs/>
    </w:rPr>
  </w:style>
  <w:style w:type="paragraph" w:styleId="11">
    <w:name w:val="annotation text"/>
    <w:basedOn w:val="1"/>
    <w:link w:val="58"/>
    <w:qFormat/>
    <w:uiPriority w:val="0"/>
    <w:pPr>
      <w:jc w:val="left"/>
    </w:pPr>
    <w:rPr>
      <w:rFonts w:ascii="Arial" w:hAnsi="Arial" w:eastAsia="黑体" w:cs="Arial"/>
    </w:rPr>
  </w:style>
  <w:style w:type="paragraph" w:styleId="12">
    <w:name w:val="Body Text First Indent"/>
    <w:basedOn w:val="13"/>
    <w:unhideWhenUsed/>
    <w:qFormat/>
    <w:uiPriority w:val="99"/>
    <w:pPr>
      <w:ind w:firstLine="420" w:firstLineChars="100"/>
    </w:pPr>
  </w:style>
  <w:style w:type="paragraph" w:styleId="13">
    <w:name w:val="Body Text"/>
    <w:basedOn w:val="1"/>
    <w:next w:val="1"/>
    <w:qFormat/>
    <w:uiPriority w:val="0"/>
    <w:pPr>
      <w:spacing w:after="120"/>
    </w:pPr>
    <w:rPr>
      <w:rFonts w:ascii="@微软简标宋" w:hAnsi="@微软简标宋" w:eastAsia="@微软简标宋" w:cs="@微软简标宋"/>
      <w:szCs w:val="24"/>
      <w:lang w:val="zh-CN"/>
    </w:rPr>
  </w:style>
  <w:style w:type="paragraph" w:styleId="14">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5">
    <w:name w:val="Block Text"/>
    <w:basedOn w:val="1"/>
    <w:next w:val="13"/>
    <w:qFormat/>
    <w:uiPriority w:val="0"/>
    <w:pPr>
      <w:spacing w:line="320" w:lineRule="exact"/>
      <w:ind w:left="1159" w:leftChars="320" w:right="153" w:rightChars="73" w:hanging="487" w:hangingChars="203"/>
    </w:pPr>
    <w:rPr>
      <w:snapToGrid w:val="0"/>
      <w:kern w:val="0"/>
      <w:sz w:val="24"/>
      <w:szCs w:val="20"/>
    </w:rPr>
  </w:style>
  <w:style w:type="paragraph" w:styleId="1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48"/>
    <w:qFormat/>
    <w:uiPriority w:val="99"/>
    <w:rPr>
      <w:rFonts w:ascii="宋体" w:hAnsi="Courier New" w:eastAsiaTheme="minorEastAsia" w:cstheme="minorBidi"/>
      <w:szCs w:val="22"/>
    </w:rPr>
  </w:style>
  <w:style w:type="paragraph" w:styleId="18">
    <w:name w:val="Date"/>
    <w:basedOn w:val="1"/>
    <w:next w:val="1"/>
    <w:link w:val="55"/>
    <w:qFormat/>
    <w:uiPriority w:val="0"/>
    <w:rPr>
      <w:rFonts w:ascii="Arial" w:hAnsi="Arial" w:eastAsia="宋体" w:cs="Arial"/>
      <w:b/>
      <w:sz w:val="28"/>
    </w:rPr>
  </w:style>
  <w:style w:type="paragraph" w:styleId="19">
    <w:name w:val="Balloon Text"/>
    <w:basedOn w:val="1"/>
    <w:link w:val="42"/>
    <w:semiHidden/>
    <w:unhideWhenUsed/>
    <w:qFormat/>
    <w:uiPriority w:val="99"/>
    <w:rPr>
      <w:sz w:val="18"/>
      <w:szCs w:val="18"/>
    </w:rPr>
  </w:style>
  <w:style w:type="paragraph" w:styleId="20">
    <w:name w:val="footer"/>
    <w:basedOn w:val="1"/>
    <w:link w:val="47"/>
    <w:unhideWhenUsed/>
    <w:qFormat/>
    <w:uiPriority w:val="99"/>
    <w:pPr>
      <w:tabs>
        <w:tab w:val="center" w:pos="4153"/>
        <w:tab w:val="right" w:pos="8306"/>
      </w:tabs>
      <w:snapToGrid w:val="0"/>
      <w:jc w:val="left"/>
    </w:pPr>
    <w:rPr>
      <w:sz w:val="18"/>
      <w:szCs w:val="18"/>
    </w:rPr>
  </w:style>
  <w:style w:type="paragraph" w:styleId="21">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List 4"/>
    <w:basedOn w:val="1"/>
    <w:qFormat/>
    <w:uiPriority w:val="0"/>
    <w:pPr>
      <w:ind w:left="1680" w:hanging="420"/>
    </w:pPr>
  </w:style>
  <w:style w:type="paragraph" w:styleId="25">
    <w:name w:val="Normal (Web)"/>
    <w:basedOn w:val="1"/>
    <w:qFormat/>
    <w:uiPriority w:val="0"/>
    <w:pPr>
      <w:spacing w:before="100" w:beforeAutospacing="1" w:after="100" w:afterAutospacing="1"/>
      <w:jc w:val="left"/>
    </w:pPr>
    <w:rPr>
      <w:rFonts w:cs="Times New Roman"/>
      <w:kern w:val="0"/>
      <w:sz w:val="24"/>
    </w:rPr>
  </w:style>
  <w:style w:type="paragraph" w:styleId="26">
    <w:name w:val="index 1"/>
    <w:basedOn w:val="1"/>
    <w:next w:val="1"/>
    <w:qFormat/>
    <w:uiPriority w:val="0"/>
    <w:pPr>
      <w:jc w:val="center"/>
    </w:pPr>
    <w:rPr>
      <w:rFonts w:ascii="Arial" w:hAnsi="Arial" w:eastAsia="Arial" w:cs="Arial"/>
      <w:b/>
      <w:bCs/>
      <w:sz w:val="28"/>
    </w:r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HTML Definition"/>
    <w:basedOn w:val="27"/>
    <w:semiHidden/>
    <w:unhideWhenUsed/>
    <w:qFormat/>
    <w:uiPriority w:val="99"/>
  </w:style>
  <w:style w:type="character" w:styleId="31">
    <w:name w:val="HTML Typewriter"/>
    <w:basedOn w:val="27"/>
    <w:semiHidden/>
    <w:unhideWhenUsed/>
    <w:qFormat/>
    <w:uiPriority w:val="99"/>
    <w:rPr>
      <w:rFonts w:ascii="monospace" w:hAnsi="monospace" w:eastAsia="monospace" w:cs="monospace"/>
      <w:sz w:val="20"/>
    </w:rPr>
  </w:style>
  <w:style w:type="character" w:styleId="32">
    <w:name w:val="HTML Acronym"/>
    <w:basedOn w:val="27"/>
    <w:semiHidden/>
    <w:unhideWhenUsed/>
    <w:qFormat/>
    <w:uiPriority w:val="99"/>
  </w:style>
  <w:style w:type="character" w:styleId="33">
    <w:name w:val="HTML Variable"/>
    <w:basedOn w:val="27"/>
    <w:semiHidden/>
    <w:unhideWhenUsed/>
    <w:qFormat/>
    <w:uiPriority w:val="99"/>
  </w:style>
  <w:style w:type="character" w:styleId="34">
    <w:name w:val="Hyperlink"/>
    <w:basedOn w:val="27"/>
    <w:unhideWhenUsed/>
    <w:qFormat/>
    <w:uiPriority w:val="99"/>
    <w:rPr>
      <w:color w:val="0000FF" w:themeColor="hyperlink"/>
      <w:u w:val="single"/>
      <w14:textFill>
        <w14:solidFill>
          <w14:schemeClr w14:val="hlink"/>
        </w14:solidFill>
      </w14:textFill>
    </w:rPr>
  </w:style>
  <w:style w:type="character" w:styleId="35">
    <w:name w:val="HTML Code"/>
    <w:basedOn w:val="27"/>
    <w:semiHidden/>
    <w:unhideWhenUsed/>
    <w:qFormat/>
    <w:uiPriority w:val="99"/>
    <w:rPr>
      <w:rFonts w:hint="default" w:ascii="monospace" w:hAnsi="monospace" w:eastAsia="monospace" w:cs="monospace"/>
      <w:sz w:val="20"/>
    </w:rPr>
  </w:style>
  <w:style w:type="character" w:styleId="36">
    <w:name w:val="annotation reference"/>
    <w:basedOn w:val="27"/>
    <w:semiHidden/>
    <w:unhideWhenUsed/>
    <w:qFormat/>
    <w:uiPriority w:val="99"/>
    <w:rPr>
      <w:sz w:val="21"/>
      <w:szCs w:val="21"/>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2">
    <w:name w:val="批注框文本 字符"/>
    <w:basedOn w:val="27"/>
    <w:link w:val="19"/>
    <w:semiHidden/>
    <w:qFormat/>
    <w:uiPriority w:val="99"/>
    <w:rPr>
      <w:rFonts w:ascii="@仿宋_GB2312" w:hAnsi="@仿宋_GB2312" w:eastAsia="@仿宋_GB2312" w:cs="@仿宋_GB2312"/>
      <w:sz w:val="18"/>
      <w:szCs w:val="18"/>
    </w:rPr>
  </w:style>
  <w:style w:type="paragraph" w:customStyle="1" w:styleId="43">
    <w:name w:val="正文（缩进）"/>
    <w:basedOn w:val="1"/>
    <w:qFormat/>
    <w:uiPriority w:val="0"/>
    <w:pPr>
      <w:widowControl/>
      <w:spacing w:before="156" w:after="156"/>
      <w:ind w:firstLine="480" w:firstLineChars="200"/>
      <w:jc w:val="left"/>
    </w:pPr>
    <w:rPr>
      <w:kern w:val="0"/>
      <w:sz w:val="24"/>
      <w:szCs w:val="24"/>
    </w:rPr>
  </w:style>
  <w:style w:type="paragraph" w:customStyle="1" w:styleId="44">
    <w:name w:val="xl31"/>
    <w:basedOn w:val="1"/>
    <w:qFormat/>
    <w:uiPriority w:val="0"/>
    <w:pPr>
      <w:widowControl/>
      <w:spacing w:before="100" w:beforeAutospacing="1" w:after="100" w:afterAutospacing="1"/>
      <w:jc w:val="center"/>
    </w:pPr>
    <w:rPr>
      <w:b/>
      <w:bCs/>
      <w:kern w:val="0"/>
      <w:sz w:val="28"/>
      <w:szCs w:val="28"/>
    </w:rPr>
  </w:style>
  <w:style w:type="paragraph" w:customStyle="1" w:styleId="45">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7"/>
    <w:link w:val="21"/>
    <w:qFormat/>
    <w:uiPriority w:val="99"/>
    <w:rPr>
      <w:rFonts w:ascii="@仿宋_GB2312" w:hAnsi="@仿宋_GB2312" w:eastAsia="@仿宋_GB2312" w:cs="@仿宋_GB2312"/>
      <w:sz w:val="18"/>
      <w:szCs w:val="18"/>
    </w:rPr>
  </w:style>
  <w:style w:type="character" w:customStyle="1" w:styleId="47">
    <w:name w:val="页脚 字符"/>
    <w:basedOn w:val="27"/>
    <w:link w:val="20"/>
    <w:qFormat/>
    <w:uiPriority w:val="99"/>
    <w:rPr>
      <w:rFonts w:ascii="@仿宋_GB2312" w:hAnsi="@仿宋_GB2312" w:eastAsia="@仿宋_GB2312" w:cs="@仿宋_GB2312"/>
      <w:sz w:val="18"/>
      <w:szCs w:val="18"/>
    </w:rPr>
  </w:style>
  <w:style w:type="character" w:customStyle="1" w:styleId="48">
    <w:name w:val="纯文本 字符"/>
    <w:link w:val="17"/>
    <w:qFormat/>
    <w:uiPriority w:val="0"/>
    <w:rPr>
      <w:rFonts w:ascii="宋体" w:hAnsi="Courier New"/>
    </w:rPr>
  </w:style>
  <w:style w:type="character" w:customStyle="1" w:styleId="49">
    <w:name w:val="纯文本 字符1"/>
    <w:basedOn w:val="27"/>
    <w:semiHidden/>
    <w:qFormat/>
    <w:uiPriority w:val="99"/>
    <w:rPr>
      <w:rFonts w:hAnsi="Courier New" w:cs="Courier New" w:asciiTheme="minorEastAsia"/>
      <w:szCs w:val="20"/>
    </w:rPr>
  </w:style>
  <w:style w:type="character" w:customStyle="1" w:styleId="50">
    <w:name w:val="未处理的提及1"/>
    <w:basedOn w:val="27"/>
    <w:semiHidden/>
    <w:unhideWhenUsed/>
    <w:qFormat/>
    <w:uiPriority w:val="99"/>
    <w:rPr>
      <w:color w:val="605E5C"/>
      <w:shd w:val="clear" w:color="auto" w:fill="E1DFDD"/>
    </w:rPr>
  </w:style>
  <w:style w:type="paragraph" w:styleId="51">
    <w:name w:val="List Paragraph"/>
    <w:basedOn w:val="1"/>
    <w:qFormat/>
    <w:uiPriority w:val="34"/>
    <w:pPr>
      <w:ind w:firstLine="420" w:firstLineChars="200"/>
    </w:pPr>
  </w:style>
  <w:style w:type="paragraph" w:customStyle="1" w:styleId="52">
    <w:name w:val="Char Char Char Char Char Char Char1 Char"/>
    <w:basedOn w:val="1"/>
    <w:qFormat/>
    <w:uiPriority w:val="0"/>
    <w:rPr>
      <w:rFonts w:ascii="Arial" w:hAnsi="Arial" w:eastAsia="宋体" w:cs="Arial"/>
      <w:sz w:val="24"/>
    </w:rPr>
  </w:style>
  <w:style w:type="table" w:customStyle="1" w:styleId="53">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7"/>
    <w:semiHidden/>
    <w:qFormat/>
    <w:uiPriority w:val="99"/>
    <w:rPr>
      <w:rFonts w:ascii="@仿宋_GB2312" w:hAnsi="@仿宋_GB2312" w:eastAsia="@仿宋_GB2312" w:cs="@仿宋_GB2312"/>
      <w:szCs w:val="20"/>
    </w:rPr>
  </w:style>
  <w:style w:type="character" w:customStyle="1" w:styleId="55">
    <w:name w:val="日期 字符1"/>
    <w:link w:val="18"/>
    <w:qFormat/>
    <w:uiPriority w:val="0"/>
    <w:rPr>
      <w:rFonts w:ascii="Arial" w:hAnsi="Arial" w:eastAsia="宋体" w:cs="Arial"/>
      <w:b/>
      <w:sz w:val="28"/>
      <w:szCs w:val="20"/>
    </w:rPr>
  </w:style>
  <w:style w:type="character" w:customStyle="1" w:styleId="56">
    <w:name w:val="纯文本 Char1"/>
    <w:qFormat/>
    <w:locked/>
    <w:uiPriority w:val="99"/>
    <w:rPr>
      <w:rFonts w:ascii="Arial" w:hAnsi="Arial" w:eastAsia="Arial"/>
      <w:kern w:val="2"/>
      <w:sz w:val="21"/>
      <w:lang w:val="en-US" w:eastAsia="zh-CN" w:bidi="ar-SA"/>
    </w:rPr>
  </w:style>
  <w:style w:type="character" w:customStyle="1" w:styleId="57">
    <w:name w:val="批注文字 Char"/>
    <w:basedOn w:val="27"/>
    <w:semiHidden/>
    <w:qFormat/>
    <w:uiPriority w:val="99"/>
    <w:rPr>
      <w:rFonts w:ascii="@仿宋_GB2312" w:hAnsi="@仿宋_GB2312" w:eastAsia="@仿宋_GB2312" w:cs="@仿宋_GB2312"/>
      <w:szCs w:val="20"/>
    </w:rPr>
  </w:style>
  <w:style w:type="character" w:customStyle="1" w:styleId="58">
    <w:name w:val="批注文字 字符"/>
    <w:link w:val="11"/>
    <w:qFormat/>
    <w:uiPriority w:val="0"/>
    <w:rPr>
      <w:rFonts w:ascii="Arial" w:hAnsi="Arial" w:eastAsia="黑体" w:cs="Arial"/>
      <w:szCs w:val="20"/>
    </w:rPr>
  </w:style>
  <w:style w:type="character" w:customStyle="1" w:styleId="59">
    <w:name w:val="标题 1 字符"/>
    <w:basedOn w:val="27"/>
    <w:link w:val="6"/>
    <w:qFormat/>
    <w:uiPriority w:val="9"/>
    <w:rPr>
      <w:rFonts w:ascii="@仿宋_GB2312" w:hAnsi="@仿宋_GB2312" w:eastAsia="@仿宋_GB2312" w:cs="@仿宋_GB2312"/>
      <w:b/>
      <w:bCs/>
      <w:kern w:val="44"/>
      <w:sz w:val="44"/>
      <w:szCs w:val="44"/>
    </w:rPr>
  </w:style>
  <w:style w:type="paragraph" w:customStyle="1" w:styleId="60">
    <w:name w:val="TOC 标题1"/>
    <w:basedOn w:val="6"/>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7"/>
    <w:link w:val="8"/>
    <w:semiHidden/>
    <w:qFormat/>
    <w:uiPriority w:val="9"/>
    <w:rPr>
      <w:rFonts w:ascii="@仿宋_GB2312" w:hAnsi="@仿宋_GB2312" w:eastAsia="@仿宋_GB2312" w:cs="@仿宋_GB2312"/>
      <w:b/>
      <w:bCs/>
      <w:sz w:val="32"/>
      <w:szCs w:val="32"/>
    </w:rPr>
  </w:style>
  <w:style w:type="character" w:customStyle="1" w:styleId="62">
    <w:name w:val="fontstyle01"/>
    <w:basedOn w:val="27"/>
    <w:qFormat/>
    <w:uiPriority w:val="0"/>
    <w:rPr>
      <w:rFonts w:hint="eastAsia" w:ascii="宋体" w:hAnsi="宋体" w:eastAsia="宋体"/>
      <w:color w:val="000000"/>
      <w:sz w:val="22"/>
      <w:szCs w:val="22"/>
    </w:rPr>
  </w:style>
  <w:style w:type="character" w:customStyle="1" w:styleId="63">
    <w:name w:val="fontstyle21"/>
    <w:basedOn w:val="27"/>
    <w:qFormat/>
    <w:uiPriority w:val="0"/>
    <w:rPr>
      <w:rFonts w:hint="default" w:ascii="TimesNewRomanPSMT" w:hAnsi="TimesNewRomanPSMT"/>
      <w:color w:val="000000"/>
      <w:sz w:val="22"/>
      <w:szCs w:val="22"/>
    </w:rPr>
  </w:style>
  <w:style w:type="character" w:customStyle="1" w:styleId="6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7"/>
    <w:semiHidden/>
    <w:qFormat/>
    <w:uiPriority w:val="9"/>
    <w:rPr>
      <w:rFonts w:asciiTheme="majorHAnsi" w:hAnsiTheme="majorHAnsi" w:eastAsiaTheme="majorEastAsia" w:cstheme="majorBidi"/>
      <w:b/>
      <w:bCs/>
      <w:sz w:val="28"/>
      <w:szCs w:val="28"/>
    </w:rPr>
  </w:style>
  <w:style w:type="character" w:customStyle="1" w:styleId="66">
    <w:name w:val="标题 4 字符1"/>
    <w:link w:val="9"/>
    <w:qFormat/>
    <w:uiPriority w:val="0"/>
    <w:rPr>
      <w:rFonts w:ascii="@仿宋_GB2312" w:hAnsi="@仿宋_GB2312" w:eastAsia="@仿宋_GB2312" w:cs="@仿宋_GB2312"/>
      <w:b/>
      <w:bCs/>
      <w:sz w:val="28"/>
      <w:szCs w:val="28"/>
    </w:rPr>
  </w:style>
  <w:style w:type="character" w:customStyle="1" w:styleId="67">
    <w:name w:val="标题 4 Char"/>
    <w:qFormat/>
    <w:uiPriority w:val="0"/>
    <w:rPr>
      <w:rFonts w:ascii="Arial" w:hAnsi="Arial" w:eastAsia="Arial"/>
      <w:b/>
      <w:bCs/>
      <w:kern w:val="2"/>
      <w:sz w:val="28"/>
      <w:szCs w:val="28"/>
      <w:lang w:val="en-US" w:eastAsia="zh-CN" w:bidi="ar-SA"/>
    </w:rPr>
  </w:style>
  <w:style w:type="table" w:customStyle="1" w:styleId="68">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9">
    <w:name w:val="批注主题 字符"/>
    <w:basedOn w:val="58"/>
    <w:link w:val="10"/>
    <w:semiHidden/>
    <w:qFormat/>
    <w:uiPriority w:val="99"/>
    <w:rPr>
      <w:rFonts w:ascii="@仿宋_GB2312" w:hAnsi="@仿宋_GB2312" w:eastAsia="@仿宋_GB2312" w:cs="@仿宋_GB2312"/>
      <w:b/>
      <w:bCs/>
      <w:szCs w:val="20"/>
    </w:rPr>
  </w:style>
  <w:style w:type="table" w:customStyle="1" w:styleId="70">
    <w:name w:val="Table Normal"/>
    <w:semiHidden/>
    <w:unhideWhenUsed/>
    <w:qFormat/>
    <w:uiPriority w:val="0"/>
    <w:tblPr>
      <w:tblLayout w:type="fixed"/>
      <w:tblCellMar>
        <w:top w:w="0" w:type="dxa"/>
        <w:left w:w="0" w:type="dxa"/>
        <w:bottom w:w="0" w:type="dxa"/>
        <w:right w:w="0" w:type="dxa"/>
      </w:tblCellMar>
    </w:tblPr>
  </w:style>
  <w:style w:type="paragraph" w:customStyle="1" w:styleId="71">
    <w:name w:val="Table Text"/>
    <w:basedOn w:val="1"/>
    <w:semiHidden/>
    <w:qFormat/>
    <w:uiPriority w:val="0"/>
    <w:rPr>
      <w:rFonts w:ascii="Arial" w:hAnsi="Arial" w:eastAsia="Arial" w:cs="Arial"/>
      <w:szCs w:val="21"/>
      <w:lang w:eastAsia="en-US"/>
    </w:rPr>
  </w:style>
  <w:style w:type="paragraph" w:customStyle="1" w:styleId="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qFormat/>
    <w:uiPriority w:val="0"/>
    <w:pPr>
      <w:ind w:firstLine="420" w:firstLineChars="200"/>
    </w:pPr>
    <w:rPr>
      <w:szCs w:val="21"/>
    </w:rPr>
  </w:style>
  <w:style w:type="character" w:customStyle="1" w:styleId="74">
    <w:name w:val="15"/>
    <w:basedOn w:val="27"/>
    <w:qFormat/>
    <w:uiPriority w:val="0"/>
    <w:rPr>
      <w:rFonts w:hint="default" w:ascii="Times New Roman" w:hAnsi="Times New Roman" w:cs="Times New Roman"/>
      <w:color w:val="0000FF"/>
      <w:u w:val="single"/>
    </w:rPr>
  </w:style>
  <w:style w:type="character" w:customStyle="1" w:styleId="75">
    <w:name w:val="10"/>
    <w:basedOn w:val="27"/>
    <w:qFormat/>
    <w:uiPriority w:val="0"/>
    <w:rPr>
      <w:rFonts w:hint="default" w:ascii="Times New Roman" w:hAnsi="Times New Roman" w:cs="Times New Roman"/>
    </w:rPr>
  </w:style>
  <w:style w:type="character" w:customStyle="1" w:styleId="76">
    <w:name w:val="first-child"/>
    <w:basedOn w:val="27"/>
    <w:qFormat/>
    <w:uiPriority w:val="0"/>
  </w:style>
  <w:style w:type="character" w:customStyle="1" w:styleId="77">
    <w:name w:val="layui-this"/>
    <w:basedOn w:val="27"/>
    <w:qFormat/>
    <w:uiPriority w:val="0"/>
    <w:rPr>
      <w:bdr w:val="single" w:color="EEEEEE" w:sz="6" w:space="0"/>
      <w:shd w:val="clear" w:color="auto" w:fill="FFFFFF"/>
    </w:rPr>
  </w:style>
  <w:style w:type="paragraph" w:customStyle="1" w:styleId="78">
    <w:name w:val="Table Paragraph"/>
    <w:basedOn w:val="1"/>
    <w:next w:val="24"/>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3765</Words>
  <Characters>4093</Characters>
  <Lines>298</Lines>
  <Paragraphs>84</Paragraphs>
  <TotalTime>3</TotalTime>
  <ScaleCrop>false</ScaleCrop>
  <LinksUpToDate>false</LinksUpToDate>
  <CharactersWithSpaces>4275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2025-04-21T09:29:00Z</cp:lastPrinted>
  <dcterms:modified xsi:type="dcterms:W3CDTF">2025-04-28T02:55:39Z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