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firstLine="1044"/>
        <w:jc w:val="center"/>
        <w:rPr>
          <w:rFonts w:hint="eastAsia" w:ascii="宋体" w:hAnsi="宋体" w:eastAsia="宋体"/>
          <w:b/>
          <w:bCs/>
          <w:color w:val="000000" w:themeColor="text1"/>
          <w:sz w:val="52"/>
          <w:szCs w:val="52"/>
          <w14:textFill>
            <w14:solidFill>
              <w14:schemeClr w14:val="tx1"/>
            </w14:solidFill>
          </w14:textFill>
        </w:rPr>
      </w:pPr>
      <w:bookmarkStart w:id="0" w:name="_Hlk9544796"/>
      <w:bookmarkStart w:id="91" w:name="_GoBack"/>
      <w:bookmarkEnd w:id="91"/>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安徽省政府采购项目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公开招标文件示范文本</w:t>
      </w:r>
      <w:bookmarkEnd w:id="0"/>
      <w:r>
        <w:rPr>
          <w:rFonts w:hint="eastAsia" w:ascii="宋体" w:hAnsi="宋体" w:eastAsia="宋体"/>
          <w:b/>
          <w:bCs/>
          <w:color w:val="000000" w:themeColor="text1"/>
          <w:sz w:val="52"/>
          <w:szCs w:val="52"/>
          <w14:textFill>
            <w14:solidFill>
              <w14:schemeClr w14:val="tx1"/>
            </w14:solidFill>
          </w14:textFill>
        </w:rPr>
        <w:t>（货物类）</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（2024年版）</w:t>
      </w: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tabs>
          <w:tab w:val="left" w:pos="315"/>
          <w:tab w:val="left" w:pos="8820"/>
        </w:tabs>
        <w:spacing w:before="312" w:beforeLines="100" w:after="156" w:afterLines="50" w:line="500" w:lineRule="exact"/>
        <w:ind w:right="267" w:rightChars="127" w:firstLine="883"/>
        <w:jc w:val="center"/>
        <w:rPr>
          <w:rFonts w:hint="eastAsia" w:ascii="宋体" w:hAnsi="宋体" w:eastAsia="宋体"/>
          <w:b/>
          <w:bCs/>
          <w:color w:val="000000" w:themeColor="text1"/>
          <w:sz w:val="44"/>
          <w:szCs w:val="44"/>
          <w14:textFill>
            <w14:solidFill>
              <w14:schemeClr w14:val="tx1"/>
            </w14:solidFill>
          </w14:textFill>
        </w:rPr>
      </w:pPr>
    </w:p>
    <w:p>
      <w:pPr>
        <w:autoSpaceDE w:val="0"/>
        <w:autoSpaceDN w:val="0"/>
        <w:adjustRightInd w:val="0"/>
        <w:snapToGrid w:val="0"/>
        <w:spacing w:line="360" w:lineRule="auto"/>
        <w:ind w:left="2444" w:leftChars="304" w:hanging="1806" w:hangingChars="5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滁州市第一人民医院眼底广角镜观察镜手术显微镜录像系统采购项目</w:t>
      </w:r>
    </w:p>
    <w:p>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项目编号：</w:t>
      </w:r>
      <w:r>
        <w:rPr>
          <w:rFonts w:hint="eastAsia" w:ascii="宋体" w:hAnsi="宋体" w:eastAsia="宋体"/>
          <w:b/>
          <w:color w:val="000000" w:themeColor="text1"/>
          <w:spacing w:val="20"/>
          <w:kern w:val="0"/>
          <w:sz w:val="32"/>
          <w:szCs w:val="32"/>
          <w:u w:val="single"/>
          <w:lang w:bidi="ar"/>
          <w14:textFill>
            <w14:solidFill>
              <w14:schemeClr w14:val="tx1"/>
            </w14:solidFill>
          </w14:textFill>
        </w:rPr>
        <w:t xml:space="preserve">CZYY-2025-32  </w:t>
      </w:r>
    </w:p>
    <w:p>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购</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人：</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w:t>
      </w:r>
    </w:p>
    <w:p>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安徽百士德工程咨询有限公司</w:t>
      </w:r>
    </w:p>
    <w:p>
      <w:pPr>
        <w:spacing w:before="312" w:beforeLines="100" w:after="156" w:afterLines="50" w:line="500" w:lineRule="exact"/>
        <w:ind w:right="267" w:rightChars="127" w:firstLine="723"/>
        <w:jc w:val="center"/>
        <w:rPr>
          <w:rFonts w:hint="eastAsia"/>
          <w:color w:val="000000" w:themeColor="text1"/>
          <w14:textFill>
            <w14:solidFill>
              <w14:schemeClr w14:val="tx1"/>
            </w14:solidFill>
          </w14:textFill>
        </w:rPr>
      </w:pPr>
      <w:r>
        <w:rPr>
          <w:rFonts w:hint="eastAsia" w:ascii="宋体" w:hAnsi="宋体" w:eastAsia="宋体" w:cs="宋体"/>
          <w:b/>
          <w:color w:val="000000" w:themeColor="text1"/>
          <w:sz w:val="36"/>
          <w:szCs w:val="36"/>
          <w:u w:val="single"/>
          <w:lang w:bidi="ar"/>
          <w14:textFill>
            <w14:solidFill>
              <w14:schemeClr w14:val="tx1"/>
            </w14:solidFill>
          </w14:textFill>
        </w:rPr>
        <w:t>2025</w:t>
      </w:r>
      <w:r>
        <w:rPr>
          <w:rFonts w:hint="eastAsia" w:ascii="宋体" w:hAnsi="宋体" w:eastAsia="宋体" w:cs="宋体"/>
          <w:b/>
          <w:color w:val="000000" w:themeColor="text1"/>
          <w:sz w:val="36"/>
          <w:szCs w:val="36"/>
          <w:lang w:bidi="ar"/>
          <w14:textFill>
            <w14:solidFill>
              <w14:schemeClr w14:val="tx1"/>
            </w14:solidFill>
          </w14:textFill>
        </w:rPr>
        <w:t>年</w:t>
      </w:r>
      <w:r>
        <w:rPr>
          <w:rFonts w:hint="eastAsia" w:ascii="宋体" w:hAnsi="宋体" w:eastAsia="宋体" w:cs="宋体"/>
          <w:b/>
          <w:color w:val="000000" w:themeColor="text1"/>
          <w:sz w:val="36"/>
          <w:szCs w:val="36"/>
          <w:u w:val="single"/>
          <w:lang w:bidi="ar"/>
          <w14:textFill>
            <w14:solidFill>
              <w14:schemeClr w14:val="tx1"/>
            </w14:solidFill>
          </w14:textFill>
        </w:rPr>
        <w:t>5</w:t>
      </w:r>
      <w:r>
        <w:rPr>
          <w:rFonts w:hint="eastAsia" w:ascii="宋体" w:hAnsi="宋体" w:eastAsia="宋体" w:cs="宋体"/>
          <w:b/>
          <w:color w:val="000000" w:themeColor="text1"/>
          <w:sz w:val="36"/>
          <w:szCs w:val="36"/>
          <w:lang w:bidi="ar"/>
          <w14:textFill>
            <w14:solidFill>
              <w14:schemeClr w14:val="tx1"/>
            </w14:solidFill>
          </w14:textFill>
        </w:rPr>
        <w:t>月</w:t>
      </w:r>
    </w:p>
    <w:p>
      <w:pPr>
        <w:tabs>
          <w:tab w:val="left" w:pos="2410"/>
        </w:tabs>
        <w:autoSpaceDE w:val="0"/>
        <w:autoSpaceDN w:val="0"/>
        <w:adjustRightInd w:val="0"/>
        <w:snapToGrid w:val="0"/>
        <w:spacing w:line="360" w:lineRule="auto"/>
        <w:ind w:firstLine="723"/>
        <w:jc w:val="center"/>
        <w:rPr>
          <w:rFonts w:hint="eastAsia" w:ascii="宋体" w:hAnsi="宋体" w:eastAsia="宋体"/>
          <w:b/>
          <w:color w:val="000000" w:themeColor="text1"/>
          <w:sz w:val="28"/>
          <w14:textFill>
            <w14:solidFill>
              <w14:schemeClr w14:val="tx1"/>
            </w14:solidFill>
          </w14:textFill>
        </w:rPr>
      </w:pPr>
      <w:r>
        <w:rPr>
          <w:rFonts w:ascii="宋体" w:hAnsi="宋体" w:eastAsia="宋体"/>
          <w:b/>
          <w:color w:val="000000" w:themeColor="text1"/>
          <w:sz w:val="36"/>
          <w14:textFill>
            <w14:solidFill>
              <w14:schemeClr w14:val="tx1"/>
            </w14:solidFill>
          </w14:textFill>
        </w:rPr>
        <w:br w:type="page"/>
      </w:r>
      <w:r>
        <w:rPr>
          <w:rFonts w:hint="eastAsia" w:ascii="宋体" w:hAnsi="宋体" w:eastAsia="宋体"/>
          <w:b/>
          <w:color w:val="000000" w:themeColor="text1"/>
          <w:sz w:val="28"/>
          <w14:textFill>
            <w14:solidFill>
              <w14:schemeClr w14:val="tx1"/>
            </w14:solidFill>
          </w14:textFill>
        </w:rPr>
        <w:t>目  录</w:t>
      </w:r>
    </w:p>
    <w:p>
      <w:pPr>
        <w:pStyle w:val="21"/>
        <w:tabs>
          <w:tab w:val="right" w:leader="dot" w:pos="8306"/>
        </w:tabs>
        <w:spacing w:after="156"/>
        <w:ind w:firstLine="482"/>
        <w:rPr>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fldChar w:fldCharType="begin"/>
      </w:r>
      <w:r>
        <w:instrText xml:space="preserve"> HYPERLINK \l "_Toc23443" </w:instrText>
      </w:r>
      <w:r>
        <w:fldChar w:fldCharType="separate"/>
      </w:r>
      <w:r>
        <w:rPr>
          <w:rFonts w:hint="eastAsia" w:asciiTheme="minorEastAsia" w:hAnsiTheme="minorEastAsia"/>
          <w:color w:val="000000" w:themeColor="text1"/>
          <w:sz w:val="24"/>
          <w:szCs w:val="24"/>
          <w14:textFill>
            <w14:solidFill>
              <w14:schemeClr w14:val="tx1"/>
            </w14:solidFill>
          </w14:textFill>
        </w:rPr>
        <w:t xml:space="preserve">第一章 </w:t>
      </w:r>
      <w:r>
        <w:rPr>
          <w:rFonts w:asciiTheme="minorEastAsia" w:hAnsiTheme="minorEastAsia"/>
          <w:color w:val="000000" w:themeColor="text1"/>
          <w:sz w:val="24"/>
          <w:szCs w:val="24"/>
          <w14:textFill>
            <w14:solidFill>
              <w14:schemeClr w14:val="tx1"/>
            </w14:solidFill>
          </w14:textFill>
        </w:rPr>
        <w:t xml:space="preserve"> 投标邀请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_Toc23443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"_Toc31935" </w:instrText>
      </w:r>
      <w:r>
        <w:fldChar w:fldCharType="separate"/>
      </w:r>
      <w:r>
        <w:rPr>
          <w:rFonts w:hint="eastAsia" w:asciiTheme="minorEastAsia" w:hAnsiTheme="minorEastAsia"/>
          <w:color w:val="000000" w:themeColor="text1"/>
          <w:sz w:val="24"/>
          <w:szCs w:val="24"/>
          <w14:textFill>
            <w14:solidFill>
              <w14:schemeClr w14:val="tx1"/>
            </w14:solidFill>
          </w14:textFill>
        </w:rPr>
        <w:t>第二章</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"_Toc10891" </w:instrText>
      </w:r>
      <w:r>
        <w:fldChar w:fldCharType="separate"/>
      </w:r>
      <w:r>
        <w:rPr>
          <w:rFonts w:hint="eastAsia" w:asciiTheme="minorEastAsia" w:hAnsiTheme="minorEastAsia"/>
          <w:color w:val="000000" w:themeColor="text1"/>
          <w:sz w:val="24"/>
          <w:szCs w:val="24"/>
          <w14:textFill>
            <w14:solidFill>
              <w14:schemeClr w14:val="tx1"/>
            </w14:solidFill>
          </w14:textFill>
        </w:rPr>
        <w:t>第三章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_Toc10891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"_Toc4328" </w:instrText>
      </w:r>
      <w:r>
        <w:fldChar w:fldCharType="separate"/>
      </w:r>
      <w:r>
        <w:rPr>
          <w:rFonts w:hint="eastAsia" w:asciiTheme="minorEastAsia" w:hAnsiTheme="minorEastAsia"/>
          <w:color w:val="000000" w:themeColor="text1"/>
          <w:sz w:val="24"/>
          <w:szCs w:val="24"/>
          <w14:textFill>
            <w14:solidFill>
              <w14:schemeClr w14:val="tx1"/>
            </w14:solidFill>
          </w14:textFill>
        </w:rPr>
        <w:t>第四章  评标方法和标准（综合评分法）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_Toc4328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"_Toc4682" </w:instrText>
      </w:r>
      <w:r>
        <w:fldChar w:fldCharType="separate"/>
      </w:r>
      <w:r>
        <w:rPr>
          <w:rFonts w:hint="eastAsia" w:asciiTheme="minorEastAsia" w:hAnsiTheme="minorEastAsia"/>
          <w:color w:val="000000" w:themeColor="text1"/>
          <w:sz w:val="24"/>
          <w:szCs w:val="24"/>
          <w14:textFill>
            <w14:solidFill>
              <w14:schemeClr w14:val="tx1"/>
            </w14:solidFill>
          </w14:textFill>
        </w:rPr>
        <w:t xml:space="preserve">第五章  </w:t>
      </w:r>
      <w:r>
        <w:rPr>
          <w:rFonts w:asciiTheme="minorEastAsia" w:hAnsiTheme="minorEastAsia"/>
          <w:color w:val="000000" w:themeColor="text1"/>
          <w:sz w:val="24"/>
          <w:szCs w:val="24"/>
          <w14:textFill>
            <w14:solidFill>
              <w14:schemeClr w14:val="tx1"/>
            </w14:solidFill>
          </w14:textFill>
        </w:rPr>
        <w:t>政府采购合同</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_Toc4682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"_Toc22492" </w:instrText>
      </w:r>
      <w:r>
        <w:fldChar w:fldCharType="separate"/>
      </w:r>
      <w:r>
        <w:rPr>
          <w:rFonts w:hint="eastAsia" w:asciiTheme="minorEastAsia" w:hAnsiTheme="minorEastAsia"/>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_Toc22492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21"/>
        <w:tabs>
          <w:tab w:val="right" w:leader="dot" w:pos="8306"/>
        </w:tabs>
        <w:spacing w:after="156"/>
        <w:ind w:firstLine="440"/>
        <w:rPr>
          <w:color w:val="000000" w:themeColor="text1"/>
          <w:sz w:val="24"/>
          <w:szCs w:val="24"/>
          <w14:textFill>
            <w14:solidFill>
              <w14:schemeClr w14:val="tx1"/>
            </w14:solidFill>
          </w14:textFill>
        </w:rPr>
      </w:pPr>
      <w:r>
        <w:fldChar w:fldCharType="begin"/>
      </w:r>
      <w:r>
        <w:instrText xml:space="preserve"> HYPERLINK \l "_Toc18131" </w:instrText>
      </w:r>
      <w:r>
        <w:fldChar w:fldCharType="separate"/>
      </w:r>
      <w:r>
        <w:rPr>
          <w:rFonts w:hint="eastAsia" w:asciiTheme="minorEastAsia" w:hAnsiTheme="minorEastAsia"/>
          <w:color w:val="000000" w:themeColor="text1"/>
          <w:sz w:val="24"/>
          <w:szCs w:val="24"/>
          <w14:textFill>
            <w14:solidFill>
              <w14:schemeClr w14:val="tx1"/>
            </w14:solidFill>
          </w14:textFill>
        </w:rPr>
        <w:t>第七章</w:t>
      </w:r>
      <w:r>
        <w:rPr>
          <w:rFonts w:hint="eastAsia" w:ascii="宋体" w:hAnsi="宋体" w:eastAsia="宋体"/>
          <w:bCs/>
          <w:color w:val="000000" w:themeColor="text1"/>
          <w:sz w:val="24"/>
          <w:szCs w:val="24"/>
          <w14:textFill>
            <w14:solidFill>
              <w14:schemeClr w14:val="tx1"/>
            </w14:solidFill>
          </w14:textFill>
        </w:rPr>
        <w:t xml:space="preserve">  政府采购</w:t>
      </w:r>
      <w:r>
        <w:rPr>
          <w:rFonts w:hint="eastAsia" w:asciiTheme="minorEastAsia" w:hAnsiTheme="minorEastAsia"/>
          <w:color w:val="000000" w:themeColor="text1"/>
          <w:sz w:val="24"/>
          <w:szCs w:val="24"/>
          <w14:textFill>
            <w14:solidFill>
              <w14:schemeClr w14:val="tx1"/>
            </w14:solidFill>
          </w14:textFill>
        </w:rPr>
        <w:t>供应</w:t>
      </w:r>
      <w:r>
        <w:rPr>
          <w:rFonts w:hint="eastAsia" w:ascii="宋体" w:hAnsi="宋体" w:eastAsia="宋体"/>
          <w:bCs/>
          <w:color w:val="000000" w:themeColor="text1"/>
          <w:sz w:val="24"/>
          <w:szCs w:val="24"/>
          <w14:textFill>
            <w14:solidFill>
              <w14:schemeClr w14:val="tx1"/>
            </w14:solidFill>
          </w14:textFill>
        </w:rPr>
        <w:t>商询问函和质疑函范本</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_Toc18131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spacing w:line="360" w:lineRule="auto"/>
        <w:ind w:firstLine="480"/>
        <w:rPr>
          <w:rFonts w:hint="eastAsia"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end"/>
      </w:r>
    </w:p>
    <w:p>
      <w:pPr>
        <w:pStyle w:val="10"/>
        <w:spacing w:after="156"/>
        <w:ind w:firstLine="420"/>
        <w:rPr>
          <w:rFonts w:hint="eastAsia"/>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1" w:name="_Toc2344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投标邀请</w:t>
      </w:r>
      <w:bookmarkEnd w:id="1"/>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 w:name="_Toc1215"/>
      <w:bookmarkEnd w:id="2"/>
      <w:bookmarkStart w:id="3" w:name="OLE_LINK4"/>
      <w:bookmarkStart w:id="4" w:name="_Toc31935"/>
      <w:r>
        <w:rPr>
          <w:rFonts w:hint="eastAsia" w:ascii="宋体" w:hAnsi="宋体" w:eastAsia="宋体" w:cs="宋体"/>
          <w:color w:val="000000" w:themeColor="text1"/>
          <w:sz w:val="24"/>
          <w:szCs w:val="24"/>
          <w:lang w:bidi="ar"/>
          <w14:textFill>
            <w14:solidFill>
              <w14:schemeClr w14:val="tx1"/>
            </w14:solidFill>
          </w14:textFill>
        </w:rPr>
        <w:t>项目概况</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bidi="ar"/>
          <w14:textFill>
            <w14:solidFill>
              <w14:schemeClr w14:val="tx1"/>
            </w14:solidFill>
          </w14:textFill>
        </w:rPr>
        <w:t>滁州市第一人民医院眼底广角镜观察镜手术显微镜录像系统采购项目</w:t>
      </w:r>
      <w:r>
        <w:rPr>
          <w:rFonts w:hint="eastAsia" w:ascii="宋体" w:hAnsi="宋体" w:eastAsia="宋体" w:cs="宋体"/>
          <w:color w:val="000000" w:themeColor="text1"/>
          <w:sz w:val="24"/>
          <w:szCs w:val="24"/>
          <w:lang w:bidi="ar"/>
          <w14:textFill>
            <w14:solidFill>
              <w14:schemeClr w14:val="tx1"/>
            </w14:solidFill>
          </w14:textFill>
        </w:rPr>
        <w:t>招标项目的潜在投标人应在</w:t>
      </w:r>
      <w:r>
        <w:rPr>
          <w:rFonts w:hint="eastAsia" w:ascii="宋体" w:hAnsi="宋体" w:eastAsia="宋体" w:cs="宋体"/>
          <w:color w:val="000000" w:themeColor="text1"/>
          <w:sz w:val="24"/>
          <w:szCs w:val="24"/>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lang w:bidi="ar"/>
          <w14:textFill>
            <w14:solidFill>
              <w14:schemeClr w14:val="tx1"/>
            </w14:solidFill>
          </w14:textFill>
        </w:rPr>
        <w:t>获取招标文件，并于</w:t>
      </w:r>
      <w:r>
        <w:rPr>
          <w:rFonts w:hint="eastAsia" w:ascii="宋体" w:hAnsi="宋体" w:eastAsia="宋体" w:cs="宋体"/>
          <w:color w:val="000000" w:themeColor="text1"/>
          <w:sz w:val="24"/>
          <w:szCs w:val="24"/>
          <w:u w:val="single"/>
          <w:lang w:bidi="ar"/>
          <w14:textFill>
            <w14:solidFill>
              <w14:schemeClr w14:val="tx1"/>
            </w14:solidFill>
          </w14:textFill>
        </w:rPr>
        <w:t>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bookmarkEnd w:id="3"/>
      <w:r>
        <w:rPr>
          <w:rFonts w:hint="eastAsia" w:ascii="宋体" w:hAnsi="宋体" w:eastAsia="宋体" w:cs="宋体"/>
          <w:color w:val="000000" w:themeColor="text1"/>
          <w:sz w:val="24"/>
          <w:szCs w:val="24"/>
          <w:lang w:bidi="ar"/>
          <w14:textFill>
            <w14:solidFill>
              <w14:schemeClr w14:val="tx1"/>
            </w14:solidFill>
          </w14:textFill>
        </w:rPr>
        <w:t>。</w:t>
      </w:r>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5" w:name="_Toc58430305"/>
      <w:bookmarkEnd w:id="5"/>
      <w:bookmarkStart w:id="6" w:name="_Toc28359002"/>
      <w:bookmarkEnd w:id="6"/>
      <w:bookmarkStart w:id="7" w:name="_Toc35393790"/>
      <w:bookmarkEnd w:id="7"/>
      <w:bookmarkStart w:id="8" w:name="_Toc35393621"/>
      <w:bookmarkEnd w:id="8"/>
      <w:bookmarkStart w:id="9" w:name="_Toc28359079"/>
      <w:bookmarkEnd w:id="9"/>
      <w:bookmarkStart w:id="10"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10"/>
    </w:p>
    <w:p>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bookmarkStart w:id="11" w:name="_Hlk198030832"/>
      <w:r>
        <w:rPr>
          <w:rFonts w:hint="eastAsia" w:ascii="宋体" w:hAnsi="宋体" w:eastAsia="宋体" w:cs="宋体"/>
          <w:color w:val="000000" w:themeColor="text1"/>
          <w:sz w:val="24"/>
          <w:szCs w:val="24"/>
          <w:lang w:bidi="ar"/>
          <w14:textFill>
            <w14:solidFill>
              <w14:schemeClr w14:val="tx1"/>
            </w14:solidFill>
          </w14:textFill>
        </w:rPr>
        <w:t>项目编号：CZYY-2025-32</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bookmarkStart w:id="12" w:name="OLE_LINK1"/>
      <w:r>
        <w:rPr>
          <w:rFonts w:hint="eastAsia" w:ascii="宋体" w:hAnsi="宋体" w:eastAsia="宋体" w:cs="宋体"/>
          <w:color w:val="000000" w:themeColor="text1"/>
          <w:sz w:val="24"/>
          <w:szCs w:val="24"/>
          <w:lang w:bidi="ar"/>
          <w14:textFill>
            <w14:solidFill>
              <w14:schemeClr w14:val="tx1"/>
            </w14:solidFill>
          </w14:textFill>
        </w:rPr>
        <w:t>滁州市第一人民医院</w:t>
      </w:r>
      <w:bookmarkEnd w:id="12"/>
      <w:r>
        <w:rPr>
          <w:rFonts w:hint="eastAsia" w:ascii="宋体" w:hAnsi="宋体" w:eastAsia="宋体" w:cs="宋体"/>
          <w:color w:val="000000" w:themeColor="text1"/>
          <w:sz w:val="24"/>
          <w:szCs w:val="24"/>
          <w:lang w:bidi="ar"/>
          <w14:textFill>
            <w14:solidFill>
              <w14:schemeClr w14:val="tx1"/>
            </w14:solidFill>
          </w14:textFill>
        </w:rPr>
        <w:t>眼底广角镜观察镜手术显微镜录像系统采购项目</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kern w:val="0"/>
          <w:sz w:val="24"/>
          <w:szCs w:val="24"/>
          <w14:textFill>
            <w14:solidFill>
              <w14:schemeClr w14:val="tx1"/>
            </w14:solidFill>
          </w14:textFill>
        </w:rPr>
        <w:t>28.8万元</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kern w:val="0"/>
          <w:sz w:val="24"/>
          <w:szCs w:val="24"/>
          <w14:textFill>
            <w14:solidFill>
              <w14:schemeClr w14:val="tx1"/>
            </w14:solidFill>
          </w14:textFill>
        </w:rPr>
        <w:t>28.8万</w:t>
      </w:r>
      <w:r>
        <w:rPr>
          <w:rFonts w:hint="eastAsia" w:ascii="宋体" w:hAnsi="宋体" w:eastAsia="宋体" w:cs="宋体"/>
          <w:color w:val="000000" w:themeColor="text1"/>
          <w:sz w:val="24"/>
          <w:szCs w:val="24"/>
          <w:lang w:bidi="ar"/>
          <w14:textFill>
            <w14:solidFill>
              <w14:schemeClr w14:val="tx1"/>
            </w14:solidFill>
          </w14:textFill>
        </w:rPr>
        <w:t>元，</w:t>
      </w:r>
      <w:r>
        <w:rPr>
          <w:rFonts w:hint="eastAsia" w:ascii="宋体" w:hAnsi="宋体" w:eastAsia="宋体" w:cs="宋体"/>
          <w:color w:val="000000" w:themeColor="text1"/>
          <w:kern w:val="0"/>
          <w:sz w:val="24"/>
          <w:szCs w:val="24"/>
          <w14:textFill>
            <w14:solidFill>
              <w14:schemeClr w14:val="tx1"/>
            </w14:solidFill>
          </w14:textFill>
        </w:rPr>
        <w:t>投标人投标报价不得高于本项目设置最高限价，否则，按无效投标处理。</w:t>
      </w:r>
    </w:p>
    <w:p>
      <w:pPr>
        <w:autoSpaceDE w:val="0"/>
        <w:spacing w:line="440" w:lineRule="exact"/>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采购需求：滁州市第一人民医院</w:t>
      </w:r>
      <w:r>
        <w:rPr>
          <w:rFonts w:hint="eastAsia" w:ascii="宋体" w:hAnsi="宋体" w:eastAsia="宋体" w:cs="宋体"/>
          <w:color w:val="000000" w:themeColor="text1"/>
          <w:kern w:val="0"/>
          <w:sz w:val="24"/>
          <w:szCs w:val="24"/>
          <w14:textFill>
            <w14:solidFill>
              <w14:schemeClr w14:val="tx1"/>
            </w14:solidFill>
          </w14:textFill>
        </w:rPr>
        <w:t>北区眼科因工作需要，需采购眼底广角镜观察镜手术显微镜录像系统一套，需连接我院现有的手术显微镜（品牌为蔡司、型号为lumerai i）使用，</w:t>
      </w:r>
      <w:r>
        <w:rPr>
          <w:rFonts w:hint="eastAsia" w:ascii="宋体" w:hAnsi="宋体" w:eastAsia="宋体" w:cs="宋体"/>
          <w:color w:val="000000" w:themeColor="text1"/>
          <w:kern w:val="0"/>
          <w:sz w:val="24"/>
          <w:szCs w:val="24"/>
          <w:lang w:val="en-US" w:eastAsia="zh-CN"/>
          <w14:textFill>
            <w14:solidFill>
              <w14:schemeClr w14:val="tx1"/>
            </w14:solidFill>
          </w14:textFill>
        </w:rPr>
        <w:t>主要用于玻璃体视网膜等相关术式，</w:t>
      </w:r>
      <w:r>
        <w:rPr>
          <w:rFonts w:hint="eastAsia" w:ascii="宋体" w:hAnsi="宋体" w:eastAsia="宋体" w:cs="宋体"/>
          <w:color w:val="000000" w:themeColor="text1"/>
          <w:kern w:val="0"/>
          <w:sz w:val="24"/>
          <w:szCs w:val="24"/>
          <w14:textFill>
            <w14:solidFill>
              <w14:schemeClr w14:val="tx1"/>
            </w14:solidFill>
          </w14:textFill>
        </w:rPr>
        <w:t>具体内容见招标文件“采购需求”</w:t>
      </w:r>
      <w:bookmarkEnd w:id="11"/>
      <w:r>
        <w:rPr>
          <w:rFonts w:hint="eastAsia" w:ascii="宋体" w:hAnsi="宋体" w:eastAsia="宋体" w:cs="宋体"/>
          <w:color w:val="000000" w:themeColor="text1"/>
          <w:kern w:val="0"/>
          <w:sz w:val="24"/>
          <w:szCs w:val="24"/>
          <w14:textFill>
            <w14:solidFill>
              <w14:schemeClr w14:val="tx1"/>
            </w14:solidFill>
          </w14:textFill>
        </w:rPr>
        <w:t>。</w:t>
      </w:r>
    </w:p>
    <w:p>
      <w:pPr>
        <w:autoSpaceDE w:val="0"/>
        <w:spacing w:line="440" w:lineRule="exact"/>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合同履行期限：不高于30个日历天。</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13" w:name="_Toc28359003"/>
      <w:bookmarkEnd w:id="13"/>
      <w:bookmarkStart w:id="14" w:name="_Toc35393791"/>
      <w:bookmarkEnd w:id="14"/>
      <w:bookmarkStart w:id="15" w:name="_Toc58430306"/>
      <w:bookmarkEnd w:id="15"/>
      <w:bookmarkStart w:id="16" w:name="_Toc35393622"/>
      <w:bookmarkEnd w:id="16"/>
      <w:bookmarkStart w:id="17"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7"/>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8" w:name="_Hlk198030855"/>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pPr>
        <w:autoSpaceDE w:val="0"/>
        <w:spacing w:line="440" w:lineRule="exact"/>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9" w:name="_Toc28359081"/>
      <w:bookmarkEnd w:id="19"/>
      <w:bookmarkStart w:id="20"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20"/>
      <w:r>
        <w:rPr>
          <w:rFonts w:hint="eastAsia" w:ascii="宋体" w:hAnsi="宋体" w:eastAsia="宋体" w:cs="宋体"/>
          <w:color w:val="000000" w:themeColor="text1"/>
          <w:sz w:val="24"/>
          <w:szCs w:val="24"/>
          <w:u w:val="single"/>
          <w14:textFill>
            <w14:solidFill>
              <w14:schemeClr w14:val="tx1"/>
            </w14:solidFill>
          </w14:textFill>
        </w:rPr>
        <w:t>无；</w:t>
      </w:r>
    </w:p>
    <w:p>
      <w:pPr>
        <w:autoSpaceDE w:val="0"/>
        <w:spacing w:line="440" w:lineRule="exact"/>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bidi="ar"/>
          <w14:textFill>
            <w14:solidFill>
              <w14:schemeClr w14:val="tx1"/>
            </w14:solidFill>
          </w14:textFill>
        </w:rPr>
        <w:t>（1）投标人为制造商的必须取得国家食品药品监督管理部门颁发的此类设备医疗器械生产许可证，投标人为代理商或经销商应具有有效的中华人民共和国医疗器械经营许可证或医疗器械经营备案凭证。（2）投标人需提供所投产品：</w:t>
      </w:r>
      <w:r>
        <w:rPr>
          <w:rFonts w:hint="eastAsia" w:ascii="宋体" w:hAnsi="宋体" w:eastAsia="宋体" w:cs="宋体"/>
          <w:color w:val="000000" w:themeColor="text1"/>
          <w:sz w:val="24"/>
          <w:szCs w:val="24"/>
          <w:u w:val="single"/>
          <w:lang w:bidi="ar"/>
          <w14:textFill>
            <w14:solidFill>
              <w14:schemeClr w14:val="tx1"/>
            </w14:solidFill>
          </w14:textFill>
        </w:rPr>
        <w:fldChar w:fldCharType="begin"/>
      </w:r>
      <w:r>
        <w:rPr>
          <w:rFonts w:hint="eastAsia" w:ascii="宋体" w:hAnsi="宋体" w:eastAsia="宋体" w:cs="宋体"/>
          <w:color w:val="000000" w:themeColor="text1"/>
          <w:sz w:val="24"/>
          <w:szCs w:val="24"/>
          <w:u w:val="single"/>
          <w:lang w:bidi="ar"/>
          <w14:textFill>
            <w14:solidFill>
              <w14:schemeClr w14:val="tx1"/>
            </w14:solidFill>
          </w14:textFill>
        </w:rPr>
        <w:instrText xml:space="preserve"> = 1 \* GB3 </w:instrText>
      </w:r>
      <w:r>
        <w:rPr>
          <w:rFonts w:hint="eastAsia" w:ascii="宋体" w:hAnsi="宋体" w:eastAsia="宋体" w:cs="宋体"/>
          <w:color w:val="000000" w:themeColor="text1"/>
          <w:sz w:val="24"/>
          <w:szCs w:val="24"/>
          <w:u w:val="single"/>
          <w:lang w:bidi="ar"/>
          <w14:textFill>
            <w14:solidFill>
              <w14:schemeClr w14:val="tx1"/>
            </w14:solidFill>
          </w14:textFill>
        </w:rPr>
        <w:fldChar w:fldCharType="separate"/>
      </w:r>
      <w:r>
        <w:rPr>
          <w:rFonts w:hint="eastAsia" w:ascii="宋体" w:hAnsi="宋体" w:eastAsia="宋体" w:cs="宋体"/>
          <w:color w:val="000000" w:themeColor="text1"/>
          <w:sz w:val="24"/>
          <w:szCs w:val="24"/>
          <w:u w:val="single"/>
          <w:lang w:bidi="ar"/>
          <w14:textFill>
            <w14:solidFill>
              <w14:schemeClr w14:val="tx1"/>
            </w14:solidFill>
          </w14:textFill>
        </w:rPr>
        <w:t>①</w:t>
      </w:r>
      <w:r>
        <w:rPr>
          <w:rFonts w:hint="eastAsia" w:ascii="宋体" w:hAnsi="宋体" w:eastAsia="宋体" w:cs="宋体"/>
          <w:color w:val="000000" w:themeColor="text1"/>
          <w:sz w:val="24"/>
          <w:szCs w:val="24"/>
          <w:u w:val="single"/>
          <w:lang w:bidi="ar"/>
          <w14:textFill>
            <w14:solidFill>
              <w14:schemeClr w14:val="tx1"/>
            </w14:solidFill>
          </w14:textFill>
        </w:rPr>
        <w:fldChar w:fldCharType="end"/>
      </w:r>
      <w:r>
        <w:rPr>
          <w:rFonts w:hint="eastAsia" w:ascii="宋体" w:hAnsi="宋体" w:eastAsia="宋体" w:cs="宋体"/>
          <w:color w:val="000000" w:themeColor="text1"/>
          <w:sz w:val="24"/>
          <w:szCs w:val="24"/>
          <w:u w:val="single"/>
          <w:lang w:bidi="ar"/>
          <w14:textFill>
            <w14:solidFill>
              <w14:schemeClr w14:val="tx1"/>
            </w14:solidFill>
          </w14:textFill>
        </w:rPr>
        <w:t>“广角镜观察镜”医疗器械注册证或备案证；</w:t>
      </w:r>
      <w:r>
        <w:rPr>
          <w:rFonts w:hint="eastAsia" w:ascii="宋体" w:hAnsi="宋体" w:eastAsia="宋体" w:cs="宋体"/>
          <w:color w:val="000000" w:themeColor="text1"/>
          <w:sz w:val="24"/>
          <w:szCs w:val="24"/>
          <w:u w:val="single"/>
          <w:lang w:bidi="ar"/>
          <w14:textFill>
            <w14:solidFill>
              <w14:schemeClr w14:val="tx1"/>
            </w14:solidFill>
          </w14:textFill>
        </w:rPr>
        <w:fldChar w:fldCharType="begin"/>
      </w:r>
      <w:r>
        <w:rPr>
          <w:rFonts w:hint="eastAsia" w:ascii="宋体" w:hAnsi="宋体" w:eastAsia="宋体" w:cs="宋体"/>
          <w:color w:val="000000" w:themeColor="text1"/>
          <w:sz w:val="24"/>
          <w:szCs w:val="24"/>
          <w:u w:val="single"/>
          <w:lang w:bidi="ar"/>
          <w14:textFill>
            <w14:solidFill>
              <w14:schemeClr w14:val="tx1"/>
            </w14:solidFill>
          </w14:textFill>
        </w:rPr>
        <w:instrText xml:space="preserve"> = 2 \* GB3 </w:instrText>
      </w:r>
      <w:r>
        <w:rPr>
          <w:rFonts w:hint="eastAsia" w:ascii="宋体" w:hAnsi="宋体" w:eastAsia="宋体" w:cs="宋体"/>
          <w:color w:val="000000" w:themeColor="text1"/>
          <w:sz w:val="24"/>
          <w:szCs w:val="24"/>
          <w:u w:val="single"/>
          <w:lang w:bidi="ar"/>
          <w14:textFill>
            <w14:solidFill>
              <w14:schemeClr w14:val="tx1"/>
            </w14:solidFill>
          </w14:textFill>
        </w:rPr>
        <w:fldChar w:fldCharType="separate"/>
      </w:r>
      <w:r>
        <w:rPr>
          <w:rFonts w:hint="eastAsia" w:ascii="宋体" w:hAnsi="宋体" w:eastAsia="宋体" w:cs="宋体"/>
          <w:color w:val="000000" w:themeColor="text1"/>
          <w:sz w:val="24"/>
          <w:szCs w:val="24"/>
          <w:u w:val="single"/>
          <w:lang w:bidi="ar"/>
          <w14:textFill>
            <w14:solidFill>
              <w14:schemeClr w14:val="tx1"/>
            </w14:solidFill>
          </w14:textFill>
        </w:rPr>
        <w:t>②</w:t>
      </w:r>
      <w:r>
        <w:rPr>
          <w:rFonts w:hint="eastAsia" w:ascii="宋体" w:hAnsi="宋体" w:eastAsia="宋体" w:cs="宋体"/>
          <w:color w:val="000000" w:themeColor="text1"/>
          <w:sz w:val="24"/>
          <w:szCs w:val="24"/>
          <w:u w:val="single"/>
          <w:lang w:bidi="ar"/>
          <w14:textFill>
            <w14:solidFill>
              <w14:schemeClr w14:val="tx1"/>
            </w14:solidFill>
          </w14:textFill>
        </w:rPr>
        <w:fldChar w:fldCharType="end"/>
      </w:r>
      <w:r>
        <w:rPr>
          <w:rFonts w:hint="eastAsia" w:ascii="宋体" w:hAnsi="宋体" w:eastAsia="宋体" w:cs="宋体"/>
          <w:color w:val="000000" w:themeColor="text1"/>
          <w:sz w:val="24"/>
          <w:szCs w:val="24"/>
          <w:u w:val="single"/>
          <w:lang w:bidi="ar"/>
          <w14:textFill>
            <w14:solidFill>
              <w14:schemeClr w14:val="tx1"/>
            </w14:solidFill>
          </w14:textFill>
        </w:rPr>
        <w:t>“显微镜录像系统”无需提供医疗器械注册证或备案证</w:t>
      </w:r>
      <w:r>
        <w:rPr>
          <w:rFonts w:hint="eastAsia" w:ascii="宋体" w:hAnsi="宋体" w:eastAsia="宋体" w:cs="宋体"/>
          <w:color w:val="000000" w:themeColor="text1"/>
          <w:sz w:val="24"/>
          <w:szCs w:val="24"/>
          <w:lang w:bidi="ar"/>
          <w14:textFill>
            <w14:solidFill>
              <w14:schemeClr w14:val="tx1"/>
            </w14:solidFill>
          </w14:textFill>
        </w:rPr>
        <w:t>。</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bookmarkEnd w:id="18"/>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21" w:name="_Toc35393792"/>
      <w:bookmarkEnd w:id="21"/>
      <w:bookmarkStart w:id="22" w:name="_Toc35393623"/>
      <w:bookmarkEnd w:id="22"/>
      <w:bookmarkStart w:id="23"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23"/>
    </w:p>
    <w:p>
      <w:pPr>
        <w:autoSpaceDE w:val="0"/>
        <w:spacing w:line="440" w:lineRule="exact"/>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bookmarkStart w:id="24" w:name="_Hlk198030864"/>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2025年5月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28</w:t>
      </w:r>
      <w:r>
        <w:rPr>
          <w:rFonts w:hint="eastAsia" w:ascii="宋体" w:hAnsi="宋体" w:eastAsia="宋体" w:cs="宋体"/>
          <w:color w:val="000000" w:themeColor="text1"/>
          <w:sz w:val="24"/>
          <w:szCs w:val="24"/>
          <w:u w:val="single"/>
          <w:lang w:bidi="ar"/>
          <w14:textFill>
            <w14:solidFill>
              <w14:schemeClr w14:val="tx1"/>
            </w14:solidFill>
          </w14:textFill>
        </w:rPr>
        <w:t>日至2025年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日</w:t>
      </w:r>
    </w:p>
    <w:p>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bookmarkEnd w:id="24"/>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25" w:name="_Toc35393793"/>
      <w:bookmarkEnd w:id="25"/>
      <w:bookmarkStart w:id="26" w:name="_Toc28359082"/>
      <w:bookmarkEnd w:id="26"/>
      <w:bookmarkStart w:id="27" w:name="_Toc28359005"/>
      <w:bookmarkEnd w:id="27"/>
      <w:bookmarkStart w:id="28" w:name="_Toc35393624"/>
      <w:bookmarkEnd w:id="28"/>
      <w:bookmarkStart w:id="29"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9"/>
      <w:r>
        <w:rPr>
          <w:rFonts w:hint="eastAsia" w:ascii="宋体" w:hAnsi="宋体" w:eastAsia="宋体" w:cs="宋体"/>
          <w:b/>
          <w:bCs/>
          <w:color w:val="000000" w:themeColor="text1"/>
          <w:sz w:val="24"/>
          <w:szCs w:val="24"/>
          <w:lang w:bidi="ar"/>
          <w14:textFill>
            <w14:solidFill>
              <w14:schemeClr w14:val="tx1"/>
            </w14:solidFill>
          </w14:textFill>
        </w:rPr>
        <w:t>截止时间、开标时间和地点</w:t>
      </w:r>
    </w:p>
    <w:p>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2025年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滁州市第一人民医院南区行政部会议室</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投标文件递送（或邮寄）地点：滁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30" w:name="_Toc35393625"/>
      <w:bookmarkEnd w:id="30"/>
      <w:bookmarkStart w:id="31" w:name="_Toc28359007"/>
      <w:bookmarkEnd w:id="31"/>
      <w:bookmarkStart w:id="32" w:name="_Toc58430309"/>
      <w:bookmarkEnd w:id="32"/>
      <w:bookmarkStart w:id="33" w:name="_Toc35393794"/>
      <w:bookmarkEnd w:id="33"/>
      <w:bookmarkStart w:id="34"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34"/>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bookmarkStart w:id="35" w:name="_Toc58430310"/>
      <w:bookmarkEnd w:id="35"/>
      <w:r>
        <w:rPr>
          <w:rFonts w:hint="eastAsia" w:ascii="宋体" w:hAnsi="宋体" w:eastAsia="宋体" w:cs="宋体"/>
          <w:b/>
          <w:bCs/>
          <w:color w:val="000000" w:themeColor="text1"/>
          <w:sz w:val="24"/>
          <w:szCs w:val="24"/>
          <w:lang w:bidi="ar"/>
          <w14:textFill>
            <w14:solidFill>
              <w14:schemeClr w14:val="tx1"/>
            </w14:solidFill>
          </w14:textFill>
        </w:rPr>
        <w:t>六、其他补充事宜</w:t>
      </w:r>
    </w:p>
    <w:p>
      <w:pPr>
        <w:spacing w:line="440" w:lineRule="exact"/>
        <w:ind w:firstLine="480"/>
        <w:outlineLvl w:val="1"/>
        <w:rPr>
          <w:rFonts w:hint="eastAsia" w:ascii="宋体" w:hAnsi="宋体" w:eastAsia="宋体" w:cs="宋体"/>
          <w:color w:val="000000" w:themeColor="text1"/>
          <w:sz w:val="24"/>
          <w:szCs w:val="24"/>
          <w:lang w:bidi="ar"/>
          <w14:textFill>
            <w14:solidFill>
              <w14:schemeClr w14:val="tx1"/>
            </w14:solidFill>
          </w14:textFill>
        </w:rPr>
      </w:pPr>
      <w:bookmarkStart w:id="36" w:name="_Toc7265"/>
      <w:bookmarkEnd w:id="36"/>
      <w:bookmarkStart w:id="37" w:name="_Toc3854"/>
      <w:r>
        <w:rPr>
          <w:rFonts w:hint="eastAsia" w:ascii="宋体" w:hAnsi="宋体" w:eastAsia="宋体" w:cs="宋体"/>
          <w:color w:val="000000" w:themeColor="text1"/>
          <w:sz w:val="24"/>
          <w:szCs w:val="24"/>
          <w:lang w:bidi="ar"/>
          <w14:textFill>
            <w14:solidFill>
              <w14:schemeClr w14:val="tx1"/>
            </w14:solidFill>
          </w14:textFill>
        </w:rPr>
        <w:t>无</w:t>
      </w:r>
    </w:p>
    <w:p>
      <w:pPr>
        <w:spacing w:line="440" w:lineRule="exact"/>
        <w:ind w:firstLine="482"/>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7"/>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pPr>
        <w:autoSpaceDE w:val="0"/>
        <w:spacing w:line="440" w:lineRule="exact"/>
        <w:ind w:firstLine="480" w:firstLineChars="200"/>
        <w:outlineLvl w:val="2"/>
        <w:rPr>
          <w:rFonts w:hint="eastAsia" w:ascii="宋体" w:hAnsi="宋体" w:eastAsia="宋体"/>
          <w:color w:val="000000" w:themeColor="text1"/>
          <w:sz w:val="24"/>
          <w:szCs w:val="24"/>
          <w:u w:val="single"/>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pPr>
        <w:autoSpaceDE w:val="0"/>
        <w:spacing w:line="440" w:lineRule="exact"/>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pPr>
        <w:pStyle w:val="10"/>
        <w:spacing w:after="156" w:line="440" w:lineRule="exact"/>
        <w:ind w:firstLine="480" w:firstLineChars="200"/>
        <w:rPr>
          <w:rFonts w:hint="eastAsia" w:ascii="宋体" w:hAnsi="宋体" w:eastAsia="宋体" w:cs="@仿宋_GB2312"/>
          <w:color w:val="000000" w:themeColor="text1"/>
          <w:sz w:val="24"/>
          <w:u w:val="single"/>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联系方式：</w:t>
      </w:r>
      <w:r>
        <w:rPr>
          <w:rFonts w:hint="eastAsia" w:ascii="宋体" w:hAnsi="宋体" w:eastAsia="宋体"/>
          <w:color w:val="000000" w:themeColor="text1"/>
          <w:sz w:val="24"/>
          <w:u w:val="single"/>
          <w:lang w:bidi="ar"/>
          <w14:textFill>
            <w14:solidFill>
              <w14:schemeClr w14:val="tx1"/>
            </w14:solidFill>
          </w14:textFill>
        </w:rPr>
        <w:t xml:space="preserve">0550-3011399、13955028781 </w:t>
      </w:r>
    </w:p>
    <w:p>
      <w:pPr>
        <w:pStyle w:val="10"/>
        <w:spacing w:after="156"/>
        <w:ind w:firstLine="480"/>
        <w:rPr>
          <w:rFonts w:hint="eastAsia" w:ascii="宋体" w:hAnsi="宋体" w:eastAsia="宋体" w:cs="@仿宋_GB2312"/>
          <w:color w:val="000000" w:themeColor="text1"/>
          <w:sz w:val="24"/>
          <w:u w:val="single"/>
          <w:lang w:val="en-US" w:bidi="ar"/>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w:t>
      </w:r>
      <w:r>
        <w:rPr>
          <w:rFonts w:asciiTheme="minorEastAsia" w:hAnsiTheme="minorEastAsia" w:eastAsiaTheme="minorEastAsia"/>
          <w:b/>
          <w:color w:val="000000" w:themeColor="text1"/>
          <w:sz w:val="28"/>
          <w14:textFill>
            <w14:solidFill>
              <w14:schemeClr w14:val="tx1"/>
            </w14:solidFill>
          </w14:textFill>
        </w:rPr>
        <w:t>投标人须知</w:t>
      </w:r>
      <w:bookmarkEnd w:id="4"/>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38" w:name="_Toc3114"/>
      <w:bookmarkStart w:id="39" w:name="_Toc7178"/>
      <w:r>
        <w:rPr>
          <w:rFonts w:hint="eastAsia" w:asciiTheme="minorEastAsia" w:hAnsiTheme="minorEastAsia" w:eastAsiaTheme="minorEastAsia"/>
          <w:b/>
          <w:color w:val="000000" w:themeColor="text1"/>
          <w:sz w:val="24"/>
          <w14:textFill>
            <w14:solidFill>
              <w14:schemeClr w14:val="tx1"/>
            </w14:solidFill>
          </w14:textFill>
        </w:rPr>
        <w:t>一、</w:t>
      </w:r>
      <w:r>
        <w:rPr>
          <w:rFonts w:asciiTheme="minorEastAsia" w:hAnsiTheme="minorEastAsia" w:eastAsiaTheme="minorEastAsia"/>
          <w:b/>
          <w:color w:val="000000" w:themeColor="text1"/>
          <w:sz w:val="24"/>
          <w14:textFill>
            <w14:solidFill>
              <w14:schemeClr w14:val="tx1"/>
            </w14:solidFill>
          </w14:textFill>
        </w:rPr>
        <w:t>投标人须知前附表</w:t>
      </w:r>
      <w:bookmarkEnd w:id="38"/>
      <w:bookmarkEnd w:id="39"/>
    </w:p>
    <w:p>
      <w:pPr>
        <w:spacing w:line="360" w:lineRule="auto"/>
        <w:ind w:firstLine="482"/>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r>
        <w:rPr>
          <w:rFonts w:hint="eastAsia" w:ascii="宋体" w:hAnsi="宋体" w:eastAsia="宋体"/>
          <w:color w:val="000000" w:themeColor="text1"/>
          <w:sz w:val="24"/>
          <w:szCs w:val="18"/>
          <w14:textFill>
            <w14:solidFill>
              <w14:schemeClr w14:val="tx1"/>
            </w14:solidFill>
          </w14:textFill>
        </w:rPr>
        <w:t>本表是本项目的具体要求，是对投标人须知的具体补充和修改，如有不一致，以本表为准。</w:t>
      </w:r>
    </w:p>
    <w:tbl>
      <w:tblPr>
        <w:tblStyle w:val="39"/>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3"/>
              <w:widowControl w:val="0"/>
              <w:spacing w:before="312" w:beforeAutospacing="0" w:after="156" w:afterAutospacing="0"/>
              <w:ind w:firstLine="482"/>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2033" w:type="dxa"/>
            <w:vAlign w:val="center"/>
          </w:tcPr>
          <w:p>
            <w:pPr>
              <w:pStyle w:val="43"/>
              <w:widowControl w:val="0"/>
              <w:spacing w:before="312" w:beforeAutospacing="0" w:after="156" w:afterAutospacing="0"/>
              <w:ind w:firstLine="482"/>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5618" w:type="dxa"/>
            <w:vAlign w:val="center"/>
          </w:tcPr>
          <w:p>
            <w:pPr>
              <w:pStyle w:val="43"/>
              <w:widowControl w:val="0"/>
              <w:spacing w:before="312" w:beforeAutospacing="0" w:after="156" w:afterAutospacing="0"/>
              <w:ind w:firstLine="482"/>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5</w:t>
            </w:r>
            <w:r>
              <w:t>.</w:t>
            </w:r>
            <w:r>
              <w:rPr>
                <w:rFonts w:hint="eastAsia"/>
              </w:rPr>
              <w:t>2</w:t>
            </w:r>
          </w:p>
        </w:tc>
        <w:tc>
          <w:tcPr>
            <w:tcW w:w="2033" w:type="dxa"/>
            <w:vAlign w:val="center"/>
          </w:tcPr>
          <w:p>
            <w:pPr>
              <w:pStyle w:val="43"/>
              <w:widowControl w:val="0"/>
              <w:spacing w:before="312" w:beforeAutospacing="0" w:after="156"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5618" w:type="dxa"/>
            <w:vAlign w:val="center"/>
          </w:tcPr>
          <w:p>
            <w:pPr>
              <w:spacing w:line="420" w:lineRule="exact"/>
              <w:ind w:firstLine="4" w:firstLineChars="2"/>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pPr>
              <w:spacing w:line="420" w:lineRule="exact"/>
              <w:ind w:firstLine="4" w:firstLineChars="2"/>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pPr>
              <w:spacing w:line="420" w:lineRule="exact"/>
              <w:ind w:firstLine="4" w:firstLineChars="2"/>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pPr>
              <w:spacing w:line="420" w:lineRule="exact"/>
              <w:ind w:firstLine="4" w:firstLineChars="2"/>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pPr>
              <w:spacing w:line="420" w:lineRule="exact"/>
              <w:ind w:firstLine="4" w:firstLineChars="2"/>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pPr>
              <w:pStyle w:val="43"/>
              <w:widowControl w:val="0"/>
              <w:spacing w:before="312" w:beforeAutospacing="0" w:after="156" w:afterAutospacing="0" w:line="420" w:lineRule="exact"/>
              <w:ind w:firstLine="5"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6</w:t>
            </w:r>
            <w:r>
              <w:t>.1</w:t>
            </w:r>
          </w:p>
        </w:tc>
        <w:tc>
          <w:tcPr>
            <w:tcW w:w="2033" w:type="dxa"/>
            <w:vAlign w:val="center"/>
          </w:tcPr>
          <w:p>
            <w:pPr>
              <w:pStyle w:val="43"/>
              <w:widowControl w:val="0"/>
              <w:spacing w:before="312" w:beforeAutospacing="0" w:after="156"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2025</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14:textFill>
                  <w14:solidFill>
                    <w14:schemeClr w14:val="tx1"/>
                  </w14:solidFill>
                </w14:textFill>
              </w:rPr>
              <w:t xml:space="preserve">  5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30</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00</w:t>
            </w:r>
            <w:r>
              <w:rPr>
                <w:rFonts w:hint="eastAsia" w:ascii="宋体" w:hAnsi="宋体" w:eastAsia="宋体"/>
                <w:b w:val="0"/>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7</w:t>
            </w:r>
            <w:r>
              <w:t>.1</w:t>
            </w:r>
          </w:p>
        </w:tc>
        <w:tc>
          <w:tcPr>
            <w:tcW w:w="2033" w:type="dxa"/>
            <w:vAlign w:val="center"/>
          </w:tcPr>
          <w:p>
            <w:pPr>
              <w:pStyle w:val="43"/>
              <w:widowControl w:val="0"/>
              <w:spacing w:before="312" w:beforeAutospacing="0" w:after="156" w:afterAutospacing="0" w:line="420" w:lineRule="exact"/>
              <w:ind w:firstLine="52" w:firstLineChars="22"/>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006" w:type="dxa"/>
            <w:vAlign w:val="center"/>
          </w:tcPr>
          <w:p>
            <w:pPr>
              <w:pStyle w:val="44"/>
              <w:rPr>
                <w:rFonts w:hint="eastAsia"/>
              </w:rPr>
            </w:pPr>
            <w:r>
              <w:rPr>
                <w:rFonts w:hint="eastAsia"/>
              </w:rPr>
              <w:t>10</w:t>
            </w:r>
            <w:r>
              <w:t>.1</w:t>
            </w:r>
          </w:p>
        </w:tc>
        <w:tc>
          <w:tcPr>
            <w:tcW w:w="2033" w:type="dxa"/>
            <w:vAlign w:val="center"/>
          </w:tcPr>
          <w:p>
            <w:pPr>
              <w:pStyle w:val="43"/>
              <w:widowControl w:val="0"/>
              <w:spacing w:before="312" w:beforeAutospacing="0" w:after="156" w:afterAutospacing="0" w:line="420" w:lineRule="exact"/>
              <w:ind w:firstLine="52" w:firstLineChars="22"/>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5618" w:type="dxa"/>
            <w:vAlign w:val="center"/>
          </w:tcPr>
          <w:p>
            <w:pPr>
              <w:spacing w:line="420" w:lineRule="exact"/>
              <w:ind w:firstLine="4" w:firstLineChars="2"/>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11</w:t>
            </w:r>
            <w:r>
              <w:t>.1</w:t>
            </w:r>
          </w:p>
        </w:tc>
        <w:tc>
          <w:tcPr>
            <w:tcW w:w="2033" w:type="dxa"/>
            <w:vAlign w:val="center"/>
          </w:tcPr>
          <w:p>
            <w:pPr>
              <w:pStyle w:val="43"/>
              <w:widowControl w:val="0"/>
              <w:spacing w:before="312" w:beforeAutospacing="0" w:after="156" w:afterAutospacing="0" w:line="420" w:lineRule="exact"/>
              <w:ind w:firstLine="52" w:firstLineChars="2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90 个</w:t>
            </w:r>
            <w:r>
              <w:rPr>
                <w:rFonts w:hint="eastAsia" w:ascii="宋体" w:hAnsi="宋体" w:eastAsia="宋体"/>
                <w:b w:val="0"/>
                <w:color w:val="000000" w:themeColor="text1"/>
                <w:sz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12.3</w:t>
            </w:r>
          </w:p>
        </w:tc>
        <w:tc>
          <w:tcPr>
            <w:tcW w:w="2033" w:type="dxa"/>
            <w:vAlign w:val="center"/>
          </w:tcPr>
          <w:p>
            <w:pPr>
              <w:widowControl/>
              <w:ind w:firstLine="482"/>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pPr>
              <w:wordWrap w:val="0"/>
              <w:autoSpaceDE w:val="0"/>
              <w:spacing w:line="360" w:lineRule="auto"/>
              <w:ind w:firstLine="5" w:firstLineChars="2"/>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5 </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bidi="ar"/>
                <w14:textFill>
                  <w14:solidFill>
                    <w14:schemeClr w14:val="tx1"/>
                  </w14:solidFill>
                </w14:textFill>
              </w:rPr>
              <w:t>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pPr>
              <w:autoSpaceDE w:val="0"/>
              <w:spacing w:line="360" w:lineRule="auto"/>
              <w:ind w:firstLine="4" w:firstLineChars="2"/>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13.1</w:t>
            </w:r>
          </w:p>
        </w:tc>
        <w:tc>
          <w:tcPr>
            <w:tcW w:w="2033" w:type="dxa"/>
            <w:shd w:val="clear" w:color="auto" w:fill="auto"/>
            <w:vAlign w:val="center"/>
          </w:tcPr>
          <w:p>
            <w:pPr>
              <w:widowControl/>
              <w:ind w:firstLine="482"/>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5618" w:type="dxa"/>
            <w:shd w:val="clear" w:color="auto" w:fill="auto"/>
            <w:vAlign w:val="center"/>
          </w:tcPr>
          <w:p>
            <w:pPr>
              <w:ind w:firstLine="4" w:firstLineChars="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 xml:space="preserve">日15 时00分   </w:t>
            </w:r>
          </w:p>
          <w:p>
            <w:pPr>
              <w:autoSpaceDE w:val="0"/>
              <w:spacing w:line="360" w:lineRule="auto"/>
              <w:ind w:firstLine="4" w:firstLineChars="2"/>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滁州市第一人民医院南区行政部会议室</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14.1</w:t>
            </w:r>
          </w:p>
        </w:tc>
        <w:tc>
          <w:tcPr>
            <w:tcW w:w="2033" w:type="dxa"/>
            <w:vAlign w:val="center"/>
          </w:tcPr>
          <w:p>
            <w:pPr>
              <w:pStyle w:val="43"/>
              <w:widowControl w:val="0"/>
              <w:spacing w:before="312" w:beforeAutospacing="0" w:after="156" w:afterAutospacing="0" w:line="420" w:lineRule="exact"/>
              <w:ind w:firstLine="480"/>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17</w:t>
            </w:r>
            <w:r>
              <w:t>.2</w:t>
            </w:r>
          </w:p>
        </w:tc>
        <w:tc>
          <w:tcPr>
            <w:tcW w:w="2033" w:type="dxa"/>
            <w:vAlign w:val="center"/>
          </w:tcPr>
          <w:p>
            <w:pPr>
              <w:pStyle w:val="43"/>
              <w:widowControl w:val="0"/>
              <w:spacing w:before="312" w:beforeAutospacing="0" w:after="156" w:afterAutospacing="0" w:line="420" w:lineRule="exact"/>
              <w:ind w:firstLine="480"/>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21</w:t>
            </w:r>
            <w:r>
              <w:t>.</w:t>
            </w:r>
            <w:r>
              <w:rPr>
                <w:rFonts w:hint="eastAsia"/>
              </w:rPr>
              <w:t>1</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21</w:t>
            </w:r>
            <w:r>
              <w:t>.</w:t>
            </w:r>
            <w:r>
              <w:rPr>
                <w:rFonts w:hint="eastAsia"/>
              </w:rPr>
              <w:t>2</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5618" w:type="dxa"/>
            <w:vAlign w:val="center"/>
          </w:tcPr>
          <w:p>
            <w:pPr>
              <w:spacing w:line="420" w:lineRule="exact"/>
              <w:ind w:firstLine="4" w:firstLineChars="2"/>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t>2</w:t>
            </w:r>
            <w:r>
              <w:rPr>
                <w:rFonts w:hint="eastAsia"/>
              </w:rPr>
              <w:t>3</w:t>
            </w:r>
            <w:r>
              <w:t>.3</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24</w:t>
            </w:r>
            <w:r>
              <w:t>.1</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5618" w:type="dxa"/>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rPr>
                <w:rFonts w:hint="eastAsia"/>
              </w:rPr>
            </w:pPr>
            <w:r>
              <w:rPr>
                <w:rFonts w:hint="eastAsia"/>
              </w:rPr>
              <w:t>25</w:t>
            </w:r>
            <w:r>
              <w:t>.1</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5618" w:type="dxa"/>
            <w:vAlign w:val="center"/>
          </w:tcPr>
          <w:p>
            <w:pPr>
              <w:pStyle w:val="24"/>
              <w:spacing w:before="312" w:beforeAutospacing="0" w:after="156" w:afterAutospacing="0" w:line="360" w:lineRule="auto"/>
              <w:ind w:firstLine="4" w:firstLineChars="2"/>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006" w:type="dxa"/>
            <w:vAlign w:val="center"/>
          </w:tcPr>
          <w:p>
            <w:pPr>
              <w:pStyle w:val="44"/>
              <w:rPr>
                <w:rFonts w:hint="eastAsia"/>
              </w:rPr>
            </w:pPr>
            <w:r>
              <w:rPr>
                <w:rFonts w:hint="eastAsia"/>
              </w:rPr>
              <w:t>26</w:t>
            </w:r>
            <w:r>
              <w:t>.1</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5618" w:type="dxa"/>
          </w:tcPr>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pPr>
              <w:spacing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pPr>
              <w:spacing w:line="420" w:lineRule="exact"/>
              <w:ind w:firstLine="4" w:firstLineChars="2"/>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pPr>
              <w:spacing w:line="420" w:lineRule="exact"/>
              <w:ind w:firstLine="5" w:firstLineChars="2"/>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pPr>
              <w:spacing w:line="420" w:lineRule="exact"/>
              <w:ind w:firstLine="5" w:firstLineChars="2"/>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pPr>
              <w:spacing w:line="420" w:lineRule="exact"/>
              <w:ind w:firstLine="5" w:firstLineChars="2"/>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1006" w:type="dxa"/>
            <w:vAlign w:val="center"/>
          </w:tcPr>
          <w:p>
            <w:pPr>
              <w:pStyle w:val="44"/>
              <w:rPr>
                <w:rFonts w:hint="eastAsia"/>
              </w:rPr>
            </w:pPr>
            <w:r>
              <w:rPr>
                <w:rFonts w:hint="eastAsia"/>
              </w:rPr>
              <w:t>27</w:t>
            </w:r>
            <w:r>
              <w:t>.1</w:t>
            </w:r>
          </w:p>
        </w:tc>
        <w:tc>
          <w:tcPr>
            <w:tcW w:w="2033" w:type="dxa"/>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5618" w:type="dxa"/>
          </w:tcPr>
          <w:p>
            <w:pPr>
              <w:pStyle w:val="24"/>
              <w:widowControl/>
              <w:spacing w:before="312" w:beforeAutospacing="0" w:after="156" w:afterAutospacing="0" w:line="420" w:lineRule="exact"/>
              <w:ind w:firstLine="4" w:firstLineChars="2"/>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pPr>
              <w:pStyle w:val="24"/>
              <w:widowControl/>
              <w:spacing w:before="312" w:beforeAutospacing="0" w:after="156" w:afterAutospacing="0" w:line="420" w:lineRule="exact"/>
              <w:ind w:firstLine="4" w:firstLineChars="2"/>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bottom w:val="single" w:color="auto" w:sz="4" w:space="0"/>
            </w:tcBorders>
            <w:vAlign w:val="center"/>
          </w:tcPr>
          <w:p>
            <w:pPr>
              <w:pStyle w:val="44"/>
              <w:rPr>
                <w:rFonts w:hint="eastAsia"/>
              </w:rPr>
            </w:pPr>
            <w:r>
              <w:rPr>
                <w:rFonts w:hint="eastAsia"/>
              </w:rPr>
              <w:t>28</w:t>
            </w:r>
            <w:r>
              <w:t>.1</w:t>
            </w:r>
          </w:p>
        </w:tc>
        <w:tc>
          <w:tcPr>
            <w:tcW w:w="2033" w:type="dxa"/>
            <w:tcBorders>
              <w:bottom w:val="single" w:color="auto" w:sz="4" w:space="0"/>
            </w:tcBorders>
            <w:vAlign w:val="center"/>
          </w:tcPr>
          <w:p>
            <w:pPr>
              <w:pStyle w:val="43"/>
              <w:widowControl w:val="0"/>
              <w:spacing w:before="312" w:beforeAutospacing="0" w:after="156" w:afterAutospacing="0" w:line="420" w:lineRule="exact"/>
              <w:ind w:firstLine="480"/>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5618" w:type="dxa"/>
            <w:tcBorders>
              <w:bottom w:val="single" w:color="auto" w:sz="4" w:space="0"/>
            </w:tcBorders>
            <w:vAlign w:val="center"/>
          </w:tcPr>
          <w:p>
            <w:pPr>
              <w:spacing w:before="312" w:line="420" w:lineRule="exact"/>
              <w:ind w:firstLine="4" w:firstLineChars="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pPr>
              <w:spacing w:before="312" w:line="420" w:lineRule="exact"/>
              <w:ind w:firstLine="4" w:firstLineChars="2"/>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2160元</w:t>
            </w:r>
            <w:r>
              <w:rPr>
                <w:rFonts w:hint="eastAsia" w:ascii="宋体" w:hAnsi="宋体" w:eastAsia="宋体" w:cs="宋体"/>
                <w:color w:val="000000" w:themeColor="text1"/>
                <w:sz w:val="24"/>
                <w:szCs w:val="24"/>
                <w:u w:val="single"/>
                <w14:textFill>
                  <w14:solidFill>
                    <w14:schemeClr w14:val="tx1"/>
                  </w14:solidFill>
                </w14:textFill>
              </w:rPr>
              <w:t>（评审费另计，以实际发生为准）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top w:val="single" w:color="auto" w:sz="4" w:space="0"/>
              <w:left w:val="single" w:color="auto" w:sz="4" w:space="0"/>
              <w:bottom w:val="single" w:color="auto" w:sz="4" w:space="0"/>
            </w:tcBorders>
            <w:vAlign w:val="center"/>
          </w:tcPr>
          <w:p>
            <w:pPr>
              <w:pStyle w:val="44"/>
              <w:rPr>
                <w:rFonts w:hint="eastAsia"/>
              </w:rPr>
            </w:pPr>
            <w:r>
              <w:rPr>
                <w:rFonts w:hint="eastAsia"/>
              </w:rPr>
              <w:t>31</w:t>
            </w:r>
            <w:r>
              <w:t>.</w:t>
            </w:r>
            <w:r>
              <w:rPr>
                <w:rFonts w:hint="eastAsia"/>
              </w:rPr>
              <w:t>3</w:t>
            </w:r>
          </w:p>
        </w:tc>
        <w:tc>
          <w:tcPr>
            <w:tcW w:w="2033" w:type="dxa"/>
            <w:tcBorders>
              <w:top w:val="single" w:color="auto" w:sz="4" w:space="0"/>
              <w:bottom w:val="single" w:color="auto" w:sz="4" w:space="0"/>
            </w:tcBorders>
            <w:vAlign w:val="center"/>
          </w:tcPr>
          <w:p>
            <w:pPr>
              <w:pStyle w:val="43"/>
              <w:widowControl w:val="0"/>
              <w:spacing w:before="312" w:beforeAutospacing="0" w:after="156"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5618" w:type="dxa"/>
            <w:tcBorders>
              <w:top w:val="single" w:color="auto" w:sz="4" w:space="0"/>
              <w:bottom w:val="single" w:color="auto" w:sz="4" w:space="0"/>
              <w:right w:val="single" w:color="auto" w:sz="4" w:space="0"/>
            </w:tcBorders>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pPr>
              <w:spacing w:line="420" w:lineRule="exact"/>
              <w:ind w:firstLine="4" w:firstLineChars="2"/>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pPr>
              <w:spacing w:line="420" w:lineRule="exact"/>
              <w:ind w:firstLine="4" w:firstLineChars="2"/>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pPr>
              <w:spacing w:line="420" w:lineRule="exact"/>
              <w:ind w:firstLine="4" w:firstLineChars="2"/>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top w:val="single" w:color="auto" w:sz="4" w:space="0"/>
            </w:tcBorders>
            <w:vAlign w:val="center"/>
          </w:tcPr>
          <w:p>
            <w:pPr>
              <w:pStyle w:val="44"/>
              <w:rPr>
                <w:rFonts w:hint="eastAsia"/>
              </w:rPr>
            </w:pPr>
            <w:r>
              <w:rPr>
                <w:rFonts w:hint="eastAsia"/>
              </w:rPr>
              <w:t>32</w:t>
            </w:r>
          </w:p>
        </w:tc>
        <w:tc>
          <w:tcPr>
            <w:tcW w:w="2033" w:type="dxa"/>
            <w:tcBorders>
              <w:top w:val="single" w:color="auto" w:sz="4" w:space="0"/>
            </w:tcBorders>
            <w:vAlign w:val="center"/>
          </w:tcPr>
          <w:p>
            <w:pPr>
              <w:pStyle w:val="43"/>
              <w:widowControl w:val="0"/>
              <w:spacing w:before="312" w:beforeAutospacing="0" w:after="156" w:afterAutospacing="0" w:line="420" w:lineRule="exact"/>
              <w:ind w:firstLine="480"/>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5618" w:type="dxa"/>
            <w:tcBorders>
              <w:top w:val="single" w:color="auto" w:sz="4" w:space="0"/>
            </w:tcBorders>
            <w:vAlign w:val="center"/>
          </w:tcPr>
          <w:p>
            <w:pPr>
              <w:pStyle w:val="43"/>
              <w:widowControl w:val="0"/>
              <w:spacing w:before="312" w:beforeAutospacing="0" w:after="156" w:afterAutospacing="0" w:line="420" w:lineRule="exact"/>
              <w:ind w:firstLine="4" w:firstLineChars="2"/>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pPr>
              <w:spacing w:line="420" w:lineRule="exact"/>
              <w:ind w:firstLine="4" w:firstLineChars="2"/>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pPr>
              <w:spacing w:line="420" w:lineRule="exact"/>
              <w:ind w:firstLine="4" w:firstLineChars="2"/>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pPr>
              <w:spacing w:line="420" w:lineRule="exact"/>
              <w:ind w:firstLine="4" w:firstLineChars="2"/>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pPr>
              <w:spacing w:line="420" w:lineRule="exact"/>
              <w:ind w:firstLine="4" w:firstLineChars="2"/>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pPr>
              <w:pStyle w:val="43"/>
              <w:widowControl w:val="0"/>
              <w:spacing w:before="312" w:beforeAutospacing="0" w:after="156" w:afterAutospacing="0" w:line="420" w:lineRule="exact"/>
              <w:ind w:firstLine="4" w:firstLineChars="2"/>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pPr>
              <w:pStyle w:val="43"/>
              <w:widowControl w:val="0"/>
              <w:spacing w:before="312" w:beforeAutospacing="0" w:after="156" w:afterAutospacing="0" w:line="420" w:lineRule="exact"/>
              <w:ind w:firstLine="5" w:firstLineChars="2"/>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pPr>
        <w:spacing w:line="360" w:lineRule="auto"/>
        <w:ind w:firstLine="562"/>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40" w:name="_Toc24882"/>
      <w:bookmarkStart w:id="41" w:name="_Toc14880"/>
      <w:r>
        <w:rPr>
          <w:rFonts w:hint="eastAsia" w:asciiTheme="minorEastAsia" w:hAnsiTheme="minorEastAsia" w:eastAsiaTheme="minorEastAsia"/>
          <w:b/>
          <w:color w:val="000000" w:themeColor="text1"/>
          <w:sz w:val="24"/>
          <w:szCs w:val="24"/>
          <w14:textFill>
            <w14:solidFill>
              <w14:schemeClr w14:val="tx1"/>
            </w14:solidFill>
          </w14:textFill>
        </w:rPr>
        <w:t>二、</w:t>
      </w:r>
      <w:r>
        <w:rPr>
          <w:rFonts w:asciiTheme="minorEastAsia" w:hAnsiTheme="minorEastAsia" w:eastAsiaTheme="minorEastAsia"/>
          <w:b/>
          <w:color w:val="000000" w:themeColor="text1"/>
          <w:sz w:val="24"/>
          <w:szCs w:val="24"/>
          <w14:textFill>
            <w14:solidFill>
              <w14:schemeClr w14:val="tx1"/>
            </w14:solidFill>
          </w14:textFill>
        </w:rPr>
        <w:t>投标人须知</w:t>
      </w:r>
      <w:r>
        <w:rPr>
          <w:rFonts w:hint="eastAsia" w:asciiTheme="minorEastAsia" w:hAnsiTheme="minorEastAsia" w:eastAsiaTheme="minorEastAsia"/>
          <w:b/>
          <w:color w:val="000000" w:themeColor="text1"/>
          <w:sz w:val="24"/>
          <w:szCs w:val="24"/>
          <w14:textFill>
            <w14:solidFill>
              <w14:schemeClr w14:val="tx1"/>
            </w14:solidFill>
          </w14:textFill>
        </w:rPr>
        <w:t>正文</w:t>
      </w:r>
      <w:bookmarkEnd w:id="40"/>
      <w:bookmarkEnd w:id="41"/>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1.采购人、采购代理机构及投标人</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.1采购人：是指依法开展政府采购活动的国家机关、事业单位、团体组织。</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.2采购代理机构：是指集中采购机构或从事采购代理业务的社会中介机构。</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.3政府采购监督管理部门：</w:t>
      </w:r>
      <w:r>
        <w:rPr>
          <w:rFonts w:hint="eastAsia" w:ascii="宋体" w:hAnsi="宋体" w:eastAsia="宋体"/>
          <w:color w:val="000000" w:themeColor="text1"/>
          <w:sz w:val="24"/>
          <w14:textFill>
            <w14:solidFill>
              <w14:schemeClr w14:val="tx1"/>
            </w14:solidFill>
          </w14:textFill>
        </w:rPr>
        <w:t>各级人民政府指定的有关部门依法履行与政府采购活动有关的监督管理职责。</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.4投标人：是指向采购人提供货物、工程或者服务的法人、</w:t>
      </w:r>
      <w:r>
        <w:rPr>
          <w:rFonts w:hint="eastAsia" w:ascii="宋体" w:hAnsi="宋体" w:eastAsia="宋体"/>
          <w:color w:val="000000" w:themeColor="text1"/>
          <w:sz w:val="24"/>
          <w14:textFill>
            <w14:solidFill>
              <w14:schemeClr w14:val="tx1"/>
            </w14:solidFill>
          </w14:textFill>
        </w:rPr>
        <w:t>其他</w:t>
      </w:r>
      <w:r>
        <w:rPr>
          <w:rFonts w:ascii="宋体" w:hAnsi="宋体" w:eastAsia="宋体"/>
          <w:color w:val="000000" w:themeColor="text1"/>
          <w:sz w:val="24"/>
          <w14:textFill>
            <w14:solidFill>
              <w14:schemeClr w14:val="tx1"/>
            </w14:solidFill>
          </w14:textFill>
        </w:rPr>
        <w:t>组织或者自然人。</w:t>
      </w:r>
      <w:r>
        <w:rPr>
          <w:rFonts w:hint="eastAsia" w:ascii="宋体" w:hAnsi="宋体" w:eastAsia="宋体"/>
          <w:color w:val="000000" w:themeColor="text1"/>
          <w:sz w:val="24"/>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14:textFill>
            <w14:solidFill>
              <w14:schemeClr w14:val="tx1"/>
            </w14:solidFill>
          </w14:textFill>
        </w:rPr>
        <w:t>本项目的投标人须满足以下条件：</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以采购代理机构认可的方式获得了本项目的招标文件。</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若招标公告</w:t>
      </w:r>
      <w:r>
        <w:rPr>
          <w:rFonts w:ascii="宋体" w:hAnsi="宋体" w:eastAsia="宋体"/>
          <w:color w:val="000000" w:themeColor="text1"/>
          <w:sz w:val="24"/>
          <w14:textFill>
            <w14:solidFill>
              <w14:schemeClr w14:val="tx1"/>
            </w14:solidFill>
          </w14:textFill>
        </w:rPr>
        <w:t>中允许联合体投标，对联合体规定如下：</w:t>
      </w:r>
    </w:p>
    <w:p>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14:textFill>
            <w14:solidFill>
              <w14:schemeClr w14:val="tx1"/>
            </w14:solidFill>
          </w14:textFill>
        </w:rPr>
        <w:t>招标文件获取</w:t>
      </w:r>
      <w:r>
        <w:rPr>
          <w:rFonts w:ascii="宋体" w:hAnsi="宋体" w:eastAsia="宋体"/>
          <w:color w:val="000000" w:themeColor="text1"/>
          <w:sz w:val="24"/>
          <w14:textFill>
            <w14:solidFill>
              <w14:schemeClr w14:val="tx1"/>
            </w14:solidFill>
          </w14:textFill>
        </w:rPr>
        <w:t>手续由联合体</w:t>
      </w:r>
      <w:r>
        <w:rPr>
          <w:rFonts w:hint="eastAsia" w:ascii="宋体" w:hAnsi="宋体" w:eastAsia="宋体"/>
          <w:color w:val="000000" w:themeColor="text1"/>
          <w:sz w:val="24"/>
          <w14:textFill>
            <w14:solidFill>
              <w14:schemeClr w14:val="tx1"/>
            </w14:solidFill>
          </w14:textFill>
        </w:rPr>
        <w:t>中</w:t>
      </w:r>
      <w:r>
        <w:rPr>
          <w:rFonts w:ascii="宋体" w:hAnsi="宋体" w:eastAsia="宋体"/>
          <w:color w:val="000000" w:themeColor="text1"/>
          <w:sz w:val="24"/>
          <w14:textFill>
            <w14:solidFill>
              <w14:schemeClr w14:val="tx1"/>
            </w14:solidFill>
          </w14:textFill>
        </w:rPr>
        <w:t>任</w:t>
      </w:r>
      <w:r>
        <w:rPr>
          <w:rFonts w:hint="eastAsia" w:ascii="宋体" w:hAnsi="宋体" w:eastAsia="宋体"/>
          <w:color w:val="000000" w:themeColor="text1"/>
          <w:sz w:val="24"/>
          <w14:textFill>
            <w14:solidFill>
              <w14:schemeClr w14:val="tx1"/>
            </w14:solidFill>
          </w14:textFill>
        </w:rPr>
        <w:t>一成员单位</w:t>
      </w:r>
      <w:r>
        <w:rPr>
          <w:rFonts w:ascii="宋体" w:hAnsi="宋体" w:eastAsia="宋体"/>
          <w:color w:val="000000" w:themeColor="text1"/>
          <w:sz w:val="24"/>
          <w14:textFill>
            <w14:solidFill>
              <w14:schemeClr w14:val="tx1"/>
            </w14:solidFill>
          </w14:textFill>
        </w:rPr>
        <w:t>办理均可。</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5.2联合体各方均应符合《中华人民共和国政府采购法》第二十二条规定的条件。</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5.3采购人根据采购项目对投标人的特殊要求，联合体中至少应当有一方符合相关规定。</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5.4联合体各方应签订</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，明确约定联合体各方承担的工作和相应的责任，并将</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作为投标文件</w:t>
      </w:r>
      <w:r>
        <w:rPr>
          <w:rFonts w:hint="eastAsia" w:ascii="宋体" w:hAnsi="宋体" w:eastAsia="宋体"/>
          <w:color w:val="000000" w:themeColor="text1"/>
          <w:sz w:val="24"/>
          <w14:textFill>
            <w14:solidFill>
              <w14:schemeClr w14:val="tx1"/>
            </w14:solidFill>
          </w14:textFill>
        </w:rPr>
        <w:t>的</w:t>
      </w:r>
      <w:r>
        <w:rPr>
          <w:rFonts w:ascii="宋体" w:hAnsi="宋体" w:eastAsia="宋体"/>
          <w:color w:val="000000" w:themeColor="text1"/>
          <w:sz w:val="24"/>
          <w14:textFill>
            <w14:solidFill>
              <w14:schemeClr w14:val="tx1"/>
            </w14:solidFill>
          </w14:textFill>
        </w:rPr>
        <w:t>一部分提交。</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5.5</w:t>
      </w:r>
      <w:r>
        <w:rPr>
          <w:rFonts w:hint="eastAsia" w:ascii="宋体" w:hAnsi="宋体" w:eastAsia="宋体"/>
          <w:color w:val="000000" w:themeColor="text1"/>
          <w:sz w:val="24"/>
          <w14:textFill>
            <w14:solidFill>
              <w14:schemeClr w14:val="tx1"/>
            </w14:solidFill>
          </w14:textFill>
        </w:rPr>
        <w:t>联合体中有同类资质的供应商按照联合体分工承担相同工作的，</w:t>
      </w:r>
      <w:r>
        <w:rPr>
          <w:rFonts w:ascii="宋体" w:hAnsi="宋体" w:eastAsia="宋体"/>
          <w:color w:val="000000" w:themeColor="text1"/>
          <w:sz w:val="24"/>
          <w14:textFill>
            <w14:solidFill>
              <w14:schemeClr w14:val="tx1"/>
            </w14:solidFill>
          </w14:textFill>
        </w:rPr>
        <w:t>应当按照</w:t>
      </w:r>
      <w:r>
        <w:rPr>
          <w:rFonts w:hint="eastAsia" w:ascii="宋体" w:hAnsi="宋体" w:eastAsia="宋体"/>
          <w:color w:val="000000" w:themeColor="text1"/>
          <w:sz w:val="24"/>
          <w14:textFill>
            <w14:solidFill>
              <w14:schemeClr w14:val="tx1"/>
            </w14:solidFill>
          </w14:textFill>
        </w:rPr>
        <w:t>资质等级较低的供应商确定资质等级。</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6</w:t>
      </w:r>
      <w:r>
        <w:rPr>
          <w:rFonts w:ascii="宋体" w:hAnsi="宋体" w:eastAsia="宋体"/>
          <w:color w:val="000000" w:themeColor="text1"/>
          <w:sz w:val="24"/>
          <w14:textFill>
            <w14:solidFill>
              <w14:schemeClr w14:val="tx1"/>
            </w14:solidFill>
          </w14:textFill>
        </w:rPr>
        <w:t>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14:textFill>
            <w14:solidFill>
              <w14:schemeClr w14:val="tx1"/>
            </w14:solidFill>
          </w14:textFill>
        </w:rPr>
        <w:t>投标无效</w:t>
      </w:r>
      <w:r>
        <w:rPr>
          <w:rFonts w:ascii="宋体" w:hAnsi="宋体" w:eastAsia="宋体"/>
          <w:color w:val="000000" w:themeColor="text1"/>
          <w:sz w:val="24"/>
          <w14:textFill>
            <w14:solidFill>
              <w14:schemeClr w14:val="tx1"/>
            </w14:solidFill>
          </w14:textFill>
        </w:rPr>
        <w:t>。</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7</w:t>
      </w:r>
      <w:r>
        <w:rPr>
          <w:rFonts w:ascii="宋体" w:hAnsi="宋体" w:eastAsia="宋体"/>
          <w:color w:val="000000" w:themeColor="text1"/>
          <w:sz w:val="24"/>
          <w14:textFill>
            <w14:solidFill>
              <w14:schemeClr w14:val="tx1"/>
            </w14:solidFill>
          </w14:textFill>
        </w:rPr>
        <w:t>对联合体投标的其他资格要求见</w:t>
      </w:r>
      <w:r>
        <w:rPr>
          <w:rFonts w:hint="eastAsia" w:ascii="宋体" w:hAnsi="宋体" w:eastAsia="宋体"/>
          <w:color w:val="000000" w:themeColor="text1"/>
          <w:sz w:val="24"/>
          <w14:textFill>
            <w14:solidFill>
              <w14:schemeClr w14:val="tx1"/>
            </w14:solidFill>
          </w14:textFill>
        </w:rPr>
        <w:t>申请人的资格要求</w:t>
      </w:r>
      <w:r>
        <w:rPr>
          <w:rFonts w:ascii="宋体" w:hAnsi="宋体" w:eastAsia="宋体"/>
          <w:color w:val="000000" w:themeColor="text1"/>
          <w:sz w:val="24"/>
          <w14:textFill>
            <w14:solidFill>
              <w14:schemeClr w14:val="tx1"/>
            </w14:solidFill>
          </w14:textFill>
        </w:rPr>
        <w:t>。</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2.资金落实情况</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w:t>
      </w:r>
      <w:r>
        <w:rPr>
          <w:rFonts w:hint="eastAsia" w:ascii="宋体" w:hAnsi="宋体" w:eastAsia="宋体"/>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的采购人已获得足以支付本次招标后所签订的合同项下的资金。</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3.投标费用</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不论投标的结果如何，投标人应承担所有与准备和参加投标有关的费用。</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4.适用法律</w:t>
      </w:r>
    </w:p>
    <w:p>
      <w:pPr>
        <w:spacing w:line="360" w:lineRule="auto"/>
        <w:ind w:firstLine="480"/>
        <w:rPr>
          <w:rFonts w:hint="eastAsia"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5.招标文件构成</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5.1招标文件包括下列内容：</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投标邀请</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投标人须知</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评标</w:t>
      </w:r>
      <w:r>
        <w:rPr>
          <w:rFonts w:hint="eastAsia" w:asciiTheme="minorEastAsia" w:hAnsiTheme="minorEastAsia" w:eastAsiaTheme="minorEastAsia"/>
          <w:color w:val="000000" w:themeColor="text1"/>
          <w:sz w:val="24"/>
          <w14:textFill>
            <w14:solidFill>
              <w14:schemeClr w14:val="tx1"/>
            </w14:solidFill>
          </w14:textFill>
        </w:rPr>
        <w:t>方法</w:t>
      </w:r>
      <w:r>
        <w:rPr>
          <w:rFonts w:asciiTheme="minorEastAsia" w:hAnsiTheme="minorEastAsia" w:eastAsiaTheme="minorEastAsia"/>
          <w:color w:val="000000" w:themeColor="text1"/>
          <w:sz w:val="24"/>
          <w14:textFill>
            <w14:solidFill>
              <w14:schemeClr w14:val="tx1"/>
            </w14:solidFill>
          </w14:textFill>
        </w:rPr>
        <w:t>和标准</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投标文件格式</w:t>
      </w:r>
    </w:p>
    <w:p>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14:textFill>
            <w14:solidFill>
              <w14:schemeClr w14:val="tx1"/>
            </w14:solidFill>
          </w14:textFill>
        </w:rPr>
        <w:t>四</w:t>
      </w:r>
      <w:r>
        <w:rPr>
          <w:rFonts w:asciiTheme="minorEastAsia" w:hAnsiTheme="minorEastAsia" w:eastAsiaTheme="minorEastAsia"/>
          <w:color w:val="000000" w:themeColor="text1"/>
          <w:sz w:val="24"/>
          <w14:textFill>
            <w14:solidFill>
              <w14:schemeClr w14:val="tx1"/>
            </w14:solidFill>
          </w14:textFill>
        </w:rPr>
        <w:t>章。</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投标人应认真阅读招标文件所有的事项、格式、条款和技术规范等。</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6.招标文件的澄清与修改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在</w:t>
      </w:r>
      <w:r>
        <w:rPr>
          <w:rFonts w:ascii="宋体" w:hAnsi="宋体" w:eastAsia="宋体"/>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w:t>
      </w:r>
      <w:r>
        <w:rPr>
          <w:rFonts w:hint="eastAsia" w:ascii="宋体" w:hAnsi="宋体" w:eastAsia="宋体" w:cs="宋体"/>
          <w:color w:val="000000" w:themeColor="text1"/>
          <w:sz w:val="24"/>
          <w:szCs w:val="24"/>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在滁州市第一人民医院官网以发布更正公告的方式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澄清或修改招标文件，更正公告的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为招标文件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14:textFill>
            <w14:solidFill>
              <w14:schemeClr w14:val="tx1"/>
            </w14:solidFill>
          </w14:textFill>
        </w:rPr>
        <w:t>。投标人应主动上网查询。采购代理机构不承担投标人未及时关注相关信息引发的相关责任。</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360" w:lineRule="auto"/>
        <w:ind w:firstLine="480"/>
        <w:rPr>
          <w:rFonts w:hint="eastAsia"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rFonts w:ascii="宋体" w:hAnsi="宋体" w:eastAsia="宋体"/>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项目投标的</w:t>
      </w:r>
      <w:r>
        <w:rPr>
          <w:rFonts w:hint="eastAsia" w:asciiTheme="minorEastAsia" w:hAnsiTheme="minorEastAsia" w:eastAsiaTheme="minorEastAsia"/>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招标文件（含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7.投标范围及投标文件中标准和计量单位的使用</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中另有规定。</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14:textFill>
            <w14:solidFill>
              <w14:schemeClr w14:val="tx1"/>
            </w14:solidFill>
          </w14:textFill>
        </w:rPr>
        <w:t>所投包别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所投包别的</w:t>
      </w:r>
      <w:r>
        <w:rPr>
          <w:rFonts w:asciiTheme="minorEastAsia" w:hAnsiTheme="minorEastAsia" w:eastAsiaTheme="minorEastAsia"/>
          <w:color w:val="000000" w:themeColor="text1"/>
          <w:sz w:val="24"/>
          <w14:textFill>
            <w14:solidFill>
              <w14:schemeClr w14:val="tx1"/>
            </w14:solidFill>
          </w14:textFill>
        </w:rPr>
        <w:t>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bookmarkStart w:id="42" w:name="_Hlk16458980"/>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.3无论招标文件中是否要求，</w:t>
      </w:r>
      <w:r>
        <w:rPr>
          <w:rFonts w:hint="eastAsia" w:asciiTheme="minorEastAsia" w:hAnsiTheme="minorEastAsia" w:eastAsiaTheme="minorEastAsia"/>
          <w:color w:val="000000" w:themeColor="text1"/>
          <w:sz w:val="24"/>
          <w14:textFill>
            <w14:solidFill>
              <w14:schemeClr w14:val="tx1"/>
            </w14:solidFill>
          </w14:textFill>
        </w:rPr>
        <w:t>投标人所投货物及伴随的服务和工程均应符合国家强制性标准。</w:t>
      </w:r>
    </w:p>
    <w:bookmarkEnd w:id="42"/>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w:t>
      </w:r>
      <w:r>
        <w:rPr>
          <w:rFonts w:ascii="宋体" w:hAnsi="宋体" w:eastAsia="宋体"/>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中有特殊要求外，投标文件中所使用的计量单位，应采用中华人民共和国法定计量单位。</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投标文件构成</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写投标文件，</w:t>
      </w:r>
      <w:r>
        <w:rPr>
          <w:rFonts w:hint="eastAsia" w:asciiTheme="minorEastAsia" w:hAnsiTheme="minorEastAsia" w:eastAsiaTheme="minorEastAsia"/>
          <w:color w:val="000000" w:themeColor="text1"/>
          <w:sz w:val="24"/>
          <w14:textFill>
            <w14:solidFill>
              <w14:schemeClr w14:val="tx1"/>
            </w14:solidFill>
          </w14:textFill>
        </w:rPr>
        <w:t>具体内容详见本项目投标文件格式的相关内容。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应提交</w:t>
      </w:r>
      <w:r>
        <w:rPr>
          <w:rFonts w:hint="eastAsia" w:asciiTheme="minorEastAsia" w:hAnsiTheme="minorEastAsia" w:eastAsiaTheme="minorEastAsia"/>
          <w:color w:val="000000" w:themeColor="text1"/>
          <w:sz w:val="24"/>
          <w14:textFill>
            <w14:solidFill>
              <w14:schemeClr w14:val="tx1"/>
            </w14:solidFill>
          </w14:textFill>
        </w:rPr>
        <w:t>招标文件要求的</w:t>
      </w:r>
      <w:r>
        <w:rPr>
          <w:rFonts w:asciiTheme="minorEastAsia" w:hAnsiTheme="minorEastAsia" w:eastAsiaTheme="minorEastAsia"/>
          <w:color w:val="000000" w:themeColor="text1"/>
          <w:sz w:val="24"/>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43" w:name="_Hlk11703583"/>
      <w:r>
        <w:rPr>
          <w:rFonts w:hint="eastAsia" w:asciiTheme="minorEastAsia" w:hAnsiTheme="minorEastAsia" w:eastAsiaTheme="minorEastAsia"/>
          <w:color w:val="000000" w:themeColor="text1"/>
          <w:sz w:val="24"/>
          <w14:textFill>
            <w14:solidFill>
              <w14:schemeClr w14:val="tx1"/>
            </w14:solidFill>
          </w14:textFill>
        </w:rPr>
        <w:t>等。</w:t>
      </w:r>
    </w:p>
    <w:bookmarkEnd w:id="43"/>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8.3</w:t>
      </w:r>
      <w:r>
        <w:rPr>
          <w:rFonts w:asciiTheme="minorEastAsia" w:hAnsiTheme="minorEastAsia" w:eastAsiaTheme="minorEastAsia"/>
          <w:color w:val="000000" w:themeColor="text1"/>
          <w:sz w:val="24"/>
          <w14:textFill>
            <w14:solidFill>
              <w14:schemeClr w14:val="tx1"/>
            </w14:solidFill>
          </w14:textFill>
        </w:rPr>
        <w:t>为保证</w:t>
      </w:r>
      <w:r>
        <w:rPr>
          <w:rFonts w:ascii="宋体" w:hAnsi="宋体" w:eastAsia="宋体"/>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14:textFill>
            <w14:solidFill>
              <w14:schemeClr w14:val="tx1"/>
            </w14:solidFill>
          </w14:textFill>
        </w:rPr>
        <w:t>备选</w:t>
      </w:r>
      <w:r>
        <w:rPr>
          <w:rFonts w:asciiTheme="minorEastAsia" w:hAnsiTheme="minorEastAsia" w:eastAsiaTheme="minorEastAsia"/>
          <w:color w:val="000000" w:themeColor="text1"/>
          <w:sz w:val="24"/>
          <w14:textFill>
            <w14:solidFill>
              <w14:schemeClr w14:val="tx1"/>
            </w14:solidFill>
          </w14:textFill>
        </w:rPr>
        <w:t>投标方案。</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投标报价</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14:textFill>
            <w14:solidFill>
              <w14:schemeClr w14:val="tx1"/>
            </w14:solidFill>
          </w14:textFill>
        </w:rPr>
        <w:t>。除招标文件另有规定外，所有投标均应以人民币报价。投标人的投标报价应遵守《中华人民共和国价格法》。</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3投标报价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投标保证金</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10.1本项目不收取投标保证金。</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投标有效期</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8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投标文件的密封、递交、修改与撤回</w:t>
      </w:r>
    </w:p>
    <w:p>
      <w:pPr>
        <w:spacing w:line="360" w:lineRule="auto"/>
        <w:ind w:firstLine="480"/>
        <w:rPr>
          <w:rFonts w:hint="eastAsia" w:ascii="宋体" w:hAnsi="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2.1投标文件的份数和签署</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（1）投标文件份数：一式三份，正本一份，副本二份。</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（2）投标文件的正本和副本均需打印或使用不褪色的蓝、黑墨水笔书写，字迹应清晰易于辩认，并应在投标文件封面的右上角清楚地注明“正本”或“副本”。正本和副本如有不一致之处，以正本为准。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12．2投标文件的密封和标记</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（1）供应商应当将投标文件正本、副本密封在一个档案袋内。</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注：样品按评分标准中的要求进行密封和标记。</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12.3投标文件的提交</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供应商应在供应商须知前附表规定的提交截止时间前递交投标文件。</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（2）供应商提交投标文件的地点：见供应商须知前附表。</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（3）除供应商须知前附表另有规定外，供应商所递交的投标文件不予退还。</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（4）逾期送达的或者未送达指定地点的投标文件，采购人不予受理。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12.4投标文件的补充、修改与撤回</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（1）供应商在本章规定的投标文件投标截止时间前，供应商可以修改或撤回已递交的投标文件，但应以书面形式通知采购人。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（2）供应商修改或撤回已递交投标文件的书面通知应按照本章的要求签字或盖章。</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（3）供应商撤回投标文件的，采购人自收到供应商书面撤回通知之日起5日内退还已收取的投标保证金。</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（4）修改的内容为投标文件的组成部分。</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开标</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1采购人或采购代理机构将在投标人须知前附表规定的时间和地点进行开标。</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13.2开标时，应对各投标人的投标文件密封情况进行检查，并，对其投标文件进行解密。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开标时，采购代理机构将公布</w:t>
      </w:r>
      <w:r>
        <w:rPr>
          <w:rFonts w:hint="eastAsia" w:asciiTheme="minorEastAsia" w:hAnsiTheme="minorEastAsia" w:eastAsiaTheme="minorEastAsia"/>
          <w:color w:val="000000" w:themeColor="text1"/>
          <w:sz w:val="24"/>
          <w14:textFill>
            <w14:solidFill>
              <w14:schemeClr w14:val="tx1"/>
            </w14:solidFill>
          </w14:textFill>
        </w:rPr>
        <w:t>开标结果，公布内容包括投标人名称、投标价格及招标文件规定的内容。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13.4采购人或采购代理机构将对开标过程进行记录，并存档备查。</w:t>
      </w:r>
    </w:p>
    <w:p>
      <w:pPr>
        <w:spacing w:line="360" w:lineRule="auto"/>
        <w:ind w:firstLine="480"/>
        <w:rPr>
          <w:rFonts w:hint="eastAsia"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13.5投标人代表对开标过程和开标记录有疑义，以及认为采购人、采购代理机构相关工作人员有需要回避的情形的，应当场提出询问或者回避申请。</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资格审查及组建评标委员会</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14:textFill>
            <w14:solidFill>
              <w14:schemeClr w14:val="tx1"/>
            </w14:solidFill>
          </w14:textFill>
        </w:rPr>
        <w:t>容</w:t>
      </w:r>
      <w:r>
        <w:rPr>
          <w:rFonts w:hint="eastAsia" w:asciiTheme="minorEastAsia" w:hAnsiTheme="minorEastAsia" w:eastAsiaTheme="minorEastAsia"/>
          <w:color w:val="000000" w:themeColor="text1"/>
          <w:sz w:val="24"/>
          <w14:textFill>
            <w14:solidFill>
              <w14:schemeClr w14:val="tx1"/>
            </w14:solidFill>
          </w14:textFill>
        </w:rPr>
        <w:t>，对投标人资格进行审查，未</w:t>
      </w:r>
      <w:r>
        <w:rPr>
          <w:rFonts w:asciiTheme="minorEastAsia" w:hAnsiTheme="minorEastAsia" w:eastAsiaTheme="minorEastAsia"/>
          <w:color w:val="000000" w:themeColor="text1"/>
          <w:sz w:val="24"/>
          <w14:textFill>
            <w14:solidFill>
              <w14:schemeClr w14:val="tx1"/>
            </w14:solidFill>
          </w14:textFill>
        </w:rPr>
        <w:t>通过资格审查的投标人</w:t>
      </w:r>
      <w:r>
        <w:rPr>
          <w:rFonts w:hint="eastAsia" w:asciiTheme="minorEastAsia" w:hAnsiTheme="minorEastAsia" w:eastAsiaTheme="minorEastAsia"/>
          <w:color w:val="000000" w:themeColor="text1"/>
          <w:sz w:val="24"/>
          <w14:textFill>
            <w14:solidFill>
              <w14:schemeClr w14:val="tx1"/>
            </w14:solidFill>
          </w14:textFill>
        </w:rPr>
        <w:t>不</w:t>
      </w:r>
      <w:r>
        <w:rPr>
          <w:rFonts w:asciiTheme="minorEastAsia" w:hAnsiTheme="minorEastAsia" w:eastAsiaTheme="minorEastAsia"/>
          <w:color w:val="000000" w:themeColor="text1"/>
          <w:sz w:val="24"/>
          <w14:textFill>
            <w14:solidFill>
              <w14:schemeClr w14:val="tx1"/>
            </w14:solidFill>
          </w14:textFill>
        </w:rPr>
        <w:t>进入评标</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bookmarkStart w:id="44" w:name="_Hlk24663244"/>
      <w:r>
        <w:rPr>
          <w:rFonts w:hint="eastAsia" w:ascii="宋体" w:hAnsi="宋体" w:eastAsia="宋体" w:cs="宋体"/>
          <w:color w:val="000000" w:themeColor="text1"/>
          <w:sz w:val="24"/>
          <w:szCs w:val="24"/>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bookmarkEnd w:id="44"/>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投标文件符合性审查与澄清</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r>
        <w:rPr>
          <w:rFonts w:asciiTheme="minorEastAsia" w:hAnsiTheme="minorEastAsia" w:eastAsiaTheme="minorEastAsia"/>
          <w:color w:val="000000" w:themeColor="text1"/>
          <w:sz w:val="24"/>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14:textFill>
            <w14:solidFill>
              <w14:schemeClr w14:val="tx1"/>
            </w14:solidFill>
          </w14:textFill>
        </w:rPr>
        <w:t>进行</w:t>
      </w:r>
      <w:r>
        <w:rPr>
          <w:rFonts w:asciiTheme="minorEastAsia" w:hAnsiTheme="minorEastAsia" w:eastAsiaTheme="minorEastAsia"/>
          <w:color w:val="000000" w:themeColor="text1"/>
          <w:sz w:val="24"/>
          <w14:textFill>
            <w14:solidFill>
              <w14:schemeClr w14:val="tx1"/>
            </w14:solidFill>
          </w14:textFill>
        </w:rPr>
        <w:t>审查，以确定是否对招标文件的实质性要求做出响应。</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2投标文件的澄清</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.1为有助于投标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的审查、评价和比较，在评标期间，评标委员会将以书面</w:t>
      </w:r>
      <w:r>
        <w:rPr>
          <w:rFonts w:hint="eastAsia" w:ascii="宋体" w:hAnsi="宋体" w:eastAsia="宋体"/>
          <w:color w:val="000000" w:themeColor="text1"/>
          <w:sz w:val="24"/>
          <w14:textFill>
            <w14:solidFill>
              <w14:schemeClr w14:val="tx1"/>
            </w14:solidFill>
          </w14:textFill>
        </w:rPr>
        <w:t>方式（询标）</w:t>
      </w:r>
      <w:r>
        <w:rPr>
          <w:rFonts w:ascii="宋体" w:hAnsi="宋体" w:eastAsia="宋体"/>
          <w:color w:val="000000" w:themeColor="text1"/>
          <w:sz w:val="24"/>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14:textFill>
            <w14:solidFill>
              <w14:schemeClr w14:val="tx1"/>
            </w14:solidFill>
          </w14:textFill>
        </w:rPr>
        <w:t>审</w:t>
      </w:r>
      <w:r>
        <w:rPr>
          <w:rFonts w:ascii="宋体" w:hAnsi="宋体" w:eastAsia="宋体"/>
          <w:color w:val="000000" w:themeColor="text1"/>
          <w:sz w:val="24"/>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14:textFill>
            <w14:solidFill>
              <w14:schemeClr w14:val="tx1"/>
            </w14:solidFill>
          </w14:textFill>
        </w:rPr>
        <w:t>方式或通过电子邮箱（82358483@qq.com）方式</w:t>
      </w:r>
      <w:r>
        <w:rPr>
          <w:rFonts w:ascii="宋体" w:hAnsi="宋体" w:eastAsia="宋体"/>
          <w:color w:val="000000" w:themeColor="text1"/>
          <w:sz w:val="24"/>
          <w14:textFill>
            <w14:solidFill>
              <w14:schemeClr w14:val="tx1"/>
            </w14:solidFill>
          </w14:textFill>
        </w:rPr>
        <w:t>进行，并不得超出投标文件范围或者改变投标文件的实质性内容。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投标人的澄清、说明或补正将作为投标文件的一部分。</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w:t>
      </w:r>
      <w:r>
        <w:rPr>
          <w:rFonts w:ascii="宋体" w:hAnsi="宋体" w:eastAsia="宋体"/>
          <w:color w:val="000000" w:themeColor="text1"/>
          <w:sz w:val="24"/>
          <w14:textFill>
            <w14:solidFill>
              <w14:schemeClr w14:val="tx1"/>
            </w14:solidFill>
          </w14:textFill>
        </w:rPr>
        <w:t>.3评标委员会对投标人提交的澄清、说明或补正有疑问的，可以要求投标人进一步澄清、说明或补正，直至满足评标委员会的要求。</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投标文件报价出现前后不一致的，按照下列规定修正：</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）投标文件中开标一览表内容与投标文件中相应内容不一致的，以开标一览表为准；</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）大写金额和小写金额不一致的，以大写金额为准；</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）单价金额小数点或者百分比有明显错位的，以开标一览表的总价为准，并修改单价；</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）总价金额与按单价汇总金额不一致的，以单价金额计算结果为准。</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条的规定经投标人确认后产生约束力，</w:t>
      </w:r>
      <w:r>
        <w:rPr>
          <w:rFonts w:hint="eastAsia" w:ascii="宋体" w:hAnsi="宋体" w:eastAsia="宋体"/>
          <w:color w:val="000000" w:themeColor="text1"/>
          <w:sz w:val="24"/>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pPr>
        <w:spacing w:line="360" w:lineRule="auto"/>
        <w:ind w:firstLine="48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对不同文字文本投标文件的解释发生异议的，以中文文本为准。</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16.投标无效</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1根据本</w:t>
      </w:r>
      <w:r>
        <w:rPr>
          <w:rFonts w:hint="eastAsia" w:asciiTheme="minorEastAsia" w:hAnsiTheme="minorEastAsia" w:eastAsiaTheme="minorEastAsia"/>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评标委员会决定投标的响应性只根据招标文件要求和投标文件内容。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无论何种原因，即使投标人投标时携带了证书材料的原件，但投标文件中未提供与之内容完全一致的扫描件的，评标委员会视同其未提供。</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1）投标文件未按照招标文件规定要求签署、盖章的；</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2）不具备招标文件中规定的资格要求的；</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3）报价超过招标文件中规定的预算金额或者最高限价的；</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4）投标文件含有采购人不能接受的附加条件的；</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5）法律、法规和招标文件规定的其他无效情形。</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17.比较与评价</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17.1经符合性审查合格的投标文件，评标委员会将根据招标文件确定的评标方法和标准，对其投标文件作进一步的比较与评价。</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17.2评标严格按照</w:t>
      </w:r>
      <w:r>
        <w:rPr>
          <w:rFonts w:hint="eastAsia" w:ascii="宋体" w:hAnsi="宋体" w:eastAsia="宋体"/>
          <w:color w:val="000000" w:themeColor="text1"/>
          <w:sz w:val="24"/>
          <w14:textFill>
            <w14:solidFill>
              <w14:schemeClr w14:val="tx1"/>
            </w14:solidFill>
          </w14:textFill>
        </w:rPr>
        <w:t>招标文件</w:t>
      </w:r>
      <w:r>
        <w:rPr>
          <w:rFonts w:hint="eastAsia" w:asciiTheme="minorEastAsia" w:hAnsiTheme="minorEastAsia" w:eastAsiaTheme="minorEastAsia"/>
          <w:color w:val="000000" w:themeColor="text1"/>
          <w:sz w:val="24"/>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中规定采用下列一种评标方法，详细评标方法和标准见招标文件第四章：</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1）最低评标价法，是指</w:t>
      </w:r>
      <w:r>
        <w:rPr>
          <w:rFonts w:ascii="宋体" w:hAnsi="宋体" w:eastAsia="宋体"/>
          <w:color w:val="000000" w:themeColor="text1"/>
          <w:sz w:val="24"/>
          <w14:textFill>
            <w14:solidFill>
              <w14:schemeClr w14:val="tx1"/>
            </w14:solidFill>
          </w14:textFill>
        </w:rPr>
        <w:t>投标文件满足招标文件全部实质性要求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且投标报价最低的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w:t>
      </w:r>
      <w:r>
        <w:rPr>
          <w:rFonts w:hint="eastAsia" w:ascii="宋体" w:hAnsi="宋体" w:eastAsia="宋体"/>
          <w:color w:val="000000" w:themeColor="text1"/>
          <w:sz w:val="24"/>
          <w14:textFill>
            <w14:solidFill>
              <w14:schemeClr w14:val="tx1"/>
            </w14:solidFill>
          </w14:textFill>
        </w:rPr>
        <w:t>候选</w:t>
      </w:r>
      <w:r>
        <w:rPr>
          <w:rFonts w:ascii="宋体" w:hAnsi="宋体" w:eastAsia="宋体"/>
          <w:color w:val="000000" w:themeColor="text1"/>
          <w:sz w:val="24"/>
          <w14:textFill>
            <w14:solidFill>
              <w14:schemeClr w14:val="tx1"/>
            </w14:solidFill>
          </w14:textFill>
        </w:rPr>
        <w:t>人的评标方法</w:t>
      </w:r>
      <w:r>
        <w:rPr>
          <w:rFonts w:hint="eastAsia" w:ascii="宋体" w:hAnsi="宋体" w:eastAsia="宋体"/>
          <w:color w:val="000000" w:themeColor="text1"/>
          <w:sz w:val="24"/>
          <w14:textFill>
            <w14:solidFill>
              <w14:schemeClr w14:val="tx1"/>
            </w14:solidFill>
          </w14:textFill>
        </w:rPr>
        <w:t>。</w:t>
      </w:r>
    </w:p>
    <w:p>
      <w:pPr>
        <w:spacing w:line="360" w:lineRule="auto"/>
        <w:ind w:firstLine="482"/>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（2）综合评分法，</w:t>
      </w:r>
      <w:r>
        <w:rPr>
          <w:rFonts w:hint="eastAsia" w:ascii="宋体" w:hAnsi="宋体" w:eastAsia="宋体"/>
          <w:color w:val="000000" w:themeColor="text1"/>
          <w:sz w:val="24"/>
          <w14:textFill>
            <w14:solidFill>
              <w14:schemeClr w14:val="tx1"/>
            </w14:solidFill>
          </w14:textFill>
        </w:rPr>
        <w:t>是</w:t>
      </w:r>
      <w:r>
        <w:rPr>
          <w:rFonts w:ascii="宋体" w:hAnsi="宋体" w:eastAsia="宋体"/>
          <w:color w:val="000000" w:themeColor="text1"/>
          <w:sz w:val="24"/>
          <w14:textFill>
            <w14:solidFill>
              <w14:schemeClr w14:val="tx1"/>
            </w14:solidFill>
          </w14:textFill>
        </w:rPr>
        <w:t>指投标文件满足招标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且按照评审因素的</w:t>
      </w:r>
      <w:r>
        <w:rPr>
          <w:rFonts w:hint="eastAsia" w:ascii="宋体" w:hAnsi="宋体" w:eastAsia="宋体"/>
          <w:color w:val="000000" w:themeColor="text1"/>
          <w:sz w:val="24"/>
          <w14:textFill>
            <w14:solidFill>
              <w14:schemeClr w14:val="tx1"/>
            </w14:solidFill>
          </w14:textFill>
        </w:rPr>
        <w:t>量化</w:t>
      </w:r>
      <w:r>
        <w:rPr>
          <w:rFonts w:ascii="宋体" w:hAnsi="宋体" w:eastAsia="宋体"/>
          <w:color w:val="000000" w:themeColor="text1"/>
          <w:sz w:val="24"/>
          <w14:textFill>
            <w14:solidFill>
              <w14:schemeClr w14:val="tx1"/>
            </w14:solidFill>
          </w14:textFill>
        </w:rPr>
        <w:t>指标评审得分最高的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为中标候选人的评标方法。</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废标、重新招标与变更采购方式</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18.1出现下列情形之一，将导致项目废标：</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1）符合专业条件的供应商或者对招标文件做实质性响应的供应商不足规定数量的；</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（2）出现影响采购公正的违法、违规行为的；</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（3）投标人的报价均超过了采购预算，采购人不能支付的；</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（4）因重大变故，采购任务取消的。</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18.2本项目投标截止后投标人不足</w:t>
      </w:r>
      <w:r>
        <w:rPr>
          <w:rFonts w:asciiTheme="minorEastAsia" w:hAnsiTheme="minorEastAsia" w:eastAsiaTheme="minorEastAsia"/>
          <w:color w:val="000000" w:themeColor="text1"/>
          <w:sz w:val="24"/>
          <w14:textFill>
            <w14:solidFill>
              <w14:schemeClr w14:val="tx1"/>
            </w14:solidFill>
          </w14:textFill>
        </w:rPr>
        <w:t>3家或者通过</w:t>
      </w:r>
      <w:r>
        <w:rPr>
          <w:rFonts w:hint="eastAsia" w:asciiTheme="minorEastAsia" w:hAnsiTheme="minorEastAsia" w:eastAsiaTheme="minorEastAsia"/>
          <w:color w:val="000000" w:themeColor="text1"/>
          <w:sz w:val="24"/>
          <w14:textFill>
            <w14:solidFill>
              <w14:schemeClr w14:val="tx1"/>
            </w14:solidFill>
          </w14:textFill>
        </w:rPr>
        <w:t>资格审查或符合性审查的投标人不足</w:t>
      </w:r>
      <w:r>
        <w:rPr>
          <w:rFonts w:asciiTheme="minorEastAsia" w:hAnsiTheme="minorEastAsia" w:eastAsiaTheme="minorEastAsia"/>
          <w:color w:val="000000" w:themeColor="text1"/>
          <w:sz w:val="24"/>
          <w14:textFill>
            <w14:solidFill>
              <w14:schemeClr w14:val="tx1"/>
            </w14:solidFill>
          </w14:textFill>
        </w:rPr>
        <w:t>3家的，除采购任务取消情形外，按照以下方式处理：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（1）招标文件存在不合理条款或者招标程序不符合规定的，采购人、采购代理机构改正后依法重新招标；</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（2）招标文件没有不合理条款、招标程序符合规定，需要采用其他采购方式采购的，需采购人同意后方可实施。</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19.1评标将在严格保密的情况下进行。</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19.2有关人员</w:t>
      </w:r>
      <w:r>
        <w:rPr>
          <w:rFonts w:ascii="宋体" w:hAnsi="宋体" w:eastAsia="宋体"/>
          <w:color w:val="000000" w:themeColor="text1"/>
          <w:sz w:val="24"/>
          <w14:textFill>
            <w14:solidFill>
              <w14:schemeClr w14:val="tx1"/>
            </w14:solidFill>
          </w14:textFill>
        </w:rPr>
        <w:t>应当</w:t>
      </w:r>
      <w:r>
        <w:rPr>
          <w:rFonts w:hint="eastAsia" w:ascii="宋体" w:hAnsi="宋体" w:eastAsia="宋体"/>
          <w:color w:val="000000" w:themeColor="text1"/>
          <w:sz w:val="24"/>
          <w14:textFill>
            <w14:solidFill>
              <w14:schemeClr w14:val="tx1"/>
            </w14:solidFill>
          </w14:textFill>
        </w:rPr>
        <w:t>遵</w:t>
      </w:r>
      <w:r>
        <w:rPr>
          <w:rFonts w:ascii="宋体" w:hAnsi="宋体" w:eastAsia="宋体"/>
          <w:color w:val="000000" w:themeColor="text1"/>
          <w:sz w:val="24"/>
          <w14:textFill>
            <w14:solidFill>
              <w14:schemeClr w14:val="tx1"/>
            </w14:solidFill>
          </w14:textFill>
        </w:rPr>
        <w:t>守评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工作纪律，不得</w:t>
      </w:r>
      <w:r>
        <w:rPr>
          <w:rFonts w:hint="eastAsia" w:ascii="宋体" w:hAnsi="宋体" w:eastAsia="宋体"/>
          <w:color w:val="000000" w:themeColor="text1"/>
          <w:sz w:val="24"/>
          <w14:textFill>
            <w14:solidFill>
              <w14:schemeClr w14:val="tx1"/>
            </w14:solidFill>
          </w14:textFill>
        </w:rPr>
        <w:t>泄露</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标文件</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情况和评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中获悉的</w:t>
      </w:r>
      <w:r>
        <w:rPr>
          <w:rFonts w:hint="eastAsia" w:ascii="宋体" w:hAnsi="宋体" w:eastAsia="宋体"/>
          <w:color w:val="000000" w:themeColor="text1"/>
          <w:sz w:val="24"/>
          <w14:textFill>
            <w14:solidFill>
              <w14:schemeClr w14:val="tx1"/>
            </w14:solidFill>
          </w14:textFill>
        </w:rPr>
        <w:t>国家秘密、</w:t>
      </w:r>
      <w:r>
        <w:rPr>
          <w:rFonts w:ascii="宋体" w:hAnsi="宋体" w:eastAsia="宋体"/>
          <w:color w:val="000000" w:themeColor="text1"/>
          <w:sz w:val="24"/>
          <w14:textFill>
            <w14:solidFill>
              <w14:schemeClr w14:val="tx1"/>
            </w14:solidFill>
          </w14:textFill>
        </w:rPr>
        <w:t>商业秘密。</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中标候选人的确定原则及标准</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.1评</w:t>
      </w:r>
      <w:r>
        <w:rPr>
          <w:rFonts w:hint="eastAsia" w:asciiTheme="minorEastAsia" w:hAnsiTheme="minorEastAsia" w:eastAsiaTheme="minorEastAsia"/>
          <w:color w:val="000000" w:themeColor="text1"/>
          <w:sz w:val="24"/>
          <w14:textFill>
            <w14:solidFill>
              <w14:schemeClr w14:val="tx1"/>
            </w14:solidFill>
          </w14:textFill>
        </w:rPr>
        <w:t>标</w:t>
      </w:r>
      <w:r>
        <w:rPr>
          <w:rFonts w:asciiTheme="minorEastAsia" w:hAnsiTheme="minorEastAsia" w:eastAsiaTheme="minorEastAsia"/>
          <w:color w:val="000000" w:themeColor="text1"/>
          <w:sz w:val="24"/>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14:textFill>
            <w14:solidFill>
              <w14:schemeClr w14:val="tx1"/>
            </w14:solidFill>
          </w14:textFill>
        </w:rPr>
        <w:t>，确定中标候选人</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80"/>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采用综合评分法的，评标结果按评审后得分由高到低顺序排列。得分相同的，按投标报价由低到高顺序排列。得分与投标报价均相同的，则采取评标委员会随机抽取的方式确定中标候选顺序。</w:t>
      </w:r>
    </w:p>
    <w:p>
      <w:pPr>
        <w:spacing w:line="360" w:lineRule="auto"/>
        <w:ind w:firstLine="480"/>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确定中标候选人和中标人。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.1评标委员会将根据评标标准，按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中规定数量推荐中标候选人。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由评标委员会或采购人确定中标人。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因重大变故采购任务取消时，采购人有权拒绝任何投标人中标，且对受影响的投标人不承担任何责任。</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编写评标报告</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中标结果公告</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除</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14:textFill>
            <w14:solidFill>
              <w14:schemeClr w14:val="tx1"/>
            </w14:solidFill>
          </w14:textFill>
        </w:rPr>
        <w:t>人外，</w:t>
      </w:r>
      <w:r>
        <w:rPr>
          <w:rFonts w:asciiTheme="minorEastAsia" w:hAnsiTheme="minorEastAsia" w:eastAsiaTheme="minorEastAsia"/>
          <w:color w:val="000000" w:themeColor="text1"/>
          <w:sz w:val="24"/>
          <w14:textFill>
            <w14:solidFill>
              <w14:schemeClr w14:val="tx1"/>
            </w14:solidFill>
          </w14:textFill>
        </w:rPr>
        <w:t>在评标结束后2个工作日内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80"/>
        <w:rPr>
          <w:rFonts w:hint="eastAsia"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14:textFill>
            <w14:solidFill>
              <w14:schemeClr w14:val="tx1"/>
            </w14:solidFill>
          </w14:textFill>
        </w:rPr>
        <w:t>（http://www.czdyrmyy.com/index.asp）</w:t>
      </w:r>
      <w:r>
        <w:rPr>
          <w:rFonts w:hint="eastAsia" w:ascii="宋体" w:hAnsi="宋体" w:eastAsia="宋体"/>
          <w:color w:val="000000" w:themeColor="text1"/>
          <w:sz w:val="24"/>
          <w:szCs w:val="18"/>
          <w14:textFill>
            <w14:solidFill>
              <w14:schemeClr w14:val="tx1"/>
            </w14:solidFill>
          </w14:textFill>
        </w:rPr>
        <w:t>上发布中标结果公告。</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000000" w:themeColor="text1"/>
          <w:sz w:val="24"/>
          <w14:textFill>
            <w14:solidFill>
              <w14:schemeClr w14:val="tx1"/>
            </w14:solidFill>
          </w14:textFill>
        </w:rPr>
        <w:t>品牌（如有）</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规格型号</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数量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单价</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中标通知书</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.1采购代理机构</w:t>
      </w:r>
      <w:r>
        <w:rPr>
          <w:rFonts w:ascii="宋体" w:hAnsi="宋体" w:eastAsia="宋体"/>
          <w:color w:val="000000" w:themeColor="text1"/>
          <w:sz w:val="24"/>
          <w14:textFill>
            <w14:solidFill>
              <w14:schemeClr w14:val="tx1"/>
            </w14:solidFill>
          </w14:textFill>
        </w:rPr>
        <w:t>发布</w:t>
      </w:r>
      <w:r>
        <w:rPr>
          <w:rFonts w:asciiTheme="minorEastAsia" w:hAnsiTheme="minorEastAsia" w:eastAsiaTheme="minorEastAsia"/>
          <w:color w:val="000000" w:themeColor="text1"/>
          <w:sz w:val="24"/>
          <w14:textFill>
            <w14:solidFill>
              <w14:schemeClr w14:val="tx1"/>
            </w14:solidFill>
          </w14:textFill>
        </w:rPr>
        <w:t>中标结果公告</w:t>
      </w:r>
      <w:r>
        <w:rPr>
          <w:rFonts w:hint="eastAsia" w:asciiTheme="minorEastAsia" w:hAnsiTheme="minorEastAsia" w:eastAsiaTheme="minorEastAsia"/>
          <w:iCs/>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14:textFill>
            <w14:solidFill>
              <w14:schemeClr w14:val="tx1"/>
            </w14:solidFill>
          </w14:textFill>
        </w:rPr>
        <w:t>中标通知书须加盖采购人、采购代理机构公章后，方可发出。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.2中标通知书对采购人和中标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放弃中标，应当承担相应的法律责任。</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.3中标通知书是</w:t>
      </w:r>
      <w:r>
        <w:rPr>
          <w:rFonts w:ascii="宋体" w:hAnsi="宋体" w:eastAsia="宋体"/>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的组成部分。</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告知招标结果</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在公告</w:t>
      </w:r>
      <w:r>
        <w:rPr>
          <w:rFonts w:asciiTheme="minorEastAsia" w:hAnsiTheme="minorEastAsia" w:eastAsiaTheme="minorEastAsia"/>
          <w:color w:val="000000" w:themeColor="text1"/>
          <w:sz w:val="24"/>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rFonts w:hint="eastAsia" w:asciiTheme="minorEastAsia" w:hAnsiTheme="minorEastAsia" w:eastAsiaTheme="minorEastAsia"/>
          <w:color w:val="000000" w:themeColor="text1"/>
          <w:sz w:val="24"/>
          <w14:textFill>
            <w14:solidFill>
              <w14:schemeClr w14:val="tx1"/>
            </w14:solidFill>
          </w14:textFill>
        </w:rPr>
        <w:t>告知未通过资格审查的投标人未通过的原因；采用综合评分法评审的，还将告知未中标人本人的评审得分和排序。</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26.1中标人应按照</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pPr>
        <w:spacing w:line="360" w:lineRule="auto"/>
        <w:ind w:firstLine="48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w:t>
      </w:r>
      <w:r>
        <w:rPr>
          <w:rFonts w:hint="eastAsia" w:asciiTheme="minorEastAsia" w:hAnsiTheme="minorEastAsia" w:eastAsiaTheme="minorEastAsia"/>
          <w:color w:val="000000" w:themeColor="text1"/>
          <w:sz w:val="24"/>
          <w14:textFill>
            <w14:solidFill>
              <w14:schemeClr w14:val="tx1"/>
            </w14:solidFill>
          </w14:textFill>
        </w:rPr>
        <w:t>候选</w:t>
      </w:r>
      <w:r>
        <w:rPr>
          <w:rFonts w:asciiTheme="minorEastAsia" w:hAnsiTheme="minorEastAsia" w:eastAsiaTheme="minorEastAsia"/>
          <w:color w:val="000000" w:themeColor="text1"/>
          <w:sz w:val="24"/>
          <w14:textFill>
            <w14:solidFill>
              <w14:schemeClr w14:val="tx1"/>
            </w14:solidFill>
          </w14:textFill>
        </w:rPr>
        <w:t>人为中标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，也可以重新开展采购活动。</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采购人与中标人应当按照</w:t>
      </w:r>
      <w:r>
        <w:rPr>
          <w:rFonts w:hint="eastAsia" w:ascii="宋体" w:hAnsi="宋体" w:eastAsia="宋体" w:cs="宋体"/>
          <w:color w:val="000000" w:themeColor="text1"/>
          <w:sz w:val="24"/>
          <w:szCs w:val="24"/>
          <w:u w:val="single"/>
          <w14:textFill>
            <w14:solidFill>
              <w14:schemeClr w14:val="tx1"/>
            </w14:solidFill>
          </w14:textFill>
        </w:rPr>
        <w:t>投标人须知前附表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27.2招标文件、中标人的投标文件及其澄清文件等，均为签订合同的依据。</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27.3中</w:t>
      </w:r>
      <w:r>
        <w:rPr>
          <w:rFonts w:ascii="宋体" w:hAnsi="宋体" w:eastAsia="宋体"/>
          <w:color w:val="000000" w:themeColor="text1"/>
          <w:sz w:val="24"/>
          <w14:textFill>
            <w14:solidFill>
              <w14:schemeClr w14:val="tx1"/>
            </w14:solidFill>
          </w14:textFill>
        </w:rPr>
        <w:t>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14:textFill>
            <w14:solidFill>
              <w14:schemeClr w14:val="tx1"/>
            </w14:solidFill>
          </w14:textFill>
        </w:rPr>
        <w:t>名单</w:t>
      </w:r>
      <w:r>
        <w:rPr>
          <w:rFonts w:ascii="宋体" w:hAnsi="宋体" w:eastAsia="宋体"/>
          <w:color w:val="000000" w:themeColor="text1"/>
          <w:sz w:val="24"/>
          <w14:textFill>
            <w14:solidFill>
              <w14:schemeClr w14:val="tx1"/>
            </w14:solidFill>
          </w14:textFill>
        </w:rPr>
        <w:t>排序</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中标候选</w:t>
      </w:r>
      <w:r>
        <w:rPr>
          <w:rFonts w:ascii="宋体" w:hAnsi="宋体" w:eastAsia="宋体"/>
          <w:color w:val="000000" w:themeColor="text1"/>
          <w:sz w:val="24"/>
          <w14:textFill>
            <w14:solidFill>
              <w14:schemeClr w14:val="tx1"/>
            </w14:solidFill>
          </w14:textFill>
        </w:rPr>
        <w:t>人为中标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，也可以重新开展政府采购活动。</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代理费用</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28</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本项目代理费用的收取按</w:t>
      </w:r>
      <w:r>
        <w:rPr>
          <w:rFonts w:hint="eastAsia" w:asciiTheme="minorEastAsia" w:hAnsiTheme="minorEastAsia" w:eastAsiaTheme="minorEastAsia"/>
          <w:color w:val="000000" w:themeColor="text1"/>
          <w:sz w:val="24"/>
          <w:u w:val="single"/>
          <w14:textFill>
            <w14:solidFill>
              <w14:schemeClr w14:val="tx1"/>
            </w14:solidFill>
          </w14:textFill>
        </w:rPr>
        <w:t>投标人须知前附表的</w:t>
      </w:r>
      <w:r>
        <w:rPr>
          <w:rFonts w:hint="eastAsia" w:ascii="宋体" w:hAnsi="宋体" w:eastAsia="宋体"/>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bookmarkStart w:id="45" w:name="_Toc2583661"/>
      <w:bookmarkStart w:id="46" w:name="_Toc518923100"/>
      <w:r>
        <w:rPr>
          <w:rFonts w:hint="eastAsia" w:asciiTheme="minorEastAsia" w:hAnsiTheme="minorEastAsia" w:eastAsiaTheme="minorEastAsia"/>
          <w:b/>
          <w:color w:val="000000" w:themeColor="text1"/>
          <w:sz w:val="24"/>
          <w14:textFill>
            <w14:solidFill>
              <w14:schemeClr w14:val="tx1"/>
            </w14:solidFill>
          </w14:textFill>
        </w:rPr>
        <w:t>29.廉洁自律</w:t>
      </w:r>
      <w:r>
        <w:rPr>
          <w:rFonts w:asciiTheme="minorEastAsia" w:hAnsiTheme="minorEastAsia" w:eastAsiaTheme="minorEastAsia"/>
          <w:b/>
          <w:color w:val="000000" w:themeColor="text1"/>
          <w:sz w:val="24"/>
          <w14:textFill>
            <w14:solidFill>
              <w14:schemeClr w14:val="tx1"/>
            </w14:solidFill>
          </w14:textFill>
        </w:rPr>
        <w:t>规定</w:t>
      </w:r>
      <w:bookmarkEnd w:id="45"/>
      <w:bookmarkEnd w:id="46"/>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29.1采购代理机构</w:t>
      </w:r>
      <w:r>
        <w:rPr>
          <w:rFonts w:ascii="宋体" w:hAnsi="宋体" w:eastAsia="宋体"/>
          <w:color w:val="000000" w:themeColor="text1"/>
          <w:sz w:val="24"/>
          <w14:textFill>
            <w14:solidFill>
              <w14:schemeClr w14:val="tx1"/>
            </w14:solidFill>
          </w14:textFill>
        </w:rPr>
        <w:t>工作人员</w:t>
      </w:r>
      <w:r>
        <w:rPr>
          <w:rFonts w:hint="eastAsia" w:ascii="宋体" w:hAnsi="宋体" w:eastAsia="宋体"/>
          <w:color w:val="000000" w:themeColor="text1"/>
          <w:sz w:val="24"/>
          <w14:textFill>
            <w14:solidFill>
              <w14:schemeClr w14:val="tx1"/>
            </w14:solidFill>
          </w14:textFill>
        </w:rPr>
        <w:t>不得以不正当手段获取政府采购代理业务，不得与采购人、供应商恶意串通。</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bookmarkStart w:id="47" w:name="_Toc2583662"/>
      <w:bookmarkStart w:id="48" w:name="_Toc518923101"/>
      <w:r>
        <w:rPr>
          <w:rFonts w:hint="eastAsia" w:asciiTheme="minorEastAsia" w:hAnsiTheme="minorEastAsia" w:eastAsiaTheme="minorEastAsia"/>
          <w:b/>
          <w:color w:val="000000" w:themeColor="text1"/>
          <w:sz w:val="24"/>
          <w14:textFill>
            <w14:solidFill>
              <w14:schemeClr w14:val="tx1"/>
            </w14:solidFill>
          </w14:textFill>
        </w:rPr>
        <w:t>30.人员回避</w:t>
      </w:r>
      <w:bookmarkEnd w:id="47"/>
      <w:bookmarkEnd w:id="48"/>
    </w:p>
    <w:p>
      <w:pPr>
        <w:spacing w:line="360" w:lineRule="auto"/>
        <w:ind w:firstLine="480"/>
        <w:rPr>
          <w:rFonts w:hint="eastAsia" w:ascii="仿宋_GB2312" w:hAnsi="宋体"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认为采购人员</w:t>
      </w:r>
      <w:r>
        <w:rPr>
          <w:rFonts w:hint="eastAsia" w:ascii="宋体" w:hAnsi="宋体" w:eastAsia="宋体"/>
          <w:color w:val="000000" w:themeColor="text1"/>
          <w:sz w:val="24"/>
          <w14:textFill>
            <w14:solidFill>
              <w14:schemeClr w14:val="tx1"/>
            </w14:solidFill>
          </w14:textFill>
        </w:rPr>
        <w:t>及其</w:t>
      </w:r>
      <w:r>
        <w:rPr>
          <w:rFonts w:ascii="宋体" w:hAnsi="宋体" w:eastAsia="宋体"/>
          <w:color w:val="000000" w:themeColor="text1"/>
          <w:sz w:val="24"/>
          <w14:textFill>
            <w14:solidFill>
              <w14:schemeClr w14:val="tx1"/>
            </w14:solidFill>
          </w14:textFill>
        </w:rPr>
        <w:t>相关人员有</w:t>
      </w:r>
      <w:r>
        <w:rPr>
          <w:rFonts w:hint="eastAsia" w:ascii="宋体" w:hAnsi="宋体" w:eastAsia="宋体"/>
          <w:color w:val="000000" w:themeColor="text1"/>
          <w:sz w:val="24"/>
          <w14:textFill>
            <w14:solidFill>
              <w14:schemeClr w14:val="tx1"/>
            </w14:solidFill>
          </w14:textFill>
        </w:rPr>
        <w:t>法律</w:t>
      </w:r>
      <w:r>
        <w:rPr>
          <w:rFonts w:ascii="宋体" w:hAnsi="宋体" w:eastAsia="宋体"/>
          <w:color w:val="000000" w:themeColor="text1"/>
          <w:sz w:val="24"/>
          <w14:textFill>
            <w14:solidFill>
              <w14:schemeClr w14:val="tx1"/>
            </w14:solidFill>
          </w14:textFill>
        </w:rPr>
        <w:t>法规所列与其他供应商</w:t>
      </w:r>
      <w:r>
        <w:rPr>
          <w:rFonts w:hint="eastAsia" w:ascii="宋体" w:hAnsi="宋体" w:eastAsia="宋体"/>
          <w:color w:val="000000" w:themeColor="text1"/>
          <w:sz w:val="24"/>
          <w14:textFill>
            <w14:solidFill>
              <w14:schemeClr w14:val="tx1"/>
            </w14:solidFill>
          </w14:textFill>
        </w:rPr>
        <w:t>有</w:t>
      </w:r>
      <w:r>
        <w:rPr>
          <w:rFonts w:ascii="宋体" w:hAnsi="宋体" w:eastAsia="宋体"/>
          <w:color w:val="000000" w:themeColor="text1"/>
          <w:sz w:val="24"/>
          <w14:textFill>
            <w14:solidFill>
              <w14:schemeClr w14:val="tx1"/>
            </w14:solidFill>
          </w14:textFill>
        </w:rPr>
        <w:t>利害关系的，可以向</w:t>
      </w:r>
      <w:r>
        <w:rPr>
          <w:rFonts w:hint="eastAsia" w:ascii="宋体" w:hAnsi="宋体" w:eastAsia="宋体"/>
          <w:color w:val="000000" w:themeColor="text1"/>
          <w:sz w:val="24"/>
          <w14:textFill>
            <w14:solidFill>
              <w14:schemeClr w14:val="tx1"/>
            </w14:solidFill>
          </w14:textFill>
        </w:rPr>
        <w:t>采购人或</w:t>
      </w:r>
      <w:r>
        <w:rPr>
          <w:rFonts w:ascii="宋体" w:hAnsi="宋体" w:eastAsia="宋体"/>
          <w:color w:val="000000" w:themeColor="text1"/>
          <w:sz w:val="24"/>
          <w14:textFill>
            <w14:solidFill>
              <w14:schemeClr w14:val="tx1"/>
            </w14:solidFill>
          </w14:textFill>
        </w:rPr>
        <w:t>采购代理机构书面提出回避申请，并说明理由。</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31.3采购代理机构质疑函接收部门、联系电话和通讯地址，见</w:t>
      </w:r>
      <w:r>
        <w:rPr>
          <w:rFonts w:hint="eastAsia" w:ascii="宋体" w:hAnsi="宋体" w:eastAsia="宋体"/>
          <w:color w:val="000000" w:themeColor="text1"/>
          <w:sz w:val="24"/>
          <w:u w:val="single"/>
          <w14:textFill>
            <w14:solidFill>
              <w14:schemeClr w14:val="tx1"/>
            </w14:solidFill>
          </w14:textFill>
        </w:rPr>
        <w:t>投标人须知前附表</w:t>
      </w:r>
      <w:r>
        <w:rPr>
          <w:rFonts w:hint="eastAsia" w:ascii="宋体" w:hAnsi="宋体" w:eastAsia="宋体"/>
          <w:color w:val="000000" w:themeColor="text1"/>
          <w:sz w:val="24"/>
          <w14:textFill>
            <w14:solidFill>
              <w14:schemeClr w14:val="tx1"/>
            </w14:solidFill>
          </w14:textFill>
        </w:rPr>
        <w:t>。</w:t>
      </w:r>
    </w:p>
    <w:p>
      <w:pPr>
        <w:spacing w:line="360" w:lineRule="auto"/>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pPr>
        <w:spacing w:line="360" w:lineRule="auto"/>
        <w:ind w:firstLine="482"/>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pPr>
        <w:widowControl/>
        <w:ind w:firstLine="480"/>
        <w:jc w:val="left"/>
        <w:rPr>
          <w:rFonts w:hint="eastAsia"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49" w:name="_Toc10891"/>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9"/>
    </w:p>
    <w:p>
      <w:pPr>
        <w:spacing w:line="360" w:lineRule="auto"/>
        <w:ind w:firstLine="482"/>
        <w:outlineLvl w:val="1"/>
        <w:rPr>
          <w:rFonts w:hint="eastAsia" w:ascii="宋体" w:hAnsi="宋体" w:eastAsia="宋体"/>
          <w:b/>
          <w:color w:val="000000" w:themeColor="text1"/>
          <w:sz w:val="24"/>
          <w:szCs w:val="18"/>
          <w14:textFill>
            <w14:solidFill>
              <w14:schemeClr w14:val="tx1"/>
            </w14:solidFill>
          </w14:textFill>
        </w:rPr>
      </w:pPr>
      <w:bookmarkStart w:id="50" w:name="_Toc32151"/>
      <w:bookmarkStart w:id="51" w:name="_Toc2554"/>
      <w:r>
        <w:rPr>
          <w:rFonts w:hint="eastAsia" w:ascii="宋体" w:hAnsi="宋体" w:eastAsia="宋体"/>
          <w:b/>
          <w:color w:val="000000" w:themeColor="text1"/>
          <w:sz w:val="24"/>
          <w:szCs w:val="18"/>
          <w14:textFill>
            <w14:solidFill>
              <w14:schemeClr w14:val="tx1"/>
            </w14:solidFill>
          </w14:textFill>
        </w:rPr>
        <w:t>一、采购需求前附表</w:t>
      </w:r>
      <w:bookmarkEnd w:id="50"/>
      <w:bookmarkEnd w:id="51"/>
    </w:p>
    <w:tbl>
      <w:tblPr>
        <w:tblStyle w:val="39"/>
        <w:tblW w:w="8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60"/>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705" w:type="dxa"/>
            <w:vAlign w:val="center"/>
          </w:tcPr>
          <w:p>
            <w:pPr>
              <w:pStyle w:val="44"/>
              <w:rPr>
                <w:rFonts w:hint="eastAsia"/>
              </w:rPr>
            </w:pPr>
            <w:r>
              <w:rPr>
                <w:rFonts w:hint="eastAsia"/>
              </w:rPr>
              <w:t>序号</w:t>
            </w:r>
          </w:p>
        </w:tc>
        <w:tc>
          <w:tcPr>
            <w:tcW w:w="1560" w:type="dxa"/>
            <w:vAlign w:val="center"/>
          </w:tcPr>
          <w:p>
            <w:pPr>
              <w:pStyle w:val="43"/>
              <w:widowControl w:val="0"/>
              <w:spacing w:before="312" w:beforeAutospacing="0" w:after="156" w:afterAutospacing="0" w:line="360" w:lineRule="auto"/>
              <w:ind w:firstLine="482"/>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6034" w:type="dxa"/>
            <w:vAlign w:val="center"/>
          </w:tcPr>
          <w:p>
            <w:pPr>
              <w:pStyle w:val="43"/>
              <w:widowControl w:val="0"/>
              <w:spacing w:before="312" w:beforeAutospacing="0" w:after="156" w:afterAutospacing="0" w:line="360" w:lineRule="auto"/>
              <w:ind w:firstLine="482"/>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705" w:type="dxa"/>
            <w:vAlign w:val="center"/>
          </w:tcPr>
          <w:p>
            <w:pPr>
              <w:pStyle w:val="44"/>
              <w:rPr>
                <w:rFonts w:hint="eastAsia"/>
              </w:rPr>
            </w:pPr>
            <w:r>
              <w:rPr>
                <w:rFonts w:hint="eastAsia"/>
              </w:rPr>
              <w:t>1</w:t>
            </w:r>
          </w:p>
        </w:tc>
        <w:tc>
          <w:tcPr>
            <w:tcW w:w="1560" w:type="dxa"/>
            <w:vAlign w:val="center"/>
          </w:tcPr>
          <w:p>
            <w:pPr>
              <w:pStyle w:val="43"/>
              <w:widowControl w:val="0"/>
              <w:spacing w:before="312" w:beforeAutospacing="0" w:after="156"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6034" w:type="dxa"/>
            <w:vAlign w:val="center"/>
          </w:tcPr>
          <w:p>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合同签订、货物到场后付至合同价款的30%，安装调试并正常使用后付至合同价款的90%，货物经采购人验收合格后付至合同价款的100%。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5" w:type="dxa"/>
            <w:vAlign w:val="center"/>
          </w:tcPr>
          <w:p>
            <w:pPr>
              <w:pStyle w:val="44"/>
              <w:rPr>
                <w:rFonts w:hint="eastAsia"/>
              </w:rPr>
            </w:pPr>
            <w:r>
              <w:rPr>
                <w:rFonts w:hint="eastAsia"/>
              </w:rPr>
              <w:t>2</w:t>
            </w:r>
          </w:p>
        </w:tc>
        <w:tc>
          <w:tcPr>
            <w:tcW w:w="1560" w:type="dxa"/>
            <w:vAlign w:val="center"/>
          </w:tcPr>
          <w:p>
            <w:pPr>
              <w:pStyle w:val="43"/>
              <w:widowControl w:val="0"/>
              <w:spacing w:before="312" w:beforeAutospacing="0" w:after="156"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供货及安装地点</w:t>
            </w:r>
          </w:p>
        </w:tc>
        <w:tc>
          <w:tcPr>
            <w:tcW w:w="6034" w:type="dxa"/>
            <w:vAlign w:val="center"/>
          </w:tcPr>
          <w:p>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05" w:type="dxa"/>
            <w:vAlign w:val="center"/>
          </w:tcPr>
          <w:p>
            <w:pPr>
              <w:pStyle w:val="44"/>
              <w:rPr>
                <w:rFonts w:hint="eastAsia"/>
              </w:rPr>
            </w:pPr>
            <w:r>
              <w:rPr>
                <w:rFonts w:hint="eastAsia"/>
              </w:rPr>
              <w:t>3</w:t>
            </w:r>
          </w:p>
        </w:tc>
        <w:tc>
          <w:tcPr>
            <w:tcW w:w="1560" w:type="dxa"/>
            <w:vAlign w:val="center"/>
          </w:tcPr>
          <w:p>
            <w:pPr>
              <w:pStyle w:val="43"/>
              <w:widowControl w:val="0"/>
              <w:spacing w:before="312" w:beforeAutospacing="0" w:after="156"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供货及安装期限</w:t>
            </w:r>
          </w:p>
        </w:tc>
        <w:tc>
          <w:tcPr>
            <w:tcW w:w="6034" w:type="dxa"/>
            <w:vAlign w:val="center"/>
          </w:tcPr>
          <w:p>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不高于30个日历天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05" w:type="dxa"/>
            <w:vAlign w:val="center"/>
          </w:tcPr>
          <w:p>
            <w:pPr>
              <w:pStyle w:val="44"/>
              <w:rPr>
                <w:rFonts w:hint="eastAsia"/>
              </w:rPr>
            </w:pPr>
            <w:bookmarkStart w:id="52" w:name="_Toc4843"/>
            <w:bookmarkStart w:id="53" w:name="_Toc7421"/>
            <w:r>
              <w:rPr>
                <w:rFonts w:hint="eastAsia"/>
              </w:rPr>
              <w:t>4</w:t>
            </w:r>
          </w:p>
        </w:tc>
        <w:tc>
          <w:tcPr>
            <w:tcW w:w="1560" w:type="dxa"/>
            <w:vAlign w:val="center"/>
          </w:tcPr>
          <w:p>
            <w:pPr>
              <w:pStyle w:val="43"/>
              <w:widowControl w:val="0"/>
              <w:spacing w:before="312" w:beforeAutospacing="0" w:after="156"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质保期限</w:t>
            </w:r>
          </w:p>
        </w:tc>
        <w:tc>
          <w:tcPr>
            <w:tcW w:w="6034" w:type="dxa"/>
            <w:vAlign w:val="center"/>
          </w:tcPr>
          <w:p>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不少于叁年</w:t>
            </w:r>
          </w:p>
        </w:tc>
      </w:tr>
    </w:tbl>
    <w:p>
      <w:pPr>
        <w:numPr>
          <w:ilvl w:val="0"/>
          <w:numId w:val="1"/>
        </w:num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货物需求</w:t>
      </w:r>
    </w:p>
    <w:tbl>
      <w:tblPr>
        <w:tblStyle w:val="39"/>
        <w:tblW w:w="8525" w:type="dxa"/>
        <w:tblInd w:w="93" w:type="dxa"/>
        <w:tblLayout w:type="fixed"/>
        <w:tblCellMar>
          <w:top w:w="0" w:type="dxa"/>
          <w:left w:w="108" w:type="dxa"/>
          <w:bottom w:w="0" w:type="dxa"/>
          <w:right w:w="108" w:type="dxa"/>
        </w:tblCellMar>
      </w:tblPr>
      <w:tblGrid>
        <w:gridCol w:w="724"/>
        <w:gridCol w:w="1134"/>
        <w:gridCol w:w="709"/>
        <w:gridCol w:w="708"/>
        <w:gridCol w:w="3970"/>
        <w:gridCol w:w="1280"/>
      </w:tblGrid>
      <w:tr>
        <w:tblPrEx>
          <w:tblLayout w:type="fixed"/>
          <w:tblCellMar>
            <w:top w:w="0" w:type="dxa"/>
            <w:left w:w="108" w:type="dxa"/>
            <w:bottom w:w="0" w:type="dxa"/>
            <w:right w:w="108" w:type="dxa"/>
          </w:tblCellMar>
        </w:tblPrEx>
        <w:trPr>
          <w:trHeight w:val="799" w:hRule="atLeast"/>
        </w:trPr>
        <w:tc>
          <w:tcPr>
            <w:tcW w:w="8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2"/>
              <w:jc w:val="center"/>
              <w:textAlignment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滁州市第一人民医院眼底广角镜观察镜手术显微镜录像系统采购清单</w:t>
            </w:r>
          </w:p>
        </w:tc>
      </w:tr>
      <w:tr>
        <w:tblPrEx>
          <w:tblLayout w:type="fixed"/>
          <w:tblCellMar>
            <w:top w:w="0" w:type="dxa"/>
            <w:left w:w="108" w:type="dxa"/>
            <w:bottom w:w="0" w:type="dxa"/>
            <w:right w:w="108" w:type="dxa"/>
          </w:tblCellMar>
        </w:tblPrEx>
        <w:trPr>
          <w:trHeight w:val="46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5"/>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right="-82" w:rightChars="-39" w:firstLine="45"/>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5"/>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5"/>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数量</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技术参数要求</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最高限价（元）</w:t>
            </w:r>
          </w:p>
        </w:tc>
      </w:tr>
      <w:tr>
        <w:tblPrEx>
          <w:tblLayout w:type="fixed"/>
          <w:tblCellMar>
            <w:top w:w="0" w:type="dxa"/>
            <w:left w:w="108" w:type="dxa"/>
            <w:bottom w:w="0" w:type="dxa"/>
            <w:right w:w="108" w:type="dxa"/>
          </w:tblCellMar>
        </w:tblPrEx>
        <w:trPr>
          <w:trHeight w:val="62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14:textFill>
                  <w14:solidFill>
                    <w14:schemeClr w14:val="tx1"/>
                  </w14:solidFill>
                </w14:textFill>
              </w:rPr>
            </w:pPr>
            <w:bookmarkStart w:id="54" w:name="_Hlk198021252"/>
            <w:r>
              <w:rPr>
                <w:rFonts w:hint="eastAsia" w:ascii="宋体" w:hAnsi="宋体" w:eastAsia="宋体" w:cs="宋体"/>
                <w:color w:val="000000" w:themeColor="text1"/>
                <w14:textFill>
                  <w14:solidFill>
                    <w14:schemeClr w14:val="tx1"/>
                  </w14:solidFill>
                </w14:textFill>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广角镜观察镜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highlight w:val="yellow"/>
                <w14:textFill>
                  <w14:solidFill>
                    <w14:schemeClr w14:val="tx1"/>
                  </w14:solidFill>
                </w14:textFill>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1．光学部分：全部光学组件采用复消色差技术；</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2．光学透镜表面采用多层镀膜；</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3．透镜部分采用非球面设计；</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Cs w:val="21"/>
              </w:rPr>
              <w:t>★4.广角镜度数：视野范围至少包含</w:t>
            </w:r>
            <w:r>
              <w:rPr>
                <w:rFonts w:ascii="宋体" w:hAnsi="宋体" w:eastAsia="宋体" w:cs="宋体"/>
                <w:szCs w:val="21"/>
              </w:rPr>
              <w:t>9</w:t>
            </w:r>
            <w:r>
              <w:rPr>
                <w:rFonts w:hint="eastAsia" w:ascii="宋体" w:hAnsi="宋体" w:eastAsia="宋体" w:cs="宋体"/>
                <w:szCs w:val="21"/>
              </w:rPr>
              <w:t>5-112</w:t>
            </w:r>
            <w:r>
              <w:rPr>
                <w:rFonts w:ascii="宋体" w:hAnsi="宋体" w:eastAsia="宋体" w:cs="宋体"/>
                <w:szCs w:val="21"/>
              </w:rPr>
              <w:t>度</w:t>
            </w:r>
            <w:r>
              <w:rPr>
                <w:rFonts w:hint="eastAsia" w:ascii="宋体" w:hAnsi="宋体" w:eastAsia="宋体" w:cs="宋体"/>
                <w:szCs w:val="21"/>
              </w:rPr>
              <w:t>、102-130度；</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5．镜头支架旋转角度：水平角度，0-360°顺/逆时针旋转；</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6.镜头轴关节旋转角度：0-360°顺/逆时针旋转；</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7.转换镜头方式：插拔式换镜头或旋转式透镜转台；只需微调焦</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8.镜子支架可折叠</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9.支持升级加装黄斑镜头；</w:t>
            </w:r>
          </w:p>
        </w:tc>
        <w:tc>
          <w:tcPr>
            <w:tcW w:w="1280"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288000.00</w:t>
            </w:r>
          </w:p>
        </w:tc>
      </w:tr>
      <w:tr>
        <w:tblPrEx>
          <w:tblLayout w:type="fixed"/>
          <w:tblCellMar>
            <w:top w:w="0" w:type="dxa"/>
            <w:left w:w="108" w:type="dxa"/>
            <w:bottom w:w="0" w:type="dxa"/>
            <w:right w:w="108" w:type="dxa"/>
          </w:tblCellMar>
        </w:tblPrEx>
        <w:trPr>
          <w:trHeight w:val="62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right="-101" w:rightChars="-48"/>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显微镜录像系统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highlight w:val="yellow"/>
                <w14:textFill>
                  <w14:solidFill>
                    <w14:schemeClr w14:val="tx1"/>
                  </w14:solidFill>
                </w14:textFill>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▲1.摄像头感光元件：3晶片感光元件，感光元件尺寸≥1/3英寸（每晶片尺寸）</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Cs w:val="21"/>
              </w:rPr>
              <w:t>2.水平分辨率≥1000线</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3.信噪比≥54 dB</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4.数字化影像输出，输出影像格式分辨率≥1920*1080</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5.具有自动电子快门、自动白平衡、延时曝光、数字降噪控制功能。</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6.具有数字变焦功能，可实现画面缩放功能。</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7.具有画面冻结功能，通过高质量的静像观察手术细节。</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Cs w:val="21"/>
              </w:rPr>
              <w:t>8.具有≥4种场景功能，可预先设定其性能和功能，根据不同类型手术进行切换。</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9.具有≥2个高清或超高清视频输出接口，≥1个USB数据传输接口</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★10.高清采集盒可无损采集记录影像信号摄像机输出的1080P等格式信号，支持Full HD 1920x1080p／60fps高分辨率。</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11.具有拍照、录像等数据记录方式且有录像中途暂停功能。</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12.具有MPEG-4等录像文件存储格式及JPEG等图片文件存储格式。</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13.具有影像多段剪辑编辑、压缩、查询患者影像数据功能。且每个患者数据独立一个文件夹，便于查找。</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▲14.多个图像调节功能，包括不限于亮度、对比度、色彩、饱和度、色调、色阶、锐化等。</w:t>
            </w:r>
          </w:p>
          <w:p>
            <w:pPr>
              <w:widowControl/>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15.医用台车内部集中布线，便于日常清洁维护。</w:t>
            </w:r>
          </w:p>
        </w:tc>
        <w:tc>
          <w:tcPr>
            <w:tcW w:w="1280" w:type="dxa"/>
            <w:vMerge w:val="continue"/>
            <w:tcBorders>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hint="eastAsia" w:ascii="宋体" w:hAnsi="宋体" w:eastAsia="宋体" w:cs="宋体"/>
                <w:color w:val="000000" w:themeColor="text1"/>
                <w:sz w:val="22"/>
                <w:szCs w:val="22"/>
                <w14:textFill>
                  <w14:solidFill>
                    <w14:schemeClr w14:val="tx1"/>
                  </w14:solidFill>
                </w14:textFill>
              </w:rPr>
            </w:pPr>
          </w:p>
        </w:tc>
      </w:tr>
      <w:bookmarkEnd w:id="54"/>
      <w:tr>
        <w:tblPrEx>
          <w:tblLayout w:type="fixed"/>
          <w:tblCellMar>
            <w:top w:w="0" w:type="dxa"/>
            <w:left w:w="108" w:type="dxa"/>
            <w:bottom w:w="0" w:type="dxa"/>
            <w:right w:w="108" w:type="dxa"/>
          </w:tblCellMar>
        </w:tblPrEx>
        <w:trPr>
          <w:trHeight w:val="628" w:hRule="atLeast"/>
        </w:trPr>
        <w:tc>
          <w:tcPr>
            <w:tcW w:w="8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adjustRightInd w:val="0"/>
              <w:snapToGrid w:val="0"/>
              <w:rPr>
                <w:rFonts w:hint="eastAsia" w:ascii="宋体" w:hAnsi="宋体" w:eastAsia="宋体" w:cs="宋体"/>
                <w:color w:val="000000" w:themeColor="text1"/>
                <w:sz w:val="22"/>
                <w:szCs w:val="22"/>
                <w14:textFill>
                  <w14:solidFill>
                    <w14:schemeClr w14:val="tx1"/>
                  </w14:solidFill>
                </w14:textFill>
              </w:rPr>
            </w:pPr>
            <w:r>
              <w:rPr>
                <w:rFonts w:hint="eastAsia" w:ascii="黑体" w:hAnsi="黑体" w:eastAsia="黑体" w:cs="Times New Roman"/>
                <w:b/>
                <w:bCs/>
                <w:szCs w:val="21"/>
              </w:rPr>
              <w:t>注：广角镜镜头及支架可高温高压消毒，标配1套。摄录像系统配一体化计算机，配置要求四</w:t>
            </w:r>
            <w:r>
              <w:rPr>
                <w:rFonts w:hint="eastAsia" w:ascii="黑体" w:hAnsi="黑体" w:eastAsia="黑体" w:cs="Times New Roman"/>
                <w:b/>
                <w:bCs/>
                <w:szCs w:val="21"/>
                <w:lang w:eastAsia="zh-Hans"/>
              </w:rPr>
              <w:t>核</w:t>
            </w:r>
            <w:r>
              <w:rPr>
                <w:rFonts w:hint="eastAsia" w:ascii="黑体" w:hAnsi="黑体" w:eastAsia="黑体" w:cs="Times New Roman"/>
                <w:b/>
                <w:bCs/>
                <w:szCs w:val="21"/>
              </w:rPr>
              <w:t>处理器及以上，不小于8G内存，不小于256</w:t>
            </w:r>
            <w:r>
              <w:rPr>
                <w:rFonts w:hint="eastAsia" w:ascii="黑体" w:hAnsi="黑体" w:eastAsia="黑体" w:cs="Times New Roman"/>
                <w:b/>
                <w:bCs/>
                <w:szCs w:val="21"/>
                <w:lang w:eastAsia="zh-Hans"/>
              </w:rPr>
              <w:t>G固态硬盘</w:t>
            </w:r>
            <w:r>
              <w:rPr>
                <w:rFonts w:hint="eastAsia" w:ascii="黑体" w:hAnsi="黑体" w:eastAsia="黑体" w:cs="Times New Roman"/>
                <w:b/>
                <w:bCs/>
                <w:szCs w:val="21"/>
              </w:rPr>
              <w:t>及2T</w:t>
            </w:r>
            <w:r>
              <w:rPr>
                <w:rFonts w:hint="eastAsia" w:ascii="黑体" w:hAnsi="黑体" w:eastAsia="黑体" w:cs="Times New Roman"/>
                <w:b/>
                <w:bCs/>
                <w:szCs w:val="21"/>
                <w:lang w:eastAsia="zh-Hans"/>
              </w:rPr>
              <w:t>移动</w:t>
            </w:r>
            <w:r>
              <w:rPr>
                <w:rFonts w:hint="eastAsia" w:ascii="黑体" w:hAnsi="黑体" w:eastAsia="黑体" w:cs="Times New Roman"/>
                <w:b/>
                <w:bCs/>
                <w:szCs w:val="21"/>
              </w:rPr>
              <w:t>硬盘，液晶显示器尺寸≥24寸，分辨率不低于3840×2160。</w:t>
            </w:r>
            <w:r>
              <w:rPr>
                <w:rFonts w:hint="eastAsia" w:ascii="黑体" w:hAnsi="黑体" w:eastAsia="黑体" w:cs="Times New Roman"/>
                <w:b/>
                <w:bCs/>
                <w:szCs w:val="21"/>
                <w:highlight w:val="yellow"/>
              </w:rPr>
              <w:t>本条要求不参与技术参数评分，但投标人必须完全响应【投标人可通过技术响应表载明或单独承诺响应（承诺函格式自拟）】，否则其投标文件，按无效标处理。</w:t>
            </w:r>
          </w:p>
        </w:tc>
      </w:tr>
      <w:bookmarkEnd w:id="52"/>
      <w:bookmarkEnd w:id="53"/>
    </w:tbl>
    <w:p>
      <w:pPr>
        <w:spacing w:line="440" w:lineRule="exact"/>
        <w:ind w:firstLine="482"/>
        <w:outlineLvl w:val="1"/>
        <w:rPr>
          <w:rFonts w:hint="eastAsia" w:ascii="宋体" w:hAnsi="宋体" w:eastAsia="宋体"/>
          <w:b/>
          <w:sz w:val="24"/>
          <w:szCs w:val="18"/>
        </w:rPr>
      </w:pPr>
      <w:bookmarkStart w:id="55" w:name="_Toc4328"/>
      <w:r>
        <w:rPr>
          <w:rFonts w:hint="eastAsia" w:ascii="宋体" w:hAnsi="宋体" w:eastAsia="宋体"/>
          <w:b/>
          <w:sz w:val="24"/>
          <w:szCs w:val="18"/>
        </w:rPr>
        <w:t>三、报价要求</w:t>
      </w:r>
    </w:p>
    <w:p>
      <w:pPr>
        <w:spacing w:line="440" w:lineRule="exact"/>
        <w:ind w:right="-92" w:rightChars="-44" w:firstLine="403" w:firstLineChars="192"/>
        <w:rPr>
          <w:rFonts w:hint="eastAsia" w:ascii="宋体" w:hAnsi="宋体" w:eastAsia="宋体" w:cs="宋体"/>
          <w:szCs w:val="21"/>
        </w:rPr>
      </w:pPr>
      <w:bookmarkStart w:id="56" w:name="_Toc14698"/>
      <w:bookmarkStart w:id="57" w:name="_Toc15293"/>
      <w:r>
        <w:rPr>
          <w:rFonts w:hint="eastAsia" w:ascii="宋体" w:hAnsi="宋体" w:eastAsia="宋体" w:cs="宋体"/>
          <w:szCs w:val="21"/>
        </w:rPr>
        <w:t>1.供应商报价文件中的单价和总价全部采用人民币表示。供应商的报价应含有货物（服务）、利润、税金、政策性文件规定及合同包含的所有风险、责任、义务等，即为完成采购文件要求的服务内容所包含的一切应有费用，中标价格今后将不作任何调整，采购人后期不再追加费用，供应商自行考虑报价风险。</w:t>
      </w:r>
    </w:p>
    <w:p>
      <w:pPr>
        <w:spacing w:line="440" w:lineRule="exact"/>
        <w:ind w:right="-92" w:rightChars="-44" w:firstLine="420" w:firstLineChars="200"/>
        <w:rPr>
          <w:rFonts w:hint="eastAsia" w:ascii="宋体" w:hAnsi="宋体" w:eastAsia="宋体" w:cs="宋体"/>
          <w:szCs w:val="21"/>
        </w:rPr>
      </w:pPr>
      <w:r>
        <w:rPr>
          <w:rFonts w:hint="eastAsia" w:ascii="宋体" w:hAnsi="宋体" w:eastAsia="宋体" w:cs="宋体"/>
          <w:szCs w:val="21"/>
        </w:rPr>
        <w:t>2.供应商只允许有一个方案、一个报价。</w:t>
      </w:r>
    </w:p>
    <w:p>
      <w:pPr>
        <w:spacing w:line="440" w:lineRule="exact"/>
        <w:ind w:right="-92" w:rightChars="-44" w:firstLine="420" w:firstLineChars="200"/>
        <w:rPr>
          <w:rFonts w:hint="eastAsia" w:ascii="宋体" w:hAnsi="宋体" w:eastAsia="宋体" w:cs="宋体"/>
          <w:szCs w:val="21"/>
        </w:rPr>
      </w:pPr>
      <w:r>
        <w:rPr>
          <w:rFonts w:hint="eastAsia" w:ascii="宋体" w:hAnsi="宋体" w:eastAsia="宋体" w:cs="宋体"/>
          <w:szCs w:val="21"/>
        </w:rPr>
        <w:t>3.供应商本章所列服务内容进行报价，供应商</w:t>
      </w:r>
      <w:r>
        <w:rPr>
          <w:rFonts w:hint="eastAsia" w:ascii="宋体" w:hAnsi="宋体" w:eastAsia="宋体" w:cs="宋体"/>
          <w:szCs w:val="21"/>
          <w:lang w:val="zh-CN"/>
        </w:rPr>
        <w:t>报价为完成本次</w:t>
      </w:r>
      <w:r>
        <w:rPr>
          <w:rFonts w:hint="eastAsia" w:ascii="宋体" w:hAnsi="宋体" w:eastAsia="宋体" w:cs="宋体"/>
          <w:szCs w:val="21"/>
        </w:rPr>
        <w:t>采购</w:t>
      </w:r>
      <w:r>
        <w:rPr>
          <w:rFonts w:hint="eastAsia" w:ascii="宋体" w:hAnsi="宋体" w:eastAsia="宋体" w:cs="宋体"/>
          <w:szCs w:val="21"/>
          <w:lang w:val="zh-CN"/>
        </w:rPr>
        <w:t>项目的全费用价格，其组成包括</w:t>
      </w:r>
      <w:r>
        <w:rPr>
          <w:rFonts w:hint="eastAsia" w:ascii="宋体" w:hAnsi="宋体" w:eastAsia="宋体" w:cs="宋体"/>
          <w:szCs w:val="21"/>
        </w:rPr>
        <w:t>国家对中标单位征收的各种税费等所有一切费用，综合单价今后将不作任何调整。</w:t>
      </w:r>
    </w:p>
    <w:p>
      <w:pPr>
        <w:spacing w:line="440" w:lineRule="exact"/>
        <w:ind w:right="-92" w:rightChars="-44" w:firstLine="420" w:firstLineChars="200"/>
        <w:rPr>
          <w:rFonts w:hint="eastAsia" w:ascii="宋体" w:hAnsi="宋体" w:eastAsia="宋体" w:cs="宋体"/>
          <w:szCs w:val="21"/>
        </w:rPr>
      </w:pPr>
      <w:r>
        <w:rPr>
          <w:rFonts w:hint="eastAsia" w:ascii="宋体" w:hAnsi="宋体" w:eastAsia="宋体" w:cs="宋体"/>
          <w:szCs w:val="21"/>
        </w:rPr>
        <w:t>4.供应商报价的价格是完成项目全部内容（包括后期的相关服务）交付的价格，其总价即为履行合同的价格。</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5.供应商报价为含税价，采购人不再为此次招标支付任何费用。</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6.供应商报价应由法定代表人或被授权人签署。</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7.供应商的报价不得高于本次招标最高限价，否则将作为无效报价处理。</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8.如响应文件中未列明全面实现投标服务功能而必须配置的配套或辅助设施及相应技术措施的费用，这些费用将被视为已包含在总报价中。</w:t>
      </w:r>
    </w:p>
    <w:p>
      <w:pPr>
        <w:spacing w:line="440" w:lineRule="exact"/>
        <w:ind w:firstLine="420"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宋体" w:hAnsi="宋体" w:eastAsia="宋体" w:cs="宋体"/>
          <w:szCs w:val="21"/>
        </w:rPr>
        <w:t>9.总报价中不得包含采购文件要求以外的内容，否则，在评标时不予核减，但在授予合同时，采购人有权将这部分价格从其成交价格中扣除。</w:t>
      </w:r>
      <w:bookmarkEnd w:id="56"/>
      <w:bookmarkEnd w:id="57"/>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第四章  评标方法和标准（综合评分法）</w:t>
      </w:r>
      <w:bookmarkEnd w:id="55"/>
    </w:p>
    <w:p>
      <w:pPr>
        <w:spacing w:line="360" w:lineRule="auto"/>
        <w:ind w:firstLine="482"/>
        <w:outlineLvl w:val="1"/>
        <w:rPr>
          <w:rFonts w:hint="eastAsia" w:asciiTheme="minorEastAsia" w:hAnsiTheme="minorEastAsia" w:eastAsiaTheme="minorEastAsia"/>
          <w:b/>
          <w:color w:val="000000" w:themeColor="text1"/>
          <w:sz w:val="24"/>
          <w14:textFill>
            <w14:solidFill>
              <w14:schemeClr w14:val="tx1"/>
            </w14:solidFill>
          </w14:textFill>
        </w:rPr>
      </w:pPr>
      <w:bookmarkStart w:id="58" w:name="_Toc6560"/>
      <w:bookmarkStart w:id="59" w:name="_Toc22115"/>
      <w:r>
        <w:rPr>
          <w:rFonts w:hint="eastAsia" w:asciiTheme="minorEastAsia" w:hAnsiTheme="minorEastAsia" w:eastAsiaTheme="minorEastAsia"/>
          <w:b/>
          <w:color w:val="000000" w:themeColor="text1"/>
          <w:sz w:val="24"/>
          <w14:textFill>
            <w14:solidFill>
              <w14:schemeClr w14:val="tx1"/>
            </w14:solidFill>
          </w14:textFill>
        </w:rPr>
        <w:t>一、总则</w:t>
      </w:r>
      <w:bookmarkEnd w:id="58"/>
      <w:bookmarkEnd w:id="59"/>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14:textFill>
            <w14:solidFill>
              <w14:schemeClr w14:val="tx1"/>
            </w14:solidFill>
          </w14:textFill>
        </w:rPr>
        <w:t>及本章的规定评标。</w:t>
      </w:r>
    </w:p>
    <w:p>
      <w:pPr>
        <w:spacing w:line="360" w:lineRule="auto"/>
        <w:ind w:firstLine="482"/>
        <w:outlineLvl w:val="1"/>
        <w:rPr>
          <w:rFonts w:hint="eastAsia" w:asciiTheme="minorEastAsia" w:hAnsiTheme="minorEastAsia" w:eastAsiaTheme="minorEastAsia"/>
          <w:b/>
          <w:color w:val="000000" w:themeColor="text1"/>
          <w:sz w:val="24"/>
          <w14:textFill>
            <w14:solidFill>
              <w14:schemeClr w14:val="tx1"/>
            </w14:solidFill>
          </w14:textFill>
        </w:rPr>
      </w:pPr>
      <w:bookmarkStart w:id="60" w:name="_Toc28533"/>
      <w:bookmarkStart w:id="61" w:name="_Toc27343"/>
      <w:r>
        <w:rPr>
          <w:rFonts w:hint="eastAsia" w:asciiTheme="minorEastAsia" w:hAnsiTheme="minorEastAsia" w:eastAsiaTheme="minorEastAsia"/>
          <w:b/>
          <w:color w:val="000000" w:themeColor="text1"/>
          <w:sz w:val="24"/>
          <w14:textFill>
            <w14:solidFill>
              <w14:schemeClr w14:val="tx1"/>
            </w14:solidFill>
          </w14:textFill>
        </w:rPr>
        <w:t>二、评标方法</w:t>
      </w:r>
      <w:bookmarkEnd w:id="60"/>
      <w:bookmarkEnd w:id="61"/>
    </w:p>
    <w:p>
      <w:pPr>
        <w:spacing w:line="360" w:lineRule="auto"/>
        <w:ind w:firstLine="480"/>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2.1资格审查</w:t>
      </w:r>
    </w:p>
    <w:tbl>
      <w:tblPr>
        <w:tblStyle w:val="39"/>
        <w:tblW w:w="8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22"/>
        <w:gridCol w:w="445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665" w:type="dxa"/>
            <w:gridSpan w:val="4"/>
            <w:tcBorders>
              <w:bottom w:val="single" w:color="auto" w:sz="4" w:space="0"/>
            </w:tcBorders>
            <w:vAlign w:val="center"/>
          </w:tcPr>
          <w:p>
            <w:pPr>
              <w:adjustRightInd w:val="0"/>
              <w:snapToGrid w:val="0"/>
              <w:ind w:right="267" w:firstLine="482"/>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668" w:type="dxa"/>
            <w:tcBorders>
              <w:bottom w:val="single" w:color="auto" w:sz="4" w:space="0"/>
            </w:tcBorders>
            <w:vAlign w:val="center"/>
          </w:tcPr>
          <w:p>
            <w:pPr>
              <w:adjustRightInd w:val="0"/>
              <w:snapToGrid w:val="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522" w:type="dxa"/>
            <w:tcBorders>
              <w:bottom w:val="single" w:color="auto" w:sz="4" w:space="0"/>
            </w:tcBorders>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审查指标</w:t>
            </w:r>
          </w:p>
        </w:tc>
        <w:tc>
          <w:tcPr>
            <w:tcW w:w="4454" w:type="dxa"/>
            <w:tcBorders>
              <w:bottom w:val="single" w:color="auto" w:sz="4" w:space="0"/>
            </w:tcBorders>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2021" w:type="dxa"/>
            <w:tcBorders>
              <w:bottom w:val="single" w:color="auto" w:sz="4" w:space="0"/>
            </w:tcBorders>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1" w:hRule="atLeast"/>
          <w:jc w:val="center"/>
        </w:trPr>
        <w:tc>
          <w:tcPr>
            <w:tcW w:w="668" w:type="dxa"/>
            <w:tcBorders>
              <w:bottom w:val="single" w:color="auto" w:sz="4" w:space="0"/>
            </w:tcBorders>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1522" w:type="dxa"/>
            <w:tcBorders>
              <w:bottom w:val="single" w:color="auto" w:sz="4" w:space="0"/>
            </w:tcBorders>
            <w:vAlign w:val="center"/>
          </w:tcPr>
          <w:p>
            <w:pPr>
              <w:spacing w:after="156"/>
              <w:ind w:right="267"/>
              <w:rPr>
                <w:rFonts w:hint="eastAsia"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4454" w:type="dxa"/>
            <w:tcBorders>
              <w:bottom w:val="single" w:color="auto" w:sz="4" w:space="0"/>
            </w:tcBorders>
            <w:vAlign w:val="center"/>
          </w:tcPr>
          <w:p>
            <w:pPr>
              <w:spacing w:after="156"/>
              <w:ind w:right="26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pPr>
              <w:spacing w:after="156"/>
              <w:ind w:right="26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pPr>
              <w:spacing w:after="156"/>
              <w:ind w:right="26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pPr>
              <w:spacing w:after="156"/>
              <w:ind w:right="26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pPr>
              <w:spacing w:after="156"/>
              <w:ind w:right="267"/>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r>
              <w:rPr>
                <w:rFonts w:hint="eastAsia" w:ascii="宋体" w:hAnsi="宋体" w:eastAsia="宋体" w:cs="宋体"/>
                <w:color w:val="000000" w:themeColor="text1"/>
                <w:sz w:val="24"/>
                <w:szCs w:val="24"/>
                <w14:textFill>
                  <w14:solidFill>
                    <w14:schemeClr w14:val="tx1"/>
                  </w14:solidFill>
                </w14:textFill>
              </w:rPr>
              <w:t>；</w:t>
            </w:r>
          </w:p>
        </w:tc>
        <w:tc>
          <w:tcPr>
            <w:tcW w:w="2021" w:type="dxa"/>
            <w:vAlign w:val="center"/>
          </w:tcPr>
          <w:p>
            <w:pPr>
              <w:pStyle w:val="24"/>
              <w:spacing w:before="312" w:beforeAutospacing="0" w:after="156" w:afterAutospacing="0"/>
              <w:rPr>
                <w:rFonts w:hint="eastAsia"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68" w:type="dxa"/>
            <w:tcBorders>
              <w:bottom w:val="single" w:color="auto" w:sz="4" w:space="0"/>
            </w:tcBorders>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1522" w:type="dxa"/>
            <w:tcBorders>
              <w:bottom w:val="single" w:color="auto" w:sz="4" w:space="0"/>
            </w:tcBorders>
            <w:vAlign w:val="center"/>
          </w:tcPr>
          <w:p>
            <w:pPr>
              <w:spacing w:after="156"/>
              <w:ind w:right="267"/>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投标人资格声明书</w:t>
            </w:r>
          </w:p>
        </w:tc>
        <w:tc>
          <w:tcPr>
            <w:tcW w:w="4454" w:type="dxa"/>
            <w:tcBorders>
              <w:bottom w:val="single" w:color="auto" w:sz="4" w:space="0"/>
            </w:tcBorders>
            <w:vAlign w:val="center"/>
          </w:tcPr>
          <w:p>
            <w:pPr>
              <w:spacing w:after="156"/>
              <w:ind w:right="267"/>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14:textFill>
                  <w14:solidFill>
                    <w14:schemeClr w14:val="tx1"/>
                  </w14:solidFill>
                </w14:textFill>
              </w:rPr>
              <w:t>。</w:t>
            </w:r>
          </w:p>
        </w:tc>
        <w:tc>
          <w:tcPr>
            <w:tcW w:w="2021" w:type="dxa"/>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668" w:type="dxa"/>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1522" w:type="dxa"/>
            <w:vAlign w:val="center"/>
          </w:tcPr>
          <w:p>
            <w:pPr>
              <w:spacing w:after="156"/>
              <w:ind w:right="267"/>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投标人信用记录</w:t>
            </w:r>
          </w:p>
        </w:tc>
        <w:tc>
          <w:tcPr>
            <w:tcW w:w="4454" w:type="dxa"/>
            <w:vAlign w:val="center"/>
          </w:tcPr>
          <w:p>
            <w:pPr>
              <w:spacing w:after="156"/>
              <w:ind w:right="267"/>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投标人不得存在“</w:t>
            </w:r>
            <w:r>
              <w:rPr>
                <w:rFonts w:hint="eastAsia" w:ascii="宋体" w:hAnsi="宋体" w:eastAsia="宋体" w:cs="宋体"/>
                <w:b/>
                <w:bCs/>
                <w:color w:val="000000" w:themeColor="text1"/>
                <w:sz w:val="24"/>
                <w:szCs w:val="24"/>
                <w:lang w:bidi="ar"/>
                <w14:textFill>
                  <w14:solidFill>
                    <w14:schemeClr w14:val="tx1"/>
                  </w14:solidFill>
                </w14:textFill>
              </w:rPr>
              <w:t>申请人的资格要求中”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2021" w:type="dxa"/>
            <w:vAlign w:val="center"/>
          </w:tcPr>
          <w:p>
            <w:pPr>
              <w:wordWrap w:val="0"/>
              <w:jc w:val="left"/>
              <w:rPr>
                <w:rFonts w:hint="eastAsia" w:ascii="宋体" w:hAnsi="宋体" w:eastAsia="宋体" w:cs="宋体"/>
                <w:sz w:val="24"/>
                <w:szCs w:val="24"/>
              </w:rPr>
            </w:pPr>
            <w:r>
              <w:rPr>
                <w:rFonts w:hint="eastAsia" w:ascii="宋体" w:hAnsi="宋体" w:eastAsia="宋体" w:cs="宋体"/>
                <w:sz w:val="24"/>
                <w:szCs w:val="24"/>
              </w:rPr>
              <w:t>投标人提供诚信投标承诺书；</w:t>
            </w:r>
          </w:p>
          <w:p>
            <w:pPr>
              <w:wordWrap w:val="0"/>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采购人或采购代理机构查询投标人信用记录情形。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jc w:val="center"/>
        </w:trPr>
        <w:tc>
          <w:tcPr>
            <w:tcW w:w="668" w:type="dxa"/>
            <w:vAlign w:val="center"/>
          </w:tcPr>
          <w:p>
            <w:pPr>
              <w:adjustRightInd w:val="0"/>
              <w:snapToGrid w:val="0"/>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p>
        </w:tc>
        <w:tc>
          <w:tcPr>
            <w:tcW w:w="1522" w:type="dxa"/>
            <w:vAlign w:val="center"/>
          </w:tcPr>
          <w:p>
            <w:pPr>
              <w:adjustRightInd w:val="0"/>
              <w:snapToGrid w:val="0"/>
              <w:ind w:right="2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其他特定资格要求</w:t>
            </w:r>
          </w:p>
        </w:tc>
        <w:tc>
          <w:tcPr>
            <w:tcW w:w="4454" w:type="dxa"/>
            <w:vAlign w:val="center"/>
          </w:tcPr>
          <w:p>
            <w:pPr>
              <w:spacing w:after="156"/>
              <w:ind w:right="267"/>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投标人需提供以下证书（明）材料：</w:t>
            </w:r>
          </w:p>
          <w:p>
            <w:pPr>
              <w:spacing w:after="156"/>
              <w:ind w:right="267"/>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投标人为制造商的必须取得国家食品药品监督管理部门颁发的此类设备医疗器械生产许可证，投标人为代理商或经销商应具有有效的中华人民共和国医疗器械经营许可证或医疗器械经营备案凭证。（2）投标人需提供所投产品：</w:t>
            </w:r>
            <w:r>
              <w:rPr>
                <w:rFonts w:hint="eastAsia" w:ascii="宋体" w:hAnsi="宋体" w:eastAsia="宋体"/>
                <w:color w:val="000000" w:themeColor="text1"/>
                <w:sz w:val="24"/>
                <w14:textFill>
                  <w14:solidFill>
                    <w14:schemeClr w14:val="tx1"/>
                  </w14:solidFill>
                </w14:textFill>
              </w:rPr>
              <w:fldChar w:fldCharType="begin"/>
            </w:r>
            <w:r>
              <w:rPr>
                <w:rFonts w:hint="eastAsia" w:ascii="宋体" w:hAnsi="宋体" w:eastAsia="宋体"/>
                <w:color w:val="000000" w:themeColor="text1"/>
                <w:sz w:val="24"/>
                <w14:textFill>
                  <w14:solidFill>
                    <w14:schemeClr w14:val="tx1"/>
                  </w14:solidFill>
                </w14:textFill>
              </w:rPr>
              <w:instrText xml:space="preserve"> = 1 \* GB3 </w:instrText>
            </w:r>
            <w:r>
              <w:rPr>
                <w:rFonts w:hint="eastAsia" w:ascii="宋体" w:hAnsi="宋体" w:eastAsia="宋体"/>
                <w:color w:val="000000" w:themeColor="text1"/>
                <w:sz w:val="24"/>
                <w14:textFill>
                  <w14:solidFill>
                    <w14:schemeClr w14:val="tx1"/>
                  </w14:solidFill>
                </w14:textFill>
              </w:rPr>
              <w:fldChar w:fldCharType="separate"/>
            </w:r>
            <w:r>
              <w:rPr>
                <w:rFonts w:hint="eastAsia" w:ascii="宋体" w:hAnsi="宋体" w:eastAsia="宋体"/>
                <w:color w:val="000000" w:themeColor="text1"/>
                <w:sz w:val="24"/>
                <w14:textFill>
                  <w14:solidFill>
                    <w14:schemeClr w14:val="tx1"/>
                  </w14:solidFill>
                </w14:textFill>
              </w:rPr>
              <w:t>①</w:t>
            </w:r>
            <w:r>
              <w:rPr>
                <w:rFonts w:hint="eastAsia" w:ascii="宋体" w:hAnsi="宋体" w:eastAsia="宋体"/>
                <w:color w:val="000000" w:themeColor="text1"/>
                <w:sz w:val="24"/>
                <w14:textFill>
                  <w14:solidFill>
                    <w14:schemeClr w14:val="tx1"/>
                  </w14:solidFill>
                </w14:textFill>
              </w:rPr>
              <w:fldChar w:fldCharType="end"/>
            </w:r>
            <w:r>
              <w:rPr>
                <w:rFonts w:hint="eastAsia" w:ascii="宋体" w:hAnsi="宋体" w:eastAsia="宋体"/>
                <w:color w:val="000000" w:themeColor="text1"/>
                <w:sz w:val="24"/>
                <w14:textFill>
                  <w14:solidFill>
                    <w14:schemeClr w14:val="tx1"/>
                  </w14:solidFill>
                </w14:textFill>
              </w:rPr>
              <w:t>“广角镜观察镜”医疗器械注册证或备案证；</w:t>
            </w:r>
            <w:r>
              <w:rPr>
                <w:rFonts w:hint="eastAsia" w:ascii="宋体" w:hAnsi="宋体" w:eastAsia="宋体"/>
                <w:color w:val="000000" w:themeColor="text1"/>
                <w:sz w:val="24"/>
                <w14:textFill>
                  <w14:solidFill>
                    <w14:schemeClr w14:val="tx1"/>
                  </w14:solidFill>
                </w14:textFill>
              </w:rPr>
              <w:fldChar w:fldCharType="begin"/>
            </w:r>
            <w:r>
              <w:rPr>
                <w:rFonts w:hint="eastAsia" w:ascii="宋体" w:hAnsi="宋体" w:eastAsia="宋体"/>
                <w:color w:val="000000" w:themeColor="text1"/>
                <w:sz w:val="24"/>
                <w14:textFill>
                  <w14:solidFill>
                    <w14:schemeClr w14:val="tx1"/>
                  </w14:solidFill>
                </w14:textFill>
              </w:rPr>
              <w:instrText xml:space="preserve"> = 2 \* GB3 </w:instrText>
            </w:r>
            <w:r>
              <w:rPr>
                <w:rFonts w:hint="eastAsia" w:ascii="宋体" w:hAnsi="宋体" w:eastAsia="宋体"/>
                <w:color w:val="000000" w:themeColor="text1"/>
                <w:sz w:val="24"/>
                <w14:textFill>
                  <w14:solidFill>
                    <w14:schemeClr w14:val="tx1"/>
                  </w14:solidFill>
                </w14:textFill>
              </w:rPr>
              <w:fldChar w:fldCharType="separate"/>
            </w:r>
            <w:r>
              <w:rPr>
                <w:rFonts w:hint="eastAsia" w:ascii="宋体" w:hAnsi="宋体" w:eastAsia="宋体"/>
                <w:color w:val="000000" w:themeColor="text1"/>
                <w:sz w:val="24"/>
                <w14:textFill>
                  <w14:solidFill>
                    <w14:schemeClr w14:val="tx1"/>
                  </w14:solidFill>
                </w14:textFill>
              </w:rPr>
              <w:t>②</w:t>
            </w:r>
            <w:r>
              <w:rPr>
                <w:rFonts w:hint="eastAsia" w:ascii="宋体" w:hAnsi="宋体" w:eastAsia="宋体"/>
                <w:color w:val="000000" w:themeColor="text1"/>
                <w:sz w:val="24"/>
                <w14:textFill>
                  <w14:solidFill>
                    <w14:schemeClr w14:val="tx1"/>
                  </w14:solidFill>
                </w14:textFill>
              </w:rPr>
              <w:fldChar w:fldCharType="end"/>
            </w:r>
            <w:r>
              <w:rPr>
                <w:rFonts w:hint="eastAsia" w:ascii="宋体" w:hAnsi="宋体" w:eastAsia="宋体"/>
                <w:color w:val="000000" w:themeColor="text1"/>
                <w:sz w:val="24"/>
                <w14:textFill>
                  <w14:solidFill>
                    <w14:schemeClr w14:val="tx1"/>
                  </w14:solidFill>
                </w14:textFill>
              </w:rPr>
              <w:t>“显微镜录像系统”无需提供医疗器械注册证或备案证。</w:t>
            </w:r>
          </w:p>
          <w:p>
            <w:pPr>
              <w:spacing w:after="156"/>
              <w:ind w:right="267"/>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具体要求详</w:t>
            </w:r>
            <w:r>
              <w:rPr>
                <w:rFonts w:ascii="宋体" w:hAnsi="宋体" w:eastAsia="宋体"/>
                <w:color w:val="000000" w:themeColor="text1"/>
                <w:sz w:val="24"/>
                <w14:textFill>
                  <w14:solidFill>
                    <w14:schemeClr w14:val="tx1"/>
                  </w14:solidFill>
                </w14:textFill>
              </w:rPr>
              <w:t>见第一章《投标邀请》</w:t>
            </w:r>
            <w:r>
              <w:rPr>
                <w:rFonts w:hint="eastAsia" w:ascii="宋体" w:hAnsi="宋体" w:eastAsia="宋体"/>
                <w:color w:val="000000" w:themeColor="text1"/>
                <w:sz w:val="24"/>
                <w14:textFill>
                  <w14:solidFill>
                    <w14:schemeClr w14:val="tx1"/>
                  </w14:solidFill>
                </w14:textFill>
              </w:rPr>
              <w:t>。</w:t>
            </w:r>
          </w:p>
        </w:tc>
        <w:tc>
          <w:tcPr>
            <w:tcW w:w="2021" w:type="dxa"/>
            <w:vAlign w:val="center"/>
          </w:tcPr>
          <w:p>
            <w:pPr>
              <w:pStyle w:val="24"/>
              <w:spacing w:before="312" w:beforeAutospacing="0" w:after="156" w:afterAutospacing="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提供证书材料复印件加盖公章</w:t>
            </w:r>
          </w:p>
        </w:tc>
      </w:tr>
    </w:tbl>
    <w:p>
      <w:pPr>
        <w:spacing w:line="360" w:lineRule="auto"/>
        <w:ind w:firstLine="482"/>
        <w:rPr>
          <w:rFonts w:hint="eastAsia" w:asciiTheme="minorEastAsia" w:hAnsiTheme="minorEastAsia" w:eastAsiaTheme="minorEastAsia"/>
          <w:color w:val="000000" w:themeColor="text1"/>
          <w:sz w:val="24"/>
          <w14:textFill>
            <w14:solidFill>
              <w14:schemeClr w14:val="tx1"/>
            </w14:solidFill>
          </w14:textFill>
        </w:rPr>
      </w:pPr>
      <w:bookmarkStart w:id="62" w:name="_Hlk16461707"/>
      <w:r>
        <w:rPr>
          <w:rFonts w:hint="eastAsia" w:ascii="宋体" w:hAnsi="宋体" w:eastAsia="宋体"/>
          <w:b/>
          <w:bCs/>
          <w:color w:val="000000" w:themeColor="text1"/>
          <w:sz w:val="24"/>
          <w14:textFill>
            <w14:solidFill>
              <w14:schemeClr w14:val="tx1"/>
            </w14:solidFill>
          </w14:textFill>
        </w:rPr>
        <w:t>资格审查指标通过标准：</w:t>
      </w:r>
      <w:r>
        <w:rPr>
          <w:rFonts w:hint="eastAsia" w:ascii="宋体" w:hAnsi="宋体" w:eastAsia="宋体"/>
          <w:color w:val="000000" w:themeColor="text1"/>
          <w:sz w:val="24"/>
          <w14:textFill>
            <w14:solidFill>
              <w14:schemeClr w14:val="tx1"/>
            </w14:solidFill>
          </w14:textFill>
        </w:rPr>
        <w:t>投标人必须通过资格审查表中的全部评审指标。</w:t>
      </w:r>
    </w:p>
    <w:bookmarkEnd w:id="62"/>
    <w:p>
      <w:pPr>
        <w:spacing w:line="360" w:lineRule="auto"/>
        <w:ind w:firstLine="480"/>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2.2符合性审查</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评标委员会对通过资格审查的投标人的投标文件进行符合性审查，以确定其是否满足招标文件的实质性要求。符合性审查表如下：</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117"/>
        <w:gridCol w:w="3128"/>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spacing w:line="360" w:lineRule="auto"/>
              <w:ind w:right="267" w:firstLine="482"/>
              <w:jc w:val="center"/>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65" w:type="dxa"/>
            <w:tcBorders>
              <w:bottom w:val="single" w:color="auto" w:sz="4" w:space="0"/>
            </w:tcBorders>
            <w:vAlign w:val="center"/>
          </w:tcPr>
          <w:p>
            <w:pPr>
              <w:adjustRightInd w:val="0"/>
              <w:snapToGrid w:val="0"/>
              <w:spacing w:line="360" w:lineRule="auto"/>
              <w:ind w:right="267"/>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2117" w:type="dxa"/>
            <w:tcBorders>
              <w:bottom w:val="single" w:color="auto" w:sz="4" w:space="0"/>
            </w:tcBorders>
            <w:vAlign w:val="center"/>
          </w:tcPr>
          <w:p>
            <w:pPr>
              <w:pStyle w:val="44"/>
              <w:rPr>
                <w:rFonts w:hint="eastAsia"/>
              </w:rPr>
            </w:pPr>
            <w:r>
              <w:rPr>
                <w:rFonts w:hint="eastAsia" w:ascii="宋体" w:hAnsi="宋体" w:eastAsia="宋体"/>
                <w:color w:val="000000" w:themeColor="text1"/>
                <w:kern w:val="2"/>
                <w14:textFill>
                  <w14:solidFill>
                    <w14:schemeClr w14:val="tx1"/>
                  </w14:solidFill>
                </w14:textFill>
              </w:rPr>
              <w:t>审查指标</w:t>
            </w:r>
          </w:p>
        </w:tc>
        <w:tc>
          <w:tcPr>
            <w:tcW w:w="3128" w:type="dxa"/>
            <w:tcBorders>
              <w:bottom w:val="single" w:color="auto" w:sz="4" w:space="0"/>
            </w:tcBorders>
            <w:vAlign w:val="center"/>
          </w:tcPr>
          <w:p>
            <w:pPr>
              <w:adjustRightInd w:val="0"/>
              <w:snapToGrid w:val="0"/>
              <w:spacing w:line="360" w:lineRule="auto"/>
              <w:ind w:right="267" w:firstLine="48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2512" w:type="dxa"/>
            <w:tcBorders>
              <w:bottom w:val="single" w:color="auto" w:sz="4" w:space="0"/>
            </w:tcBorders>
            <w:vAlign w:val="center"/>
          </w:tcPr>
          <w:p>
            <w:pPr>
              <w:adjustRightInd w:val="0"/>
              <w:snapToGrid w:val="0"/>
              <w:spacing w:line="360" w:lineRule="auto"/>
              <w:ind w:right="267"/>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开标一览表</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投标函</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法定代表人参加投标的无需此件，提供身份证明即可。详见第六章投标文件格式。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投标报价</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Theme="minorEastAsia" w:hAnsiTheme="minorEastAsia" w:eastAsiaTheme="minorEastAsia"/>
                <w:color w:val="000000" w:themeColor="text1"/>
                <w:sz w:val="24"/>
                <w14:textFill>
                  <w14:solidFill>
                    <w14:schemeClr w14:val="tx1"/>
                  </w14:solidFill>
                </w14:textFill>
              </w:rPr>
              <w:t>招标文件投标人须知正文第9条要求</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符合招标文件采购需求中对付款方式、供货及安装期限、供货及安装地点、免费质保期等实质性要求</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技术响应情况</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符合招标文件采购需求中货物技术参数等实质性要求</w:t>
            </w:r>
          </w:p>
        </w:tc>
        <w:tc>
          <w:tcPr>
            <w:tcW w:w="2512" w:type="dxa"/>
            <w:vAlign w:val="center"/>
          </w:tcPr>
          <w:p>
            <w:pPr>
              <w:adjustRightInd w:val="0"/>
              <w:snapToGrid w:val="0"/>
              <w:spacing w:line="360" w:lineRule="auto"/>
              <w:ind w:right="267"/>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267"/>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p>
        </w:tc>
        <w:tc>
          <w:tcPr>
            <w:tcW w:w="2117" w:type="dxa"/>
            <w:vAlign w:val="center"/>
          </w:tcPr>
          <w:p>
            <w:pPr>
              <w:spacing w:after="156" w:line="360" w:lineRule="auto"/>
              <w:ind w:right="267"/>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3128" w:type="dxa"/>
            <w:vAlign w:val="center"/>
          </w:tcPr>
          <w:p>
            <w:pPr>
              <w:spacing w:after="156" w:line="360" w:lineRule="auto"/>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符合法律、行政法规规定的其他条件或招标文件列明的其他实质性要求</w:t>
            </w:r>
          </w:p>
        </w:tc>
        <w:tc>
          <w:tcPr>
            <w:tcW w:w="2512" w:type="dxa"/>
            <w:vAlign w:val="center"/>
          </w:tcPr>
          <w:p>
            <w:pPr>
              <w:adjustRightInd w:val="0"/>
              <w:snapToGrid w:val="0"/>
              <w:spacing w:line="360" w:lineRule="auto"/>
              <w:ind w:right="267" w:firstLine="480"/>
              <w:jc w:val="center"/>
              <w:rPr>
                <w:rFonts w:hint="eastAsia" w:asciiTheme="minorEastAsia" w:hAnsiTheme="minorEastAsia" w:eastAsiaTheme="minorEastAsia"/>
                <w:color w:val="000000" w:themeColor="text1"/>
                <w:sz w:val="24"/>
                <w14:textFill>
                  <w14:solidFill>
                    <w14:schemeClr w14:val="tx1"/>
                  </w14:solidFill>
                </w14:textFill>
              </w:rPr>
            </w:pPr>
          </w:p>
        </w:tc>
      </w:tr>
    </w:tbl>
    <w:p>
      <w:pPr>
        <w:spacing w:line="360" w:lineRule="auto"/>
        <w:ind w:firstLine="48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符合性审查指标通过标准：</w:t>
      </w:r>
      <w:r>
        <w:rPr>
          <w:rFonts w:hint="eastAsia" w:asciiTheme="minorEastAsia" w:hAnsiTheme="minorEastAsia" w:eastAsiaTheme="minorEastAsia"/>
          <w:color w:val="000000" w:themeColor="text1"/>
          <w:sz w:val="24"/>
          <w14:textFill>
            <w14:solidFill>
              <w14:schemeClr w14:val="tx1"/>
            </w14:solidFill>
          </w14:textFill>
        </w:rPr>
        <w:t>投标人必须通过符合性审查表中的全部评审指标。</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39"/>
        <w:tblW w:w="9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056"/>
        <w:gridCol w:w="577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5770" w:type="dxa"/>
            <w:tcBorders>
              <w:top w:val="single" w:color="auto" w:sz="4" w:space="0"/>
              <w:left w:val="single" w:color="auto" w:sz="4" w:space="0"/>
              <w:bottom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118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4" w:hRule="atLeast"/>
          <w:jc w:val="center"/>
        </w:trPr>
        <w:tc>
          <w:tcPr>
            <w:tcW w:w="1202" w:type="dxa"/>
            <w:vMerge w:val="restart"/>
            <w:tcBorders>
              <w:left w:val="single" w:color="auto" w:sz="4" w:space="0"/>
              <w:right w:val="single" w:color="auto" w:sz="4" w:space="0"/>
            </w:tcBorders>
            <w:vAlign w:val="center"/>
          </w:tcPr>
          <w:p>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5770" w:type="dxa"/>
            <w:tcBorders>
              <w:top w:val="single" w:color="auto" w:sz="4" w:space="0"/>
              <w:left w:val="single" w:color="auto" w:sz="4" w:space="0"/>
              <w:bottom w:val="single" w:color="auto" w:sz="4" w:space="0"/>
              <w:right w:val="single" w:color="auto" w:sz="4" w:space="0"/>
            </w:tcBorders>
            <w:vAlign w:val="center"/>
          </w:tcPr>
          <w:p>
            <w:pPr>
              <w:pStyle w:val="24"/>
              <w:spacing w:before="312" w:beforeAutospacing="0" w:after="156" w:afterAutospacing="0"/>
              <w:rPr>
                <w:rFonts w:hint="eastAsia" w:ascii="宋体" w:hAnsi="宋体" w:eastAsia="宋体" w:cs="宋体"/>
                <w:color w:val="000000"/>
                <w:szCs w:val="24"/>
              </w:rPr>
            </w:pPr>
            <w:r>
              <w:rPr>
                <w:rFonts w:hint="eastAsia" w:ascii="宋体" w:hAnsi="宋体" w:eastAsia="宋体" w:cs="宋体"/>
                <w:color w:val="000000"/>
                <w:szCs w:val="24"/>
              </w:rPr>
              <w:t>自2023 年1月1日以来(以合同签订时间为准)，每提一</w:t>
            </w:r>
            <w:r>
              <w:rPr>
                <w:rFonts w:hint="eastAsia" w:ascii="宋体" w:hAnsi="宋体" w:eastAsia="宋体" w:cs="宋体"/>
                <w:color w:val="000000"/>
                <w:szCs w:val="24"/>
                <w:lang w:val="en-US" w:eastAsia="zh-CN"/>
              </w:rPr>
              <w:t>份</w:t>
            </w:r>
            <w:r>
              <w:rPr>
                <w:rFonts w:hint="eastAsia" w:ascii="宋体" w:hAnsi="宋体" w:eastAsia="宋体" w:cs="宋体"/>
                <w:color w:val="000000"/>
                <w:szCs w:val="24"/>
              </w:rPr>
              <w:t>所投产品</w:t>
            </w:r>
            <w:r>
              <w:rPr>
                <w:rFonts w:hint="eastAsia" w:ascii="宋体" w:hAnsi="宋体" w:eastAsia="宋体" w:cs="宋体"/>
                <w:color w:val="000000"/>
                <w:szCs w:val="24"/>
                <w:highlight w:val="yellow"/>
              </w:rPr>
              <w:t>（广角镜观察镜）</w:t>
            </w:r>
            <w:r>
              <w:rPr>
                <w:rFonts w:hint="eastAsia" w:ascii="宋体" w:hAnsi="宋体" w:eastAsia="宋体" w:cs="宋体"/>
                <w:color w:val="000000"/>
                <w:szCs w:val="24"/>
              </w:rPr>
              <w:t>的供货业绩，得2分，本条最高得4分。</w:t>
            </w:r>
          </w:p>
          <w:p>
            <w:pPr>
              <w:pStyle w:val="24"/>
              <w:spacing w:before="312" w:beforeAutospacing="0" w:after="156"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另需提供合同甲方（或采购方）盖章的证明材料原件（或加盖投标人公章的复印件），否则该项业绩视为无效，不予计分。</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2" w:type="dxa"/>
            <w:vMerge w:val="continue"/>
            <w:tcBorders>
              <w:left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57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本项目产品技术参数共24项，</w:t>
            </w:r>
          </w:p>
          <w:p>
            <w:pPr>
              <w:rPr>
                <w:rFonts w:hint="eastAsia" w:ascii="宋体" w:hAnsi="宋体" w:eastAsia="宋体" w:cs="宋体"/>
                <w:sz w:val="24"/>
                <w:szCs w:val="24"/>
                <w:lang w:bidi="zh-CN"/>
              </w:rPr>
            </w:pPr>
            <w:r>
              <w:rPr>
                <w:rFonts w:hint="eastAsia" w:ascii="宋体" w:hAnsi="宋体" w:eastAsia="宋体" w:cs="宋体"/>
                <w:sz w:val="24"/>
                <w:szCs w:val="24"/>
                <w:lang w:bidi="zh-CN"/>
              </w:rPr>
              <w:t>①标注“★”号的为本项目的关键性技术指标，共2项，必须满足，否则按无效标处理。</w:t>
            </w:r>
          </w:p>
          <w:p>
            <w:pPr>
              <w:kinsoku w:val="0"/>
              <w:overflowPunct w:val="0"/>
              <w:autoSpaceDE w:val="0"/>
              <w:autoSpaceDN w:val="0"/>
              <w:adjustRightInd w:val="0"/>
              <w:snapToGrid w:val="0"/>
              <w:rPr>
                <w:rFonts w:hint="eastAsia" w:ascii="仿宋" w:hAnsi="仿宋" w:eastAsia="仿宋"/>
              </w:rPr>
            </w:pPr>
            <w:r>
              <w:rPr>
                <w:rFonts w:ascii="宋体" w:hAnsi="宋体" w:eastAsia="宋体" w:cs="宋体"/>
                <w:sz w:val="24"/>
                <w:szCs w:val="24"/>
              </w:rPr>
              <w:t>②</w:t>
            </w:r>
            <w:r>
              <w:rPr>
                <w:rFonts w:hint="eastAsia" w:ascii="宋体" w:hAnsi="宋体" w:eastAsia="宋体" w:cs="宋体"/>
                <w:sz w:val="24"/>
                <w:szCs w:val="24"/>
                <w:lang w:bidi="zh-CN"/>
              </w:rPr>
              <w:t>标注“▲”的技术参数条款，共2项，每有1项满足或优于招标要求的，得4分，满分8分；</w:t>
            </w:r>
          </w:p>
          <w:p>
            <w:pPr>
              <w:rPr>
                <w:rFonts w:hint="eastAsia" w:ascii="宋体" w:hAnsi="宋体" w:eastAsia="宋体" w:cs="宋体"/>
                <w:sz w:val="24"/>
                <w:szCs w:val="24"/>
                <w:lang w:bidi="zh-CN"/>
              </w:rPr>
            </w:pPr>
            <w:r>
              <w:rPr>
                <w:rFonts w:hint="eastAsia" w:ascii="宋体" w:hAnsi="宋体" w:eastAsia="宋体" w:cs="宋体"/>
                <w:sz w:val="24"/>
                <w:szCs w:val="24"/>
                <w:lang w:bidi="zh-CN"/>
              </w:rPr>
              <w:t>③未标注“★”号和“▲”符号的技术参数条款，共20项，每有一项满足或优于招标要求的得2分，满分40分；</w:t>
            </w:r>
          </w:p>
          <w:p>
            <w:pPr>
              <w:ind w:firstLine="482"/>
              <w:rPr>
                <w:rFonts w:hint="eastAsia" w:ascii="宋体" w:hAnsi="宋体" w:eastAsia="宋体" w:cs="宋体"/>
                <w:color w:val="0000FF"/>
                <w:sz w:val="24"/>
                <w:szCs w:val="24"/>
              </w:rPr>
            </w:pPr>
            <w:r>
              <w:rPr>
                <w:rFonts w:hint="eastAsia" w:ascii="宋体" w:hAnsi="宋体" w:eastAsia="宋体" w:cs="宋体"/>
                <w:b/>
                <w:bCs/>
                <w:sz w:val="24"/>
                <w:szCs w:val="24"/>
              </w:rPr>
              <w:t>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b/>
                <w:bCs/>
                <w:color w:val="0000FF"/>
                <w:sz w:val="24"/>
                <w:szCs w:val="24"/>
              </w:rPr>
              <w:t>所有采购产品的技术参数要求中如有标注（或注明）所需证明材料的，需按要求提供相对应的证明材料，标注</w:t>
            </w:r>
            <w:r>
              <w:rPr>
                <w:rFonts w:hint="eastAsia" w:ascii="宋体" w:hAnsi="宋体" w:eastAsia="宋体" w:cs="宋体"/>
                <w:color w:val="0000FF"/>
                <w:sz w:val="24"/>
                <w:szCs w:val="24"/>
                <w:lang w:bidi="zh-CN"/>
              </w:rPr>
              <w:t>“★”</w:t>
            </w:r>
            <w:r>
              <w:rPr>
                <w:rFonts w:hint="eastAsia" w:ascii="宋体" w:hAnsi="宋体" w:eastAsia="宋体" w:cs="宋体"/>
                <w:b/>
                <w:bCs/>
                <w:color w:val="0000FF"/>
                <w:sz w:val="24"/>
                <w:szCs w:val="24"/>
              </w:rPr>
              <w:t>和“▲”的参数均需提供有效证明材料，包括但不限于与之相关的证明文件或产品技术说明文件或印刷资料或技术白皮书或产品检验（测）报告或注册证明文件等材料。未标注“★”和“▲”的条款，除参数条款中注明要求提供的证明材料，无需提供其他证明材料，但“技术响应表”需明确是否响应，未明确是否响应视为不响应，投标人需审慎填写，验收时将复核参数。</w:t>
            </w:r>
          </w:p>
          <w:p>
            <w:pPr>
              <w:rPr>
                <w:rFonts w:hint="eastAsia" w:ascii="宋体" w:hAnsi="宋体" w:eastAsia="宋体" w:cs="宋体"/>
                <w:b/>
                <w:bCs/>
                <w:sz w:val="24"/>
                <w:szCs w:val="24"/>
              </w:rPr>
            </w:pPr>
            <w:r>
              <w:rPr>
                <w:rFonts w:ascii="宋体" w:hAnsi="宋体" w:eastAsia="宋体" w:cs="宋体"/>
                <w:sz w:val="24"/>
                <w:szCs w:val="24"/>
              </w:rPr>
              <w:t>②</w:t>
            </w:r>
            <w:r>
              <w:rPr>
                <w:rFonts w:hint="eastAsia" w:ascii="宋体" w:hAnsi="宋体" w:eastAsia="宋体" w:cs="宋体"/>
                <w:b/>
                <w:bCs/>
                <w:color w:val="FF0000"/>
                <w:sz w:val="24"/>
                <w:szCs w:val="24"/>
              </w:rPr>
              <w:t>投标人提供的评审（评分）证明材料必须为中文文本，若存在非中文时，须同时提供中文翻译文本，否则视为不响应；</w:t>
            </w:r>
          </w:p>
          <w:p>
            <w:pPr>
              <w:rPr>
                <w:rFonts w:hint="eastAsia" w:ascii="宋体" w:hAnsi="宋体" w:eastAsia="宋体" w:cs="宋体"/>
                <w:sz w:val="24"/>
                <w:szCs w:val="24"/>
              </w:rPr>
            </w:pPr>
            <w:r>
              <w:rPr>
                <w:rFonts w:hint="eastAsia" w:ascii="宋体" w:hAnsi="宋体" w:eastAsia="宋体" w:cs="宋体"/>
                <w:sz w:val="24"/>
                <w:szCs w:val="24"/>
              </w:rPr>
              <w:t>③如某项标识中包含多条技术参数或要求，则该项标识所含内容均需满足或优于招标文件要求，否则不予认可。</w:t>
            </w:r>
          </w:p>
          <w:p>
            <w:pPr>
              <w:rPr>
                <w:rFonts w:hint="eastAsia" w:ascii="宋体" w:hAnsi="宋体" w:eastAsia="宋体" w:cs="宋体"/>
                <w:sz w:val="24"/>
                <w:szCs w:val="24"/>
              </w:rPr>
            </w:pPr>
            <w:r>
              <w:rPr>
                <w:rFonts w:hint="eastAsia" w:ascii="宋体" w:hAnsi="宋体" w:eastAsia="宋体" w:cs="宋体"/>
                <w:sz w:val="24"/>
                <w:szCs w:val="24"/>
              </w:rPr>
              <w:t>④如出现相同的技术指标说明或表述不一致时，此技术指标均视为无效技术证明材料。</w:t>
            </w:r>
          </w:p>
        </w:tc>
        <w:tc>
          <w:tcPr>
            <w:tcW w:w="1183" w:type="dxa"/>
            <w:tcBorders>
              <w:top w:val="single" w:color="auto" w:sz="4" w:space="0"/>
              <w:left w:val="single" w:color="auto" w:sz="4" w:space="0"/>
              <w:bottom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5" w:hRule="atLeast"/>
          <w:jc w:val="center"/>
        </w:trPr>
        <w:tc>
          <w:tcPr>
            <w:tcW w:w="1202" w:type="dxa"/>
            <w:vMerge w:val="continue"/>
            <w:tcBorders>
              <w:left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57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投标人须提供免费质保承诺，免费质保期至少为叁年，满足要求的不得分。在叁年的基础上，承诺每延长1年加5分（不足1年不加分），本项最高得10分。</w:t>
            </w:r>
          </w:p>
          <w:p>
            <w:pPr>
              <w:ind w:firstLine="482"/>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1183"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482"/>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02" w:type="dxa"/>
            <w:vMerge w:val="continue"/>
            <w:tcBorders>
              <w:left w:val="single" w:color="auto" w:sz="4" w:space="0"/>
              <w:right w:val="single" w:color="auto" w:sz="4" w:space="0"/>
            </w:tcBorders>
            <w:vAlign w:val="center"/>
          </w:tcPr>
          <w:p>
            <w:pPr>
              <w:ind w:firstLine="482"/>
              <w:jc w:val="center"/>
              <w:rPr>
                <w:rFonts w:hint="eastAsia" w:asciiTheme="minorEastAsia" w:hAnsiTheme="minorEastAsia" w:eastAsiaTheme="minorEastAsia"/>
                <w:b/>
                <w:bCs/>
                <w:sz w:val="24"/>
                <w:szCs w:val="24"/>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pPr>
              <w:rPr>
                <w:rFonts w:hint="eastAsia" w:ascii="宋体" w:hAnsi="宋体" w:eastAsia="宋体" w:cs="宋体"/>
                <w:sz w:val="24"/>
                <w:szCs w:val="24"/>
                <w:lang w:bidi="zh-CN"/>
              </w:rPr>
            </w:pPr>
            <w:r>
              <w:rPr>
                <w:rFonts w:hint="eastAsia" w:ascii="宋体" w:hAnsi="宋体" w:eastAsia="宋体" w:cs="宋体"/>
                <w:sz w:val="24"/>
                <w:szCs w:val="24"/>
                <w:lang w:bidi="zh-CN"/>
              </w:rPr>
              <w:t>1、包括保修内容与范围、维修响应时间、售后服务等，方案完善可行性强，科学合理，完全满足项目采购需求的得8分；</w:t>
            </w:r>
          </w:p>
          <w:p>
            <w:pPr>
              <w:rPr>
                <w:rFonts w:hint="eastAsia" w:ascii="宋体" w:hAnsi="宋体" w:eastAsia="宋体" w:cs="宋体"/>
                <w:sz w:val="24"/>
                <w:szCs w:val="24"/>
                <w:lang w:bidi="zh-CN"/>
              </w:rPr>
            </w:pPr>
            <w:r>
              <w:rPr>
                <w:rFonts w:hint="eastAsia" w:ascii="宋体" w:hAnsi="宋体" w:eastAsia="宋体" w:cs="宋体"/>
                <w:sz w:val="24"/>
                <w:szCs w:val="24"/>
                <w:lang w:bidi="zh-CN"/>
              </w:rPr>
              <w:t>2、包括保修内容与范围、维修响应时间、售后服务等，方案完善可行性较强，无明显逻辑错误，无关键点缺失的得7分；</w:t>
            </w:r>
          </w:p>
          <w:p>
            <w:pPr>
              <w:rPr>
                <w:rFonts w:hint="eastAsia" w:ascii="宋体" w:hAnsi="宋体" w:eastAsia="宋体" w:cs="宋体"/>
                <w:sz w:val="24"/>
                <w:szCs w:val="24"/>
                <w:lang w:bidi="zh-CN"/>
              </w:rPr>
            </w:pPr>
            <w:r>
              <w:rPr>
                <w:rFonts w:hint="eastAsia" w:ascii="宋体" w:hAnsi="宋体" w:eastAsia="宋体" w:cs="宋体"/>
                <w:sz w:val="24"/>
                <w:szCs w:val="24"/>
                <w:lang w:bidi="zh-CN"/>
              </w:rPr>
              <w:t>3、包括保修内容与范围、维修响应时间、售后服务等，方案内容缺失，且出现非专门针对本项目特性内容的得6分；</w:t>
            </w:r>
          </w:p>
          <w:p>
            <w:pPr>
              <w:rPr>
                <w:rFonts w:hint="eastAsia" w:ascii="宋体" w:hAnsi="宋体" w:eastAsia="宋体" w:cs="宋体"/>
                <w:sz w:val="24"/>
                <w:szCs w:val="24"/>
                <w:lang w:bidi="zh-CN"/>
              </w:rPr>
            </w:pPr>
            <w:r>
              <w:rPr>
                <w:rFonts w:hint="eastAsia" w:ascii="宋体" w:hAnsi="宋体" w:eastAsia="宋体" w:cs="宋体"/>
                <w:sz w:val="24"/>
                <w:szCs w:val="24"/>
                <w:lang w:bidi="zh-CN"/>
              </w:rPr>
              <w:t>4、方案不能满足项目实施要求或未提供相关内容的不得分.</w:t>
            </w:r>
          </w:p>
        </w:tc>
        <w:tc>
          <w:tcPr>
            <w:tcW w:w="1183"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ind w:firstLine="482"/>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jc w:val="center"/>
        </w:trPr>
        <w:tc>
          <w:tcPr>
            <w:tcW w:w="1202" w:type="dxa"/>
            <w:tcBorders>
              <w:left w:val="single" w:color="auto" w:sz="4" w:space="0"/>
              <w:right w:val="single" w:color="auto" w:sz="4" w:space="0"/>
            </w:tcBorders>
            <w:vAlign w:val="center"/>
          </w:tcPr>
          <w:p>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pP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8009"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pP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sz w:val="24"/>
                <w:szCs w:val="24"/>
              </w:rPr>
              <w:t>投标报价得分＝（评标基准价/投标报价）×30％×100</w:t>
            </w:r>
            <w:r>
              <w:rPr>
                <w:rFonts w:hint="eastAsia" w:asciiTheme="minorEastAsia" w:hAnsiTheme="minorEastAsia" w:eastAsiaTheme="minorEastAsia"/>
                <w:sz w:val="24"/>
                <w:szCs w:val="24"/>
                <w:lang w:val="en-US" w:eastAsia="zh-CN"/>
              </w:rPr>
              <w:t>分</w:t>
            </w:r>
          </w:p>
        </w:tc>
      </w:tr>
    </w:tbl>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sz w:val="24"/>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ind w:firstLine="420" w:firstLineChars="200"/>
        <w:rPr>
          <w:rFonts w:hint="eastAsia"/>
          <w:color w:val="000000" w:themeColor="text1"/>
          <w14:textFill>
            <w14:solidFill>
              <w14:schemeClr w14:val="tx1"/>
            </w14:solidFill>
          </w14:textFill>
        </w:rPr>
      </w:pPr>
    </w:p>
    <w:p>
      <w:pPr>
        <w:widowControl/>
        <w:ind w:firstLine="562"/>
        <w:jc w:val="center"/>
        <w:rPr>
          <w:rFonts w:hint="eastAsia" w:asciiTheme="minorEastAsia" w:hAnsiTheme="minorEastAsia" w:eastAsiaTheme="minorEastAsia"/>
          <w:b/>
          <w:color w:val="000000" w:themeColor="text1"/>
          <w:sz w:val="28"/>
          <w14:textFill>
            <w14:solidFill>
              <w14:schemeClr w14:val="tx1"/>
            </w14:solidFill>
          </w14:textFill>
        </w:rPr>
      </w:pPr>
      <w:bookmarkStart w:id="63" w:name="_Toc4682"/>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63"/>
    </w:p>
    <w:p>
      <w:pPr>
        <w:pStyle w:val="10"/>
        <w:spacing w:after="156" w:line="360" w:lineRule="auto"/>
        <w:ind w:firstLine="402"/>
        <w:jc w:val="center"/>
        <w:rPr>
          <w:rFonts w:hint="eastAsia" w:ascii="宋体" w:hAnsi="宋体" w:eastAsia="宋体" w:cs="宋体"/>
          <w:b/>
          <w:bCs/>
          <w:color w:val="000000" w:themeColor="text1"/>
          <w:spacing w:val="-20"/>
          <w:kern w:val="44"/>
          <w:sz w:val="24"/>
          <w14:textFill>
            <w14:solidFill>
              <w14:schemeClr w14:val="tx1"/>
            </w14:solidFill>
          </w14:textFill>
        </w:rPr>
      </w:pPr>
      <w:bookmarkStart w:id="64" w:name="_Toc22492"/>
    </w:p>
    <w:p>
      <w:pPr>
        <w:pStyle w:val="10"/>
        <w:spacing w:after="156" w:line="360" w:lineRule="auto"/>
        <w:ind w:firstLine="402"/>
        <w:jc w:val="center"/>
        <w:rPr>
          <w:rFonts w:hint="eastAsia" w:ascii="宋体" w:hAnsi="宋体" w:eastAsia="宋体" w:cs="宋体"/>
          <w:b/>
          <w:bCs/>
          <w:color w:val="000000" w:themeColor="text1"/>
          <w:spacing w:val="-20"/>
          <w:kern w:val="44"/>
          <w:sz w:val="24"/>
          <w14:textFill>
            <w14:solidFill>
              <w14:schemeClr w14:val="tx1"/>
            </w14:solidFill>
          </w14:textFill>
        </w:rPr>
      </w:pPr>
    </w:p>
    <w:p>
      <w:pPr>
        <w:pStyle w:val="10"/>
        <w:spacing w:after="156" w:line="360" w:lineRule="auto"/>
        <w:ind w:firstLine="402"/>
        <w:jc w:val="center"/>
        <w:rPr>
          <w:rFonts w:hint="eastAsia" w:ascii="宋体" w:hAnsi="宋体" w:eastAsia="宋体" w:cs="宋体"/>
          <w:b/>
          <w:bCs/>
          <w:color w:val="000000" w:themeColor="text1"/>
          <w:spacing w:val="-20"/>
          <w:kern w:val="44"/>
          <w:sz w:val="24"/>
          <w14:textFill>
            <w14:solidFill>
              <w14:schemeClr w14:val="tx1"/>
            </w14:solidFill>
          </w14:textFill>
        </w:rPr>
      </w:pPr>
    </w:p>
    <w:p>
      <w:pPr>
        <w:spacing w:line="360" w:lineRule="auto"/>
        <w:ind w:firstLine="402"/>
        <w:rPr>
          <w:rFonts w:hint="eastAsia" w:ascii="宋体" w:hAnsi="宋体" w:eastAsia="宋体" w:cs="宋体"/>
          <w:b/>
          <w:bCs/>
          <w:color w:val="000000" w:themeColor="text1"/>
          <w:spacing w:val="-20"/>
          <w:kern w:val="44"/>
          <w:sz w:val="24"/>
          <w:szCs w:val="24"/>
          <w14:textFill>
            <w14:solidFill>
              <w14:schemeClr w14:val="tx1"/>
            </w14:solidFill>
          </w14:textFill>
        </w:rPr>
      </w:pPr>
    </w:p>
    <w:p>
      <w:pPr>
        <w:pStyle w:val="10"/>
        <w:spacing w:after="156"/>
        <w:ind w:firstLine="402"/>
        <w:rPr>
          <w:rFonts w:hint="eastAsia" w:ascii="宋体" w:hAnsi="宋体" w:eastAsia="宋体" w:cs="宋体"/>
          <w:b/>
          <w:bCs/>
          <w:color w:val="000000" w:themeColor="text1"/>
          <w:spacing w:val="-20"/>
          <w:kern w:val="44"/>
          <w:sz w:val="24"/>
          <w14:textFill>
            <w14:solidFill>
              <w14:schemeClr w14:val="tx1"/>
            </w14:solidFill>
          </w14:textFill>
        </w:rPr>
      </w:pPr>
    </w:p>
    <w:p>
      <w:pPr>
        <w:pStyle w:val="10"/>
        <w:spacing w:after="156"/>
        <w:ind w:firstLine="402"/>
        <w:rPr>
          <w:rFonts w:hint="eastAsia" w:ascii="宋体" w:hAnsi="宋体" w:eastAsia="宋体" w:cs="宋体"/>
          <w:b/>
          <w:bCs/>
          <w:color w:val="000000" w:themeColor="text1"/>
          <w:spacing w:val="-20"/>
          <w:kern w:val="44"/>
          <w:sz w:val="24"/>
          <w14:textFill>
            <w14:solidFill>
              <w14:schemeClr w14:val="tx1"/>
            </w14:solidFill>
          </w14:textFill>
        </w:rPr>
      </w:pPr>
    </w:p>
    <w:p>
      <w:pPr>
        <w:spacing w:line="360" w:lineRule="auto"/>
        <w:ind w:firstLine="402"/>
        <w:rPr>
          <w:rFonts w:hint="eastAsia" w:ascii="宋体" w:hAnsi="宋体" w:eastAsia="宋体" w:cs="宋体"/>
          <w:b/>
          <w:bCs/>
          <w:color w:val="000000" w:themeColor="text1"/>
          <w:spacing w:val="-20"/>
          <w:kern w:val="44"/>
          <w:sz w:val="24"/>
          <w:szCs w:val="24"/>
          <w14:textFill>
            <w14:solidFill>
              <w14:schemeClr w14:val="tx1"/>
            </w14:solidFill>
          </w14:textFill>
        </w:rPr>
      </w:pPr>
    </w:p>
    <w:p>
      <w:pPr>
        <w:pStyle w:val="10"/>
        <w:spacing w:after="156" w:line="360" w:lineRule="auto"/>
        <w:ind w:firstLine="420"/>
        <w:rPr>
          <w:rFonts w:hint="eastAsia"/>
          <w:color w:val="000000" w:themeColor="text1"/>
          <w14:textFill>
            <w14:solidFill>
              <w14:schemeClr w14:val="tx1"/>
            </w14:solidFill>
          </w14:textFill>
        </w:rPr>
      </w:pPr>
    </w:p>
    <w:p>
      <w:pPr>
        <w:spacing w:line="360" w:lineRule="auto"/>
        <w:ind w:firstLine="402"/>
        <w:rPr>
          <w:rFonts w:hint="eastAsia" w:ascii="宋体" w:hAnsi="宋体" w:eastAsia="宋体" w:cs="宋体"/>
          <w:b/>
          <w:bCs/>
          <w:color w:val="000000" w:themeColor="text1"/>
          <w:spacing w:val="-20"/>
          <w:kern w:val="44"/>
          <w:sz w:val="24"/>
          <w:szCs w:val="24"/>
          <w14:textFill>
            <w14:solidFill>
              <w14:schemeClr w14:val="tx1"/>
            </w14:solidFill>
          </w14:textFill>
        </w:rPr>
      </w:pPr>
    </w:p>
    <w:p>
      <w:pPr>
        <w:spacing w:line="360" w:lineRule="auto"/>
        <w:ind w:left="420" w:leftChars="200" w:firstLine="480"/>
        <w:rPr>
          <w:rFonts w:hint="eastAsia" w:ascii="宋体" w:hAnsi="宋体" w:eastAsia="宋体" w:cs="Times New Roman"/>
          <w:i/>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left="420" w:leftChars="200" w:firstLine="480"/>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left="420" w:leftChars="200"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left="420" w:leftChars="200"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pPr>
        <w:spacing w:line="360" w:lineRule="auto"/>
        <w:ind w:left="420" w:leftChars="200"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left="420" w:leftChars="20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spacing w:line="360" w:lineRule="auto"/>
        <w:ind w:firstLine="482"/>
        <w:jc w:val="center"/>
        <w:outlineLvl w:val="1"/>
        <w:rPr>
          <w:rFonts w:hint="eastAsia" w:ascii="宋体" w:hAnsi="宋体" w:eastAsia="宋体"/>
          <w:b/>
          <w:color w:val="000000" w:themeColor="text1"/>
          <w:sz w:val="24"/>
          <w14:textFill>
            <w14:solidFill>
              <w14:schemeClr w14:val="tx1"/>
            </w14:solidFill>
          </w14:textFill>
        </w:rPr>
      </w:pPr>
      <w:bookmarkStart w:id="65" w:name="_Toc22209"/>
      <w:r>
        <w:rPr>
          <w:rFonts w:hint="eastAsia" w:ascii="宋体" w:hAnsi="宋体" w:eastAsia="宋体"/>
          <w:b/>
          <w:color w:val="000000" w:themeColor="text1"/>
          <w:sz w:val="24"/>
          <w14:textFill>
            <w14:solidFill>
              <w14:schemeClr w14:val="tx1"/>
            </w14:solidFill>
          </w14:textFill>
        </w:rPr>
        <w:t>第一节 政府采购合同协议书</w:t>
      </w:r>
      <w:bookmarkEnd w:id="65"/>
    </w:p>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w:t>
      </w:r>
    </w:p>
    <w:p>
      <w:pPr>
        <w:pStyle w:val="12"/>
        <w:adjustRightInd w:val="0"/>
        <w:snapToGrid w:val="0"/>
        <w:spacing w:after="156"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pPr>
        <w:pStyle w:val="12"/>
        <w:numPr>
          <w:ilvl w:val="0"/>
          <w:numId w:val="3"/>
        </w:numPr>
        <w:adjustRightInd w:val="0"/>
        <w:snapToGrid w:val="0"/>
        <w:spacing w:after="156"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滁州市第一人民医院眼底广角镜观察镜手术显微镜录像系统采购项目 </w:t>
      </w:r>
    </w:p>
    <w:p>
      <w:pPr>
        <w:pStyle w:val="12"/>
        <w:numPr>
          <w:ilvl w:val="0"/>
          <w:numId w:val="3"/>
        </w:numPr>
        <w:adjustRightInd w:val="0"/>
        <w:snapToGrid w:val="0"/>
        <w:spacing w:after="156"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single"/>
          <w14:textFill>
            <w14:solidFill>
              <w14:schemeClr w14:val="tx1"/>
            </w14:solidFill>
          </w14:textFill>
        </w:rPr>
        <w:t xml:space="preserve">CZYY-2025-32 </w:t>
      </w:r>
    </w:p>
    <w:p>
      <w:pPr>
        <w:pStyle w:val="12"/>
        <w:numPr>
          <w:ilvl w:val="0"/>
          <w:numId w:val="3"/>
        </w:numPr>
        <w:adjustRightInd w:val="0"/>
        <w:snapToGrid w:val="0"/>
        <w:spacing w:after="156"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采购标的及数量（台）：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numPr>
          <w:ilvl w:val="255"/>
          <w:numId w:val="0"/>
        </w:num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71"/>
        <w:numPr>
          <w:ilvl w:val="255"/>
          <w:numId w:val="0"/>
        </w:num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分散采购</w:t>
      </w:r>
    </w:p>
    <w:p>
      <w:pPr>
        <w:pStyle w:val="71"/>
        <w:numPr>
          <w:ilvl w:val="255"/>
          <w:numId w:val="0"/>
        </w:numPr>
        <w:snapToGrid w:val="0"/>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（5）政府采购方式：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pPr>
        <w:pStyle w:val="71"/>
        <w:numPr>
          <w:ilvl w:val="255"/>
          <w:numId w:val="0"/>
        </w:numPr>
        <w:snapToGrid w:val="0"/>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pPr>
        <w:numPr>
          <w:ilvl w:val="255"/>
          <w:numId w:val="0"/>
        </w:numPr>
        <w:adjustRightInd w:val="0"/>
        <w:snapToGrid w:val="0"/>
        <w:spacing w:line="36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pPr>
        <w:pStyle w:val="71"/>
        <w:tabs>
          <w:tab w:val="left" w:pos="1340"/>
        </w:tabs>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66" w:name="OLE_LINK2"/>
      <w:r>
        <w:rPr>
          <w:rFonts w:hint="eastAsia" w:ascii="宋体" w:hAnsi="宋体" w:eastAsia="宋体" w:cs="宋体"/>
          <w:color w:val="000000" w:themeColor="text1"/>
          <w:sz w:val="24"/>
          <w:szCs w:val="24"/>
          <w14:textFill>
            <w14:solidFill>
              <w14:schemeClr w14:val="tx1"/>
            </w14:solidFill>
          </w14:textFill>
        </w:rPr>
        <w:t>（7）</w:t>
      </w:r>
      <w:bookmarkEnd w:id="66"/>
      <w:r>
        <w:rPr>
          <w:rFonts w:hint="eastAsia" w:ascii="宋体" w:hAnsi="宋体" w:eastAsia="宋体" w:cs="宋体"/>
          <w:color w:val="000000" w:themeColor="text1"/>
          <w:sz w:val="24"/>
          <w:szCs w:val="24"/>
          <w14:textFill>
            <w14:solidFill>
              <w14:schemeClr w14:val="tx1"/>
            </w14:solidFill>
          </w14:textFill>
        </w:rPr>
        <w:t>是否涉及节能产品：</w:t>
      </w:r>
    </w:p>
    <w:p>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是，《节能产品政府采购品目清单》的底级品目名称：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p>
    <w:p>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（8）是否涉及环境标志产品：</w:t>
      </w:r>
    </w:p>
    <w:p>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是，《环境标志产品政府采购品目清单》的底级品目名称：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p>
    <w:p>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pPr>
        <w:numPr>
          <w:ilvl w:val="255"/>
          <w:numId w:val="0"/>
        </w:numPr>
        <w:tabs>
          <w:tab w:val="left" w:pos="740"/>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pPr>
        <w:pStyle w:val="71"/>
        <w:numPr>
          <w:ilvl w:val="255"/>
          <w:numId w:val="0"/>
        </w:numPr>
        <w:snapToGrid w:val="0"/>
        <w:spacing w:line="360" w:lineRule="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w:t>
      </w:r>
      <w:r>
        <w:rPr>
          <w:rFonts w:hint="eastAsia" w:ascii="宋体" w:hAnsi="宋体" w:eastAsia="宋体" w:cs="宋体"/>
          <w:color w:val="000000" w:themeColor="text1"/>
          <w:kern w:val="2"/>
          <w:sz w:val="24"/>
          <w:szCs w:val="24"/>
          <w14:textFill>
            <w14:solidFill>
              <w14:schemeClr w14:val="tx1"/>
            </w14:solidFill>
          </w14:textFill>
        </w:rPr>
        <w:t xml:space="preserve">是否涉及绿色产品： </w:t>
      </w:r>
    </w:p>
    <w:p>
      <w:pPr>
        <w:pStyle w:val="71"/>
        <w:spacing w:line="360" w:lineRule="auto"/>
        <w:ind w:firstLine="42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是，绿色产品政府采购相关政策确定的底级品目名称：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numPr>
          <w:ilvl w:val="255"/>
          <w:numId w:val="0"/>
        </w:numPr>
        <w:tabs>
          <w:tab w:val="left" w:pos="740"/>
        </w:tabs>
        <w:adjustRightInd w:val="0"/>
        <w:snapToGrid w:val="0"/>
        <w:spacing w:line="360" w:lineRule="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强制采购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优先采购    </w:t>
      </w:r>
    </w:p>
    <w:p>
      <w:pPr>
        <w:pStyle w:val="71"/>
        <w:spacing w:line="360" w:lineRule="auto"/>
        <w:ind w:firstLine="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否</w:t>
      </w:r>
    </w:p>
    <w:p>
      <w:pPr>
        <w:numPr>
          <w:ilvl w:val="255"/>
          <w:numId w:val="0"/>
        </w:num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36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否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不涉及</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合同金额</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分包金额（如有）小写：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（注：固定单价合同应填写单价和最高限价）</w:t>
      </w:r>
    </w:p>
    <w:p>
      <w:pPr>
        <w:numPr>
          <w:ilvl w:val="255"/>
          <w:numId w:val="0"/>
        </w:num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（2）合同定价方式（采用组合定价方式的，可以勾选多项）：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固定单价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固定费率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绩效激励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（3）付款方式（按项目实际勾选填写）：</w:t>
      </w:r>
    </w:p>
    <w:p>
      <w:pPr>
        <w:adjustRightInd w:val="0"/>
        <w:snapToGrid w:val="0"/>
        <w:spacing w:line="360" w:lineRule="auto"/>
        <w:ind w:firstLine="720" w:firstLineChars="3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（应明确一次性支付合同款项的条件）                    </w:t>
      </w:r>
    </w:p>
    <w:p>
      <w:pPr>
        <w:snapToGrid w:val="0"/>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14:textFill>
            <w14:solidFill>
              <w14:schemeClr w14:val="tx1"/>
            </w14:solidFill>
          </w14:textFill>
        </w:rPr>
        <w:t>，其中涉及预付款的：</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pPr>
        <w:adjustRightInd w:val="0"/>
        <w:snapToGrid w:val="0"/>
        <w:spacing w:line="360" w:lineRule="auto"/>
        <w:ind w:firstLine="720" w:firstLineChars="3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pPr>
        <w:adjustRightInd w:val="0"/>
        <w:snapToGrid w:val="0"/>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合同履行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adjustRightInd w:val="0"/>
        <w:snapToGrid w:val="0"/>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（2）履约地点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履约担保期限：</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（5）风险处置措施和替代方案：</w:t>
      </w:r>
      <w:r>
        <w:rPr>
          <w:rFonts w:hint="eastAsia" w:ascii="宋体" w:hAnsi="宋体" w:eastAsia="宋体" w:cs="宋体"/>
          <w:color w:val="000000" w:themeColor="text1"/>
          <w:sz w:val="24"/>
          <w:szCs w:val="24"/>
          <w:u w:val="single"/>
          <w14:textFill>
            <w14:solidFill>
              <w14:schemeClr w14:val="tx1"/>
            </w14:solidFill>
          </w14:textFill>
        </w:rPr>
        <w:t xml:space="preserve">                                                               </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pPr>
        <w:numPr>
          <w:ilvl w:val="0"/>
          <w:numId w:val="4"/>
        </w:num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pPr>
        <w:adjustRightInd w:val="0"/>
        <w:snapToGrid w:val="0"/>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u w:val="single"/>
          <w14:textFill>
            <w14:solidFill>
              <w14:schemeClr w14:val="tx1"/>
            </w14:solidFill>
          </w14:textFill>
        </w:rPr>
        <w:t>（应明确对被破坏的检测产品的处理方式）</w:t>
      </w:r>
    </w:p>
    <w:p>
      <w:pPr>
        <w:adjustRightInd w:val="0"/>
        <w:snapToGrid w:val="0"/>
        <w:spacing w:line="360" w:lineRule="auto"/>
        <w:ind w:firstLine="960" w:firstLineChars="4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960" w:firstLineChars="4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pPr>
        <w:adjustRightInd w:val="0"/>
        <w:snapToGrid w:val="0"/>
        <w:spacing w:line="360" w:lineRule="auto"/>
        <w:ind w:firstLine="48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u w:val="single"/>
          <w14:textFill>
            <w14:solidFill>
              <w14:schemeClr w14:val="tx1"/>
            </w14:solidFill>
          </w14:textFill>
        </w:rPr>
        <w:t xml:space="preserve"> （应明确分期/分项验收的工作安排）  </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pPr>
        <w:adjustRightInd w:val="0"/>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pPr>
        <w:adjustRightInd w:val="0"/>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（产权过户登记等）          </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（1）政府采购合同协议书及其变更、补充协议</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（2）政府采购合同专用条款</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（3）政府采购合同通用条款</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（4）中标（成交）通知书</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（5）投标（响应）文件</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pPr>
        <w:pStyle w:val="71"/>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pPr>
        <w:numPr>
          <w:ilvl w:val="0"/>
          <w:numId w:val="2"/>
        </w:num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adjustRightInd w:val="0"/>
        <w:snapToGrid w:val="0"/>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日合同订立地点：</w:t>
      </w:r>
      <w:r>
        <w:rPr>
          <w:rFonts w:hint="eastAsia" w:ascii="宋体" w:hAnsi="宋体" w:eastAsia="宋体" w:cs="宋体"/>
          <w:color w:val="000000" w:themeColor="text1"/>
          <w:sz w:val="24"/>
          <w:szCs w:val="24"/>
          <w:u w:val="single"/>
          <w14:textFill>
            <w14:solidFill>
              <w14:schemeClr w14:val="tx1"/>
            </w14:solidFill>
          </w14:textFill>
        </w:rPr>
        <w:t>滁州市第一人民医院</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2412"/>
        <w:gridCol w:w="1979"/>
        <w:gridCol w:w="21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302" w:type="dxa"/>
            <w:gridSpan w:val="2"/>
            <w:tcBorders>
              <w:bottom w:val="single" w:color="auto" w:sz="2" w:space="0"/>
              <w:right w:val="single" w:color="auto" w:sz="2" w:space="0"/>
            </w:tcBorders>
            <w:vAlign w:val="center"/>
          </w:tcPr>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甲方（采购人、受采购人委托签订合同的单位或采购文件约定的合同甲方）</w:t>
            </w:r>
          </w:p>
        </w:tc>
        <w:tc>
          <w:tcPr>
            <w:tcW w:w="4096" w:type="dxa"/>
            <w:gridSpan w:val="2"/>
            <w:tcBorders>
              <w:left w:val="single" w:color="auto" w:sz="2" w:space="0"/>
              <w:bottom w:val="single" w:color="auto" w:sz="2" w:space="0"/>
            </w:tcBorders>
            <w:vAlign w:val="center"/>
          </w:tcPr>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90" w:type="dxa"/>
            <w:vMerge w:val="restart"/>
            <w:tcBorders>
              <w:top w:val="single" w:color="auto" w:sz="2" w:space="0"/>
              <w:right w:val="single" w:color="auto" w:sz="2" w:space="0"/>
            </w:tcBorders>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法定代表人或其委托代理人（签章）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法定代表人或其委托代理人（签章）</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vMerge w:val="continue"/>
            <w:tcBorders>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拥有者性别</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ind w:firstLine="560"/>
              <w:jc w:val="center"/>
              <w:rPr>
                <w:rFonts w:hint="eastAsia" w:ascii="宋体" w:hAnsi="宋体" w:eastAsia="宋体" w:cs="宋体"/>
                <w:color w:val="000000" w:themeColor="text1"/>
                <w:spacing w:val="20"/>
                <w:sz w:val="24"/>
                <w:szCs w:val="24"/>
                <w14:textFill>
                  <w14:solidFill>
                    <w14:schemeClr w14:val="tx1"/>
                  </w14:solidFill>
                </w14:textFill>
              </w:rPr>
            </w:pPr>
          </w:p>
        </w:tc>
      </w:tr>
    </w:tbl>
    <w:p>
      <w:pPr>
        <w:adjustRightInd w:val="0"/>
        <w:snapToGrid w:val="0"/>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bookmarkStart w:id="67" w:name="_Toc27624"/>
      <w:r>
        <w:rPr>
          <w:rFonts w:hint="eastAsia" w:ascii="宋体" w:hAnsi="宋体" w:eastAsia="宋体"/>
          <w:b/>
          <w:color w:val="000000" w:themeColor="text1"/>
          <w:sz w:val="24"/>
          <w14:textFill>
            <w14:solidFill>
              <w14:schemeClr w14:val="tx1"/>
            </w14:solidFill>
          </w14:textFill>
        </w:rPr>
        <w:t>第二节 政府采购合同通用条款</w:t>
      </w:r>
      <w:bookmarkEnd w:id="67"/>
    </w:p>
    <w:p>
      <w:pPr>
        <w:tabs>
          <w:tab w:val="left" w:pos="8820"/>
          <w:tab w:val="left" w:pos="9345"/>
          <w:tab w:val="left" w:pos="9765"/>
        </w:tabs>
        <w:adjustRightInd w:val="0"/>
        <w:snapToGrid w:val="0"/>
        <w:spacing w:line="360" w:lineRule="auto"/>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1. </w:t>
      </w:r>
      <w:r>
        <w:rPr>
          <w:rFonts w:hint="eastAsia" w:ascii="宋体" w:hAnsi="宋体" w:eastAsia="宋体" w:cs="宋体"/>
          <w:b/>
          <w:bCs/>
          <w:color w:val="000000" w:themeColor="text1"/>
          <w:sz w:val="24"/>
          <w:szCs w:val="24"/>
          <w14:textFill>
            <w14:solidFill>
              <w14:schemeClr w14:val="tx1"/>
            </w14:solidFill>
          </w14:textFill>
        </w:rPr>
        <w:t>定义</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1.1合同当事人</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14:textFill>
            <w14:solidFill>
              <w14:schemeClr w14:val="tx1"/>
            </w14:solidFill>
          </w14:textFill>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1.2本合同下列术语应解释为：</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（7）其他术语解释，见【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pPr>
        <w:numPr>
          <w:ilvl w:val="0"/>
          <w:numId w:val="5"/>
        </w:num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合同标的及金额</w:t>
      </w:r>
    </w:p>
    <w:p>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合同标的及金额应与中标（成交）结果一致。乙方为履行本合同而发生的所有费用均应包含在合同价款中，甲方不再另行支付其他任何费用。</w:t>
      </w:r>
    </w:p>
    <w:p>
      <w:pPr>
        <w:adjustRightInd w:val="0"/>
        <w:snapToGrid w:val="0"/>
        <w:spacing w:line="360" w:lineRule="auto"/>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履行合同的时间、地点和方式</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乙方应当在约定的时间、地点，按照约定方式履行合同。</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 甲方的权利和义务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约定的期限内对乙方履约提出任何异议或者向乙方作出任何说明的，视为验收通过。</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国家法律法规规定及</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约定应由甲方承担的其他义务和责任。</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 乙方的权利和义务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签署合同后，乙方应确定项目负责人（或项目联系人），负责与本合同有关的事务。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spacing w:after="156"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5.3乙方有权根据合同约定向甲方收取合同价款。</w:t>
      </w:r>
    </w:p>
    <w:p>
      <w:pPr>
        <w:pStyle w:val="10"/>
        <w:spacing w:after="156"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5.4国家法律法规规定及</w:t>
      </w:r>
      <w:r>
        <w:rPr>
          <w:rFonts w:hint="eastAsia" w:ascii="宋体" w:hAnsi="宋体" w:eastAsia="宋体" w:cs="宋体"/>
          <w:b/>
          <w:bCs/>
          <w:color w:val="000000" w:themeColor="text1"/>
          <w:sz w:val="24"/>
          <w14:textFill>
            <w14:solidFill>
              <w14:schemeClr w14:val="tx1"/>
            </w14:solidFill>
          </w14:textFill>
        </w:rPr>
        <w:t>【政府采购合同专用条款】</w:t>
      </w:r>
      <w:r>
        <w:rPr>
          <w:rFonts w:hint="eastAsia" w:ascii="宋体" w:hAnsi="宋体" w:eastAsia="宋体" w:cs="宋体"/>
          <w:color w:val="000000" w:themeColor="text1"/>
          <w:sz w:val="24"/>
          <w14:textFill>
            <w14:solidFill>
              <w14:schemeClr w14:val="tx1"/>
            </w14:solidFill>
          </w14:textFill>
        </w:rPr>
        <w:t>约定应由乙方承担的其他义务和责任。</w:t>
      </w:r>
    </w:p>
    <w:p>
      <w:pPr>
        <w:numPr>
          <w:ilvl w:val="0"/>
          <w:numId w:val="6"/>
        </w:num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甲乙双方应当按照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约定顺序履行合同义务；如果没有先后顺序的，应当同时履行。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 货物包装、运输、保险和交付要求</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本合同</w:t>
      </w:r>
      <w:r>
        <w:rPr>
          <w:rFonts w:hint="eastAsia" w:ascii="宋体" w:hAnsi="宋体" w:eastAsia="宋体" w:cs="宋体"/>
          <w:bCs/>
          <w:color w:val="000000" w:themeColor="text1"/>
          <w:sz w:val="24"/>
          <w:szCs w:val="24"/>
          <w14:textFill>
            <w14:solidFill>
              <w14:schemeClr w14:val="tx1"/>
            </w14:solidFill>
          </w14:textFill>
        </w:rPr>
        <w:t>涉及商品包装、快递包装的，</w:t>
      </w:r>
      <w:r>
        <w:rPr>
          <w:rFonts w:hint="eastAsia" w:ascii="宋体" w:hAnsi="宋体" w:eastAsia="宋体" w:cs="宋体"/>
          <w:color w:val="000000" w:themeColor="text1"/>
          <w:sz w:val="24"/>
          <w:szCs w:val="24"/>
          <w14:textFill>
            <w14:solidFill>
              <w14:schemeClr w14:val="tx1"/>
            </w14:solidFill>
          </w14:textFill>
        </w:rPr>
        <w:t>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约定的</w:t>
      </w:r>
      <w:r>
        <w:rPr>
          <w:rFonts w:hint="eastAsia" w:ascii="宋体" w:hAnsi="宋体" w:eastAsia="宋体" w:cs="宋体"/>
          <w:color w:val="000000" w:themeColor="text1"/>
          <w:sz w:val="24"/>
          <w:szCs w:val="24"/>
          <w14:textFill>
            <w14:solidFill>
              <w14:schemeClr w14:val="tx1"/>
            </w14:solidFill>
          </w14:textFill>
        </w:rPr>
        <w:t>指定现场。</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货物保险要求按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规定执行</w:t>
      </w:r>
      <w:r>
        <w:rPr>
          <w:rFonts w:hint="eastAsia" w:ascii="宋体" w:hAnsi="宋体" w:eastAsia="宋体" w:cs="宋体"/>
          <w:color w:val="000000" w:themeColor="text1"/>
          <w:sz w:val="24"/>
          <w:szCs w:val="24"/>
          <w14:textFill>
            <w14:solidFill>
              <w14:schemeClr w14:val="tx1"/>
            </w14:solidFill>
          </w14:textFill>
        </w:rPr>
        <w:t>。</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pPr>
        <w:adjustRightInd w:val="0"/>
        <w:snapToGrid w:val="0"/>
        <w:spacing w:line="360" w:lineRule="auto"/>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质量标准和保证</w:t>
      </w:r>
    </w:p>
    <w:p>
      <w:pPr>
        <w:pStyle w:val="15"/>
        <w:adjustRightInd w:val="0"/>
        <w:snapToGrid w:val="0"/>
        <w:spacing w:line="360" w:lineRule="auto"/>
        <w:ind w:firstLine="480" w:firstLineChars="200"/>
        <w:jc w:val="left"/>
        <w:rPr>
          <w:rFonts w:hint="eastAsia"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8.1 质量标准</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5"/>
        <w:adjustRightInd w:val="0"/>
        <w:snapToGrid w:val="0"/>
        <w:spacing w:line="360" w:lineRule="auto"/>
        <w:ind w:firstLine="480" w:firstLineChars="200"/>
        <w:jc w:val="left"/>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（2）采用中华人民共和国法定计量单位。</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（3）乙方所提供的货物应符合国家有关安全、环保、卫生的规定。</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保证</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规定或乙方书面承诺（两者以较长的为准）的质量保证期内，本保证保持有效。</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（2）在质量保证期内所发现的缺陷，甲方应尽快以书面形式通知乙方。</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（3）乙方收到通知后，应在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规定的响应时间内以合理的速度免费维修或更换有缺陷的货物或部件。</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 权利瑕疵担保</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乙方保证对其出售的货物享有合法的权利。</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乙方保证在交付的货物上不存在抵押权等担保物权。</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如甲方使用上述货物构成对第三人侵权的，则由乙方承担全部责任。</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 知识产权保护</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68"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8"/>
      <w:r>
        <w:rPr>
          <w:rFonts w:hint="eastAsia" w:ascii="宋体" w:hAnsi="宋体" w:eastAsia="宋体" w:cs="宋体"/>
          <w:color w:val="000000" w:themeColor="text1"/>
          <w:sz w:val="24"/>
          <w:szCs w:val="24"/>
          <w14:textFill>
            <w14:solidFill>
              <w14:schemeClr w14:val="tx1"/>
            </w14:solidFill>
          </w14:textFill>
        </w:rPr>
        <w:t>。</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保密义务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 合同价款支付</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合同价款支付按照国库集中支付制度及财政管理相关规定执行。</w:t>
      </w:r>
    </w:p>
    <w:p>
      <w:pPr>
        <w:pStyle w:val="3"/>
        <w:spacing w:before="312" w:after="156"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b w:val="0"/>
          <w:bCs w:val="0"/>
          <w:color w:val="000000" w:themeColor="text1"/>
          <w:sz w:val="24"/>
          <w:szCs w:val="24"/>
          <w14:textFill>
            <w14:solidFill>
              <w14:schemeClr w14:val="tx1"/>
            </w14:solidFill>
          </w14:textFill>
        </w:rPr>
        <w:t>】中约定。</w:t>
      </w:r>
    </w:p>
    <w:p>
      <w:pPr>
        <w:pStyle w:val="10"/>
        <w:spacing w:after="156" w:line="360" w:lineRule="auto"/>
        <w:ind w:firstLine="48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r>
        <w:rPr>
          <w:rFonts w:hint="eastAsia" w:ascii="宋体" w:hAnsi="宋体" w:eastAsia="宋体" w:cs="宋体"/>
          <w:b/>
          <w:bCs/>
          <w:color w:val="000000" w:themeColor="text1"/>
          <w:sz w:val="24"/>
          <w:lang w:val="en-US"/>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履约保证金</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乙方应当以支票、汇票、本票或者金融机构、担保机构出具的保函等非现金形式提交。</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如果乙方出现</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甲方在项目通过验收后按照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规定支付。</w:t>
      </w:r>
    </w:p>
    <w:p>
      <w:pPr>
        <w:autoSpaceDE w:val="0"/>
        <w:autoSpaceDN w:val="0"/>
        <w:adjustRightInd w:val="0"/>
        <w:snapToGrid w:val="0"/>
        <w:spacing w:line="360" w:lineRule="auto"/>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14. </w:t>
      </w:r>
      <w:r>
        <w:rPr>
          <w:rFonts w:hint="eastAsia" w:ascii="宋体" w:hAnsi="宋体" w:eastAsia="宋体" w:cs="宋体"/>
          <w:b/>
          <w:color w:val="000000" w:themeColor="text1"/>
          <w:sz w:val="24"/>
          <w:szCs w:val="24"/>
          <w14:textFill>
            <w14:solidFill>
              <w14:schemeClr w14:val="tx1"/>
            </w14:solidFill>
          </w14:textFill>
        </w:rPr>
        <w:t>售后服务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（1）货物的现场移动、安装、调试、启动监督及技术支持；</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（2）提供货物组装和维修所需的专用工具和辅助材料；</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规定由乙方提供的其他服务。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乙方提供的售后服务的费用已包含在合同价款中，甲方不再另行支付。</w:t>
      </w:r>
    </w:p>
    <w:p>
      <w:pPr>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违约责任</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15.1质量瑕疵的违约责任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及时修理、重作、更换，并承担由此给甲方造成的损失。</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 迟延交货的违约责任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迟延支付的违约责任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规定的逾期付款利息。</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w:t>
      </w:r>
    </w:p>
    <w:p>
      <w:pPr>
        <w:numPr>
          <w:ilvl w:val="0"/>
          <w:numId w:val="7"/>
        </w:numPr>
        <w:autoSpaceDE w:val="0"/>
        <w:autoSpaceDN w:val="0"/>
        <w:adjustRightInd w:val="0"/>
        <w:snapToGrid w:val="0"/>
        <w:spacing w:line="360" w:lineRule="auto"/>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合同变更、中止与终止</w:t>
      </w:r>
    </w:p>
    <w:p>
      <w:pPr>
        <w:adjustRightInd w:val="0"/>
        <w:snapToGrid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16.1合同的变更</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16.2合同的中止</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16.3合同的终止</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（1）合同因有效期限届满而终止；</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（2）乙方未按合同约定履行，构成根本性违约的，甲方有权终止合同，并追究乙方的违约责任。</w:t>
      </w:r>
    </w:p>
    <w:p>
      <w:pPr>
        <w:pStyle w:val="71"/>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 合同分包</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 不可抗力</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不可抗力是指合同双方不能预见、不能避免且不能克服的客观情况。</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解决争议的方法</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line="360" w:lineRule="auto"/>
        <w:ind w:firstLine="48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 政府采购政策</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14:textFill>
            <w14:solidFill>
              <w14:schemeClr w14:val="tx1"/>
            </w14:solidFill>
          </w14:textFill>
        </w:rPr>
        <w:t>，有过错的一方应当承担赔偿责任，双方都有过错的，各自承担相应的责任。</w:t>
      </w:r>
    </w:p>
    <w:p>
      <w:pPr>
        <w:pStyle w:val="10"/>
        <w:spacing w:after="156"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360" w:lineRule="auto"/>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法律适用</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通知</w:t>
      </w:r>
    </w:p>
    <w:p>
      <w:pPr>
        <w:pStyle w:val="71"/>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71"/>
        <w:spacing w:line="360" w:lineRule="auto"/>
        <w:ind w:firstLine="0" w:firstLineChars="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22.4通知以送达之日或通知书中规定的生效之日起生效，两者中以较迟之日为准。</w:t>
      </w:r>
    </w:p>
    <w:p>
      <w:pPr>
        <w:numPr>
          <w:ilvl w:val="0"/>
          <w:numId w:val="8"/>
        </w:numPr>
        <w:adjustRightInd w:val="0"/>
        <w:snapToGrid w:val="0"/>
        <w:spacing w:line="360" w:lineRule="auto"/>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合同未尽事项</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23.1合同未尽事项见</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w:t>
      </w:r>
    </w:p>
    <w:p>
      <w:pPr>
        <w:adjustRightInd w:val="0"/>
        <w:snapToGrid w:val="0"/>
        <w:spacing w:line="360" w:lineRule="auto"/>
        <w:ind w:firstLine="480" w:firstLineChars="200"/>
        <w:jc w:val="left"/>
        <w:rPr>
          <w:rFonts w:hint="eastAsia" w:asciiTheme="minorEastAsia" w:hAnsiTheme="minorEastAsia" w:eastAsiaTheme="minorEastAsia"/>
          <w:bCs/>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23.2 合同附件与合同正文具有同等的法律效力。</w:t>
      </w: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ind w:firstLine="482"/>
        <w:rPr>
          <w:rFonts w:hint="eastAsia" w:asciiTheme="minorEastAsia" w:hAnsiTheme="minorEastAsia" w:eastAsiaTheme="minorEastAsia"/>
          <w:b/>
          <w:color w:val="000000" w:themeColor="text1"/>
          <w:sz w:val="24"/>
          <w14:textFill>
            <w14:solidFill>
              <w14:schemeClr w14:val="tx1"/>
            </w14:solidFill>
          </w14:textFill>
        </w:rPr>
      </w:pPr>
    </w:p>
    <w:p>
      <w:pPr>
        <w:pStyle w:val="3"/>
        <w:adjustRightInd w:val="0"/>
        <w:snapToGrid w:val="0"/>
        <w:spacing w:before="156" w:beforeLines="50" w:after="156" w:line="360" w:lineRule="auto"/>
        <w:ind w:firstLine="482"/>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3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第1.2（6）项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联合体具体要求</w:t>
            </w:r>
          </w:p>
        </w:tc>
        <w:tc>
          <w:tcPr>
            <w:tcW w:w="5170" w:type="dxa"/>
            <w:vAlign w:val="center"/>
          </w:tcPr>
          <w:p>
            <w:pPr>
              <w:widowControl/>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不接受联合体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第1.2（7）项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第4.4款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第4.6款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约定甲方承担的其他义务和责任</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第5.4款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约定乙方承担的其他义务和责任</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第6.1款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履行合同义务的顺序</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第7.1款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包装特殊要求</w:t>
            </w:r>
          </w:p>
        </w:tc>
        <w:tc>
          <w:tcPr>
            <w:tcW w:w="5170" w:type="dxa"/>
            <w:vAlign w:val="center"/>
          </w:tcPr>
          <w:p>
            <w:pPr>
              <w:ind w:firstLine="480"/>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指定现场</w:t>
            </w:r>
          </w:p>
        </w:tc>
        <w:tc>
          <w:tcPr>
            <w:tcW w:w="5170" w:type="dxa"/>
            <w:vAlign w:val="center"/>
          </w:tcPr>
          <w:p>
            <w:pPr>
              <w:ind w:firstLine="480"/>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第7.2款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运输特殊要求</w:t>
            </w:r>
          </w:p>
        </w:tc>
        <w:tc>
          <w:tcPr>
            <w:tcW w:w="5170" w:type="dxa"/>
            <w:vAlign w:val="center"/>
          </w:tcPr>
          <w:p>
            <w:pPr>
              <w:ind w:firstLine="480"/>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第7.3款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保险要求</w:t>
            </w:r>
          </w:p>
        </w:tc>
        <w:tc>
          <w:tcPr>
            <w:tcW w:w="5170" w:type="dxa"/>
            <w:vAlign w:val="center"/>
          </w:tcPr>
          <w:p>
            <w:pPr>
              <w:ind w:firstLine="480"/>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第8.2（1）项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vAlign w:val="center"/>
          </w:tcPr>
          <w:p>
            <w:pPr>
              <w:autoSpaceDE w:val="0"/>
              <w:autoSpaceDN w:val="0"/>
              <w:adjustRightInd w:val="0"/>
              <w:snapToGrid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第8.2（3）项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货物质量缺陷</w:t>
            </w:r>
          </w:p>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pStyle w:val="71"/>
              <w:spacing w:line="240" w:lineRule="auto"/>
              <w:ind w:firstLine="35"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其他应当保密的信息</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第12.2款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合同价款支付时间</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第13.2款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履约保证金不予退还的情形</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第13.3款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第14.1（3）项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运行监督、维修期限</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第14.1（5）项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货物回收的约定</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第14.1（6）项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第15.1款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修理、重作、更换相关具体规定</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第15.2（2）项</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第15.3款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pPr>
              <w:adjustRightInd w:val="0"/>
              <w:snapToGrid w:val="0"/>
              <w:ind w:firstLine="480"/>
              <w:jc w:val="left"/>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种方式解决：</w:t>
            </w:r>
          </w:p>
          <w:p>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仲裁委员会申请仲裁，仲裁地点为</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w:t>
            </w:r>
          </w:p>
          <w:p>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pPr>
              <w:adjustRightInd w:val="0"/>
              <w:snapToGrid w:val="0"/>
              <w:ind w:firstLine="3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第23.1款</w:t>
            </w:r>
          </w:p>
        </w:tc>
        <w:tc>
          <w:tcPr>
            <w:tcW w:w="1742" w:type="dxa"/>
            <w:vAlign w:val="center"/>
          </w:tcPr>
          <w:p>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其他专用条款</w:t>
            </w:r>
          </w:p>
        </w:tc>
        <w:tc>
          <w:tcPr>
            <w:tcW w:w="5170" w:type="dxa"/>
            <w:vAlign w:val="center"/>
          </w:tcPr>
          <w:p>
            <w:pPr>
              <w:adjustRightInd w:val="0"/>
              <w:snapToGrid w:val="0"/>
              <w:ind w:firstLine="480"/>
              <w:jc w:val="left"/>
              <w:rPr>
                <w:rFonts w:hint="eastAsia" w:ascii="宋体" w:hAnsi="宋体" w:eastAsia="宋体" w:cs="宋体"/>
                <w:color w:val="000000" w:themeColor="text1"/>
                <w:sz w:val="24"/>
                <w:szCs w:val="24"/>
                <w14:textFill>
                  <w14:solidFill>
                    <w14:schemeClr w14:val="tx1"/>
                  </w14:solidFill>
                </w14:textFill>
              </w:rPr>
            </w:pPr>
          </w:p>
        </w:tc>
      </w:tr>
    </w:tbl>
    <w:p>
      <w:pPr>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p>
    <w:p>
      <w:pPr>
        <w:spacing w:line="360" w:lineRule="auto"/>
        <w:ind w:firstLine="562"/>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投标文件格式</w:t>
      </w:r>
      <w:bookmarkEnd w:id="64"/>
    </w:p>
    <w:p>
      <w:pPr>
        <w:spacing w:line="900" w:lineRule="exact"/>
        <w:ind w:firstLine="1446"/>
        <w:jc w:val="center"/>
        <w:rPr>
          <w:rFonts w:hint="eastAsia" w:asciiTheme="minorEastAsia" w:hAnsiTheme="minorEastAsia" w:eastAsiaTheme="minorEastAsia"/>
          <w:b/>
          <w:color w:val="000000" w:themeColor="text1"/>
          <w:sz w:val="72"/>
          <w14:textFill>
            <w14:solidFill>
              <w14:schemeClr w14:val="tx1"/>
            </w14:solidFill>
          </w14:textFill>
        </w:rPr>
      </w:pPr>
    </w:p>
    <w:p>
      <w:pPr>
        <w:ind w:firstLine="400"/>
        <w:rPr>
          <w:rFonts w:hint="eastAsia" w:eastAsia="黑体"/>
          <w:color w:val="000000" w:themeColor="text1"/>
          <w:sz w:val="20"/>
          <w14:textFill>
            <w14:solidFill>
              <w14:schemeClr w14:val="tx1"/>
            </w14:solidFill>
          </w14:textFill>
        </w:rPr>
      </w:pPr>
      <w:bookmarkStart w:id="69" w:name="_Toc5555"/>
      <w:bookmarkStart w:id="70" w:name="_Toc28960"/>
    </w:p>
    <w:p>
      <w:pPr>
        <w:spacing w:line="900" w:lineRule="exact"/>
        <w:ind w:firstLine="1446"/>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1" w:name="_Toc651"/>
      <w:r>
        <w:rPr>
          <w:rFonts w:hint="eastAsia" w:asciiTheme="minorEastAsia" w:hAnsiTheme="minorEastAsia" w:eastAsiaTheme="minorEastAsia"/>
          <w:b/>
          <w:color w:val="000000" w:themeColor="text1"/>
          <w:sz w:val="72"/>
          <w14:textFill>
            <w14:solidFill>
              <w14:schemeClr w14:val="tx1"/>
            </w14:solidFill>
          </w14:textFill>
        </w:rPr>
        <w:t>投</w:t>
      </w:r>
      <w:bookmarkEnd w:id="71"/>
    </w:p>
    <w:p>
      <w:pPr>
        <w:spacing w:line="900" w:lineRule="exact"/>
        <w:ind w:firstLine="1446"/>
        <w:jc w:val="center"/>
        <w:rPr>
          <w:rFonts w:hint="eastAsia" w:asciiTheme="minorEastAsia" w:hAnsiTheme="minorEastAsia" w:eastAsiaTheme="minorEastAsia"/>
          <w:b/>
          <w:color w:val="000000" w:themeColor="text1"/>
          <w:sz w:val="72"/>
          <w14:textFill>
            <w14:solidFill>
              <w14:schemeClr w14:val="tx1"/>
            </w14:solidFill>
          </w14:textFill>
        </w:rPr>
      </w:pPr>
    </w:p>
    <w:p>
      <w:pPr>
        <w:spacing w:line="900" w:lineRule="exact"/>
        <w:ind w:firstLine="1446"/>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2" w:name="_Toc6148"/>
      <w:r>
        <w:rPr>
          <w:rFonts w:hint="eastAsia" w:asciiTheme="minorEastAsia" w:hAnsiTheme="minorEastAsia" w:eastAsiaTheme="minorEastAsia"/>
          <w:b/>
          <w:color w:val="000000" w:themeColor="text1"/>
          <w:sz w:val="72"/>
          <w14:textFill>
            <w14:solidFill>
              <w14:schemeClr w14:val="tx1"/>
            </w14:solidFill>
          </w14:textFill>
        </w:rPr>
        <w:t>标</w:t>
      </w:r>
      <w:bookmarkEnd w:id="72"/>
    </w:p>
    <w:p>
      <w:pPr>
        <w:spacing w:line="900" w:lineRule="exact"/>
        <w:ind w:firstLine="1446"/>
        <w:jc w:val="center"/>
        <w:rPr>
          <w:rFonts w:hint="eastAsia" w:asciiTheme="minorEastAsia" w:hAnsiTheme="minorEastAsia" w:eastAsiaTheme="minorEastAsia"/>
          <w:b/>
          <w:color w:val="000000" w:themeColor="text1"/>
          <w:sz w:val="72"/>
          <w14:textFill>
            <w14:solidFill>
              <w14:schemeClr w14:val="tx1"/>
            </w14:solidFill>
          </w14:textFill>
        </w:rPr>
      </w:pPr>
    </w:p>
    <w:p>
      <w:pPr>
        <w:spacing w:line="900" w:lineRule="exact"/>
        <w:ind w:firstLine="1446"/>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3" w:name="_Toc1338"/>
      <w:r>
        <w:rPr>
          <w:rFonts w:hint="eastAsia" w:asciiTheme="minorEastAsia" w:hAnsiTheme="minorEastAsia" w:eastAsiaTheme="minorEastAsia"/>
          <w:b/>
          <w:color w:val="000000" w:themeColor="text1"/>
          <w:sz w:val="72"/>
          <w14:textFill>
            <w14:solidFill>
              <w14:schemeClr w14:val="tx1"/>
            </w14:solidFill>
          </w14:textFill>
        </w:rPr>
        <w:t>文</w:t>
      </w:r>
      <w:bookmarkEnd w:id="73"/>
    </w:p>
    <w:p>
      <w:pPr>
        <w:spacing w:line="900" w:lineRule="exact"/>
        <w:ind w:firstLine="1446"/>
        <w:jc w:val="center"/>
        <w:rPr>
          <w:rFonts w:hint="eastAsia" w:asciiTheme="minorEastAsia" w:hAnsiTheme="minorEastAsia" w:eastAsiaTheme="minorEastAsia"/>
          <w:b/>
          <w:color w:val="000000" w:themeColor="text1"/>
          <w:sz w:val="72"/>
          <w14:textFill>
            <w14:solidFill>
              <w14:schemeClr w14:val="tx1"/>
            </w14:solidFill>
          </w14:textFill>
        </w:rPr>
      </w:pPr>
    </w:p>
    <w:p>
      <w:pPr>
        <w:ind w:firstLine="1446"/>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74" w:name="_Toc10796"/>
      <w:r>
        <w:rPr>
          <w:rFonts w:hint="eastAsia" w:asciiTheme="minorEastAsia" w:hAnsiTheme="minorEastAsia" w:eastAsiaTheme="minorEastAsia"/>
          <w:b/>
          <w:color w:val="000000" w:themeColor="text1"/>
          <w:sz w:val="72"/>
          <w14:textFill>
            <w14:solidFill>
              <w14:schemeClr w14:val="tx1"/>
            </w14:solidFill>
          </w14:textFill>
        </w:rPr>
        <w:t>件</w:t>
      </w:r>
      <w:bookmarkEnd w:id="74"/>
    </w:p>
    <w:p>
      <w:pPr>
        <w:ind w:firstLine="560"/>
        <w:rPr>
          <w:rFonts w:hint="eastAsia" w:ascii="宋体" w:hAnsi="宋体" w:eastAsia="宋体" w:cs="宋体"/>
          <w:color w:val="000000" w:themeColor="text1"/>
          <w:sz w:val="28"/>
          <w:szCs w:val="28"/>
          <w14:textFill>
            <w14:solidFill>
              <w14:schemeClr w14:val="tx1"/>
            </w14:solidFill>
          </w14:textFill>
        </w:rPr>
      </w:pPr>
    </w:p>
    <w:p>
      <w:pPr>
        <w:ind w:firstLine="560"/>
        <w:rPr>
          <w:rFonts w:hint="eastAsia" w:ascii="宋体" w:hAnsi="宋体" w:eastAsia="宋体" w:cs="宋体"/>
          <w:color w:val="000000" w:themeColor="text1"/>
          <w:sz w:val="28"/>
          <w:szCs w:val="28"/>
          <w14:textFill>
            <w14:solidFill>
              <w14:schemeClr w14:val="tx1"/>
            </w14:solidFill>
          </w14:textFill>
        </w:rPr>
      </w:pPr>
    </w:p>
    <w:p>
      <w:pPr>
        <w:ind w:firstLine="560"/>
        <w:rPr>
          <w:rFonts w:hint="eastAsia" w:ascii="宋体" w:hAnsi="宋体" w:eastAsia="宋体" w:cs="宋体"/>
          <w:color w:val="000000" w:themeColor="text1"/>
          <w:sz w:val="28"/>
          <w:szCs w:val="28"/>
          <w14:textFill>
            <w14:solidFill>
              <w14:schemeClr w14:val="tx1"/>
            </w14:solidFill>
          </w14:textFill>
        </w:rPr>
      </w:pPr>
    </w:p>
    <w:p>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投 标 人：</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480" w:lineRule="auto"/>
        <w:ind w:firstLine="5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p>
    <w:p>
      <w:pPr>
        <w:spacing w:line="360" w:lineRule="auto"/>
        <w:ind w:firstLine="484" w:firstLineChars="202"/>
        <w:rPr>
          <w:rFonts w:hint="eastAsia" w:ascii="宋体" w:hAnsi="宋体" w:eastAsia="宋体" w:cs="宋体"/>
          <w:sz w:val="24"/>
          <w:szCs w:val="24"/>
        </w:rPr>
      </w:pPr>
    </w:p>
    <w:p>
      <w:pPr>
        <w:spacing w:line="360" w:lineRule="auto"/>
        <w:ind w:firstLine="646" w:firstLineChars="202"/>
        <w:jc w:val="center"/>
        <w:rPr>
          <w:rFonts w:hint="eastAsia" w:ascii="宋体" w:hAnsi="宋体" w:eastAsia="宋体" w:cs="宋体"/>
          <w:sz w:val="32"/>
          <w:szCs w:val="32"/>
        </w:rPr>
      </w:pPr>
      <w:r>
        <w:rPr>
          <w:rFonts w:hint="eastAsia" w:ascii="宋体" w:hAnsi="宋体" w:eastAsia="宋体" w:cs="宋体"/>
          <w:sz w:val="32"/>
          <w:szCs w:val="32"/>
        </w:rPr>
        <w:t>目  录</w:t>
      </w: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 xml:space="preserve">（1）供应商资格声明书（格式见附件）；                                                                                                                                                                                                                                                                                                                                                                                                                                                                                                                                                                                                                                                                                                                                                                                                                                                                                                                                                                                                                                                                                                                                                                                                                                                                                                                                                                                                                                                                                                                                                                                             </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（2）授权书（格式见附件）；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（3）供应商提供的有效营业执照或事业单位法人证书；</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（4）其他特定资格要求；</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（5）开标一览表（格式见附件）；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（6）投标函（格式见附件）；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（7）投标报价表（格式见附件）；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（8）投标响应表（格式见附件）；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（9）诚信履约承诺函（格式见附件）；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（10）诚信投标承诺书（格式见附件）；</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（11）招标文件中要求的评分、评审相关资料；</w:t>
      </w:r>
    </w:p>
    <w:p>
      <w:pPr>
        <w:spacing w:line="360" w:lineRule="auto"/>
        <w:ind w:firstLine="484" w:firstLineChars="202"/>
        <w:rPr>
          <w:rFonts w:hint="eastAsia" w:ascii="宋体" w:hAnsi="宋体" w:eastAsia="宋体" w:cs="宋体"/>
          <w:sz w:val="24"/>
          <w:szCs w:val="24"/>
          <w:lang w:val="zh-CN"/>
        </w:rPr>
      </w:pPr>
      <w:r>
        <w:rPr>
          <w:rFonts w:hint="eastAsia" w:ascii="宋体" w:hAnsi="宋体" w:eastAsia="宋体" w:cs="宋体"/>
          <w:sz w:val="24"/>
          <w:szCs w:val="24"/>
        </w:rPr>
        <w:t>（12）供应商认为需要提供的其他证明材料；</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（13）其他（如有）。</w:t>
      </w: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4" w:firstLineChars="202"/>
        <w:rPr>
          <w:rFonts w:hint="eastAsia" w:ascii="宋体" w:hAnsi="宋体" w:eastAsia="宋体" w:cs="宋体"/>
          <w:sz w:val="24"/>
          <w:szCs w:val="24"/>
        </w:rPr>
      </w:pP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 xml:space="preserve">一、投标人资格声明书 </w:t>
      </w:r>
    </w:p>
    <w:p>
      <w:pPr>
        <w:pStyle w:val="24"/>
        <w:spacing w:before="312" w:beforeAutospacing="0" w:after="156" w:afterAutospacing="0" w:line="360" w:lineRule="auto"/>
        <w:ind w:firstLine="482"/>
        <w:jc w:val="both"/>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致：</w:t>
      </w:r>
      <w:r>
        <w:rPr>
          <w:rFonts w:hint="eastAsia" w:ascii="宋体" w:hAnsi="宋体" w:eastAsia="宋体" w:cs="宋体"/>
          <w:b/>
          <w:color w:val="000000" w:themeColor="text1"/>
          <w:kern w:val="2"/>
          <w:szCs w:val="24"/>
          <w:u w:val="single"/>
          <w:lang w:bidi="ar"/>
          <w14:textFill>
            <w14:solidFill>
              <w14:schemeClr w14:val="tx1"/>
            </w14:solidFill>
          </w14:textFill>
        </w:rPr>
        <w:t>采购人</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在参与本次项目投标中，我单位承诺：</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（一）具有良好的商业信誉和健全的财务会计制度；</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（二）具有履行合同所必需的设备和专业技术能力；</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（三）有依法缴纳税收和社会保障资金的良好记录；</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autoSpaceDE w:val="0"/>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pPr>
        <w:widowControl/>
        <w:autoSpaceDE w:val="0"/>
        <w:spacing w:line="360" w:lineRule="auto"/>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01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6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spacing w:before="156" w:beforeLines="50" w:after="156"/>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4013"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tcPr>
          <w:p>
            <w:pPr>
              <w:pStyle w:val="24"/>
              <w:autoSpaceDE w:val="0"/>
              <w:spacing w:before="156" w:beforeLines="50" w:beforeAutospacing="0" w:after="156"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1</w:t>
            </w:r>
          </w:p>
        </w:tc>
        <w:tc>
          <w:tcPr>
            <w:tcW w:w="4013"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tcPr>
          <w:p>
            <w:pPr>
              <w:pStyle w:val="24"/>
              <w:autoSpaceDE w:val="0"/>
              <w:spacing w:before="156" w:beforeLines="50" w:beforeAutospacing="0" w:after="156"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2</w:t>
            </w:r>
          </w:p>
        </w:tc>
        <w:tc>
          <w:tcPr>
            <w:tcW w:w="4013"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pPr>
              <w:pStyle w:val="24"/>
              <w:autoSpaceDE w:val="0"/>
              <w:spacing w:before="156" w:beforeLines="50" w:beforeAutospacing="0" w:after="156" w:afterAutospacing="0"/>
              <w:ind w:firstLine="480"/>
              <w:jc w:val="center"/>
              <w:rPr>
                <w:rFonts w:hint="eastAsia" w:ascii="宋体" w:hAnsi="宋体" w:eastAsia="宋体" w:cs="宋体"/>
                <w:color w:val="000000" w:themeColor="text1"/>
                <w:szCs w:val="24"/>
                <w14:textFill>
                  <w14:solidFill>
                    <w14:schemeClr w14:val="tx1"/>
                  </w14:solidFill>
                </w14:textFill>
              </w:rPr>
            </w:pPr>
          </w:p>
        </w:tc>
      </w:tr>
    </w:tbl>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本单位对上述声明的真实性负责。如有虚假，将依法承担相应责任。</w:t>
      </w:r>
    </w:p>
    <w:p>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（盖 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   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pPr>
        <w:pStyle w:val="24"/>
        <w:spacing w:before="312" w:after="156" w:afterAutospacing="0"/>
        <w:ind w:firstLine="473"/>
        <w:jc w:val="center"/>
        <w:rPr>
          <w:rFonts w:hint="eastAsia"/>
          <w:b/>
          <w:color w:val="000000" w:themeColor="text1"/>
          <w:lang w:bidi="ar"/>
          <w14:textFill>
            <w14:solidFill>
              <w14:schemeClr w14:val="tx1"/>
            </w14:solidFill>
          </w14:textFill>
        </w:rPr>
      </w:pPr>
    </w:p>
    <w:p>
      <w:pPr>
        <w:pStyle w:val="24"/>
        <w:spacing w:before="312" w:after="156" w:afterAutospacing="0"/>
        <w:ind w:firstLine="473"/>
        <w:jc w:val="center"/>
        <w:rPr>
          <w:rFonts w:hint="eastAsia"/>
          <w:b/>
          <w:color w:val="000000" w:themeColor="text1"/>
          <w:lang w:bidi="ar"/>
          <w14:textFill>
            <w14:solidFill>
              <w14:schemeClr w14:val="tx1"/>
            </w14:solidFill>
          </w14:textFill>
        </w:rPr>
      </w:pPr>
    </w:p>
    <w:p>
      <w:pPr>
        <w:pStyle w:val="24"/>
        <w:spacing w:before="312" w:after="156" w:afterAutospacing="0"/>
        <w:ind w:firstLine="473"/>
        <w:jc w:val="center"/>
        <w:rPr>
          <w:rFonts w:hint="eastAsia"/>
          <w:b/>
          <w:color w:val="000000" w:themeColor="text1"/>
          <w:lang w:bidi="ar"/>
          <w14:textFill>
            <w14:solidFill>
              <w14:schemeClr w14:val="tx1"/>
            </w14:solidFill>
          </w14:textFill>
        </w:rPr>
      </w:pPr>
    </w:p>
    <w:p>
      <w:pPr>
        <w:pStyle w:val="24"/>
        <w:spacing w:before="312" w:after="156" w:afterAutospacing="0"/>
        <w:ind w:firstLine="482"/>
        <w:jc w:val="center"/>
        <w:rPr>
          <w:rFonts w:hint="eastAsia" w:ascii="宋体" w:hAnsi="宋体" w:eastAsia="宋体" w:cs="宋体"/>
          <w:b/>
          <w:color w:val="000000" w:themeColor="text1"/>
          <w:szCs w:val="24"/>
          <w:lang w:bidi="ar"/>
          <w14:textFill>
            <w14:solidFill>
              <w14:schemeClr w14:val="tx1"/>
            </w14:solidFill>
          </w14:textFill>
        </w:rPr>
      </w:pPr>
    </w:p>
    <w:p>
      <w:pPr>
        <w:pStyle w:val="24"/>
        <w:spacing w:before="312" w:after="156" w:afterAutospacing="0"/>
        <w:ind w:firstLine="482"/>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二、授权书</w:t>
      </w:r>
    </w:p>
    <w:p>
      <w:pPr>
        <w:pStyle w:val="24"/>
        <w:spacing w:before="312" w:beforeAutospacing="0" w:after="156" w:afterAutospacing="0" w:line="360" w:lineRule="auto"/>
        <w:ind w:firstLine="48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本授权书声明：</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（投标人名称）授权</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lang w:bidi="ar"/>
          <w14:textFill>
            <w14:solidFill>
              <w14:schemeClr w14:val="tx1"/>
            </w14:solidFill>
          </w14:textFill>
        </w:rPr>
        <w:t>采购活动</w:t>
      </w:r>
      <w:r>
        <w:rPr>
          <w:rFonts w:hint="eastAsia" w:ascii="宋体" w:hAnsi="宋体" w:eastAsia="宋体" w:cs="宋体"/>
          <w:color w:val="000000" w:themeColor="text1"/>
          <w:sz w:val="24"/>
          <w:szCs w:val="24"/>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本授权书自出具之日起生效。</w:t>
      </w:r>
    </w:p>
    <w:p>
      <w:pPr>
        <w:spacing w:line="360" w:lineRule="auto"/>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授权代表身份证明复印件：</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授权代表联系方式：</w:t>
      </w:r>
      <w:r>
        <w:rPr>
          <w:rFonts w:hint="eastAsia" w:ascii="宋体" w:hAnsi="宋体" w:eastAsia="宋体" w:cs="宋体"/>
          <w:color w:val="000000" w:themeColor="text1"/>
          <w:sz w:val="24"/>
          <w:szCs w:val="24"/>
          <w:u w:val="single"/>
          <w:lang w:bidi="ar"/>
          <w14:textFill>
            <w14:solidFill>
              <w14:schemeClr w14:val="tx1"/>
            </w14:solidFill>
          </w14:textFill>
        </w:rPr>
        <w:t xml:space="preserve">          （请填写手机号码）</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特此声明。</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盖章</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u w:val="single"/>
          <w:lang w:bidi="ar"/>
          <w14:textFill>
            <w14:solidFill>
              <w14:schemeClr w14:val="tx1"/>
            </w14:solidFill>
          </w14:textFill>
        </w:rPr>
        <w:t xml:space="preserve">                  </w:t>
      </w:r>
    </w:p>
    <w:p>
      <w:pPr>
        <w:spacing w:line="360" w:lineRule="auto"/>
        <w:ind w:firstLine="480"/>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日  期：</w:t>
      </w:r>
      <w:r>
        <w:rPr>
          <w:rFonts w:hint="eastAsia" w:ascii="宋体" w:hAnsi="宋体" w:eastAsia="宋体" w:cs="宋体"/>
          <w:b/>
          <w:bCs/>
          <w:color w:val="000000" w:themeColor="text1"/>
          <w:sz w:val="24"/>
          <w:szCs w:val="24"/>
          <w:u w:val="single"/>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1.本项目只允许有唯一的投标人授权代表，提供身份证明复印件；</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2.法定代表人参加磋商的无需提供授权书，提供身份证明复印件。</w:t>
      </w:r>
    </w:p>
    <w:p>
      <w:pPr>
        <w:spacing w:line="360" w:lineRule="auto"/>
        <w:ind w:firstLine="420"/>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color w:val="000000" w:themeColor="text1"/>
          <w:lang w:bidi="ar"/>
          <w14:textFill>
            <w14:solidFill>
              <w14:schemeClr w14:val="tx1"/>
            </w14:solidFill>
          </w14:textFill>
        </w:rPr>
        <w:br w:type="page"/>
      </w: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三、开标一览表</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ind w:firstLine="482"/>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项目名称</w:t>
            </w:r>
          </w:p>
        </w:tc>
        <w:tc>
          <w:tcPr>
            <w:tcW w:w="6218" w:type="dxa"/>
            <w:tcBorders>
              <w:top w:val="single" w:color="auto" w:sz="4" w:space="0"/>
              <w:bottom w:val="single" w:color="auto" w:sz="4" w:space="0"/>
              <w:right w:val="single" w:color="auto" w:sz="4" w:space="0"/>
            </w:tcBorders>
            <w:vAlign w:val="center"/>
          </w:tcPr>
          <w:p>
            <w:pPr>
              <w:spacing w:line="360" w:lineRule="exact"/>
              <w:ind w:firstLine="480"/>
              <w:jc w:val="center"/>
              <w:rPr>
                <w:rFonts w:hint="eastAsia" w:asciiTheme="minorEastAsia" w:hAnsiTheme="minorEastAsia" w:eastAsiaTheme="minorEastAsia"/>
                <w:bCs/>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304" w:type="dxa"/>
            <w:tcBorders>
              <w:top w:val="nil"/>
            </w:tcBorders>
            <w:vAlign w:val="center"/>
          </w:tcPr>
          <w:p>
            <w:pPr>
              <w:spacing w:line="360" w:lineRule="exact"/>
              <w:ind w:firstLine="482"/>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投标人全称</w:t>
            </w:r>
          </w:p>
        </w:tc>
        <w:tc>
          <w:tcPr>
            <w:tcW w:w="6218" w:type="dxa"/>
            <w:tcBorders>
              <w:top w:val="nil"/>
            </w:tcBorders>
            <w:vAlign w:val="center"/>
          </w:tcPr>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2304" w:type="dxa"/>
            <w:tcBorders>
              <w:top w:val="nil"/>
            </w:tcBorders>
            <w:vAlign w:val="center"/>
          </w:tcPr>
          <w:p>
            <w:pPr>
              <w:spacing w:line="360" w:lineRule="exact"/>
              <w:ind w:firstLine="482"/>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投标范围</w:t>
            </w:r>
          </w:p>
        </w:tc>
        <w:tc>
          <w:tcPr>
            <w:tcW w:w="6218" w:type="dxa"/>
            <w:tcBorders>
              <w:top w:val="nil"/>
            </w:tcBorders>
            <w:vAlign w:val="center"/>
          </w:tcPr>
          <w:p>
            <w:pPr>
              <w:widowControl/>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8" w:hRule="atLeast"/>
          <w:jc w:val="center"/>
        </w:trPr>
        <w:tc>
          <w:tcPr>
            <w:tcW w:w="2304" w:type="dxa"/>
            <w:tcBorders>
              <w:top w:val="nil"/>
            </w:tcBorders>
            <w:vAlign w:val="center"/>
          </w:tcPr>
          <w:p>
            <w:pPr>
              <w:spacing w:line="360" w:lineRule="exact"/>
              <w:ind w:firstLine="482"/>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投标报价</w:t>
            </w:r>
          </w:p>
        </w:tc>
        <w:tc>
          <w:tcPr>
            <w:tcW w:w="6218" w:type="dxa"/>
            <w:tcBorders>
              <w:top w:val="nil"/>
            </w:tcBorders>
            <w:vAlign w:val="center"/>
          </w:tcPr>
          <w:p>
            <w:pPr>
              <w:snapToGrid w:val="0"/>
              <w:spacing w:line="360" w:lineRule="auto"/>
              <w:ind w:firstLine="480"/>
              <w:jc w:val="left"/>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pacing w:line="360" w:lineRule="auto"/>
              <w:ind w:right="267" w:firstLine="480"/>
              <w:rPr>
                <w:rFonts w:hint="eastAsia" w:eastAsia="宋体" w:asciiTheme="minorEastAsia" w:hAnsi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ind w:firstLine="482"/>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其他</w:t>
            </w:r>
          </w:p>
        </w:tc>
        <w:tc>
          <w:tcPr>
            <w:tcW w:w="6218" w:type="dxa"/>
            <w:tcBorders>
              <w:top w:val="nil"/>
            </w:tcBorders>
            <w:vAlign w:val="center"/>
          </w:tcPr>
          <w:p>
            <w:pPr>
              <w:spacing w:line="360" w:lineRule="auto"/>
              <w:ind w:firstLine="480"/>
              <w:jc w:val="left"/>
              <w:rPr>
                <w:rFonts w:hint="eastAsia" w:asciiTheme="minorEastAsia" w:hAnsiTheme="minorEastAsia" w:eastAsiaTheme="minorEastAsia"/>
                <w:color w:val="000000" w:themeColor="text1"/>
                <w:sz w:val="24"/>
                <w:szCs w:val="28"/>
                <w14:textFill>
                  <w14:solidFill>
                    <w14:schemeClr w14:val="tx1"/>
                  </w14:solidFill>
                </w14:textFill>
              </w:rPr>
            </w:pPr>
          </w:p>
        </w:tc>
      </w:tr>
    </w:tbl>
    <w:p>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p>
    <w:p>
      <w:pPr>
        <w:spacing w:line="360" w:lineRule="auto"/>
        <w:ind w:firstLine="4320" w:firstLineChars="1800"/>
        <w:jc w:val="center"/>
        <w:rPr>
          <w:rFonts w:hint="eastAsia"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投标人盖章：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360" w:firstLineChars="15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此表用于开标唱标之用。</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任何有选择或有条件的投标报价，或者表中某一包别填写多个报价，均为无效报价。</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四、投标函</w:t>
      </w:r>
    </w:p>
    <w:p>
      <w:pPr>
        <w:pStyle w:val="16"/>
        <w:spacing w:line="360" w:lineRule="auto"/>
        <w:ind w:firstLine="482"/>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采购人</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根据贵方的招标公告和投标邀请，我方兹宣布同意如下：</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我方根据招标文件的规定，严格履行合同的责任和义务,并保证于买方要求的日期内完成，并通过买方验收。</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3.我方同意从招标文件规定的开标日期起遵循本招标文件，并在招标文件规定的投标有效期之前均具有约束力。</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0" w:firstLineChars="2000"/>
        <w:rPr>
          <w:rFonts w:hint="eastAsia" w:ascii="宋体" w:hAnsi="宋体" w:eastAsia="宋体"/>
          <w:color w:val="000000" w:themeColor="text1"/>
          <w:sz w:val="24"/>
          <w14:textFill>
            <w14:solidFill>
              <w14:schemeClr w14:val="tx1"/>
            </w14:solidFill>
          </w14:textFill>
        </w:rPr>
      </w:pPr>
    </w:p>
    <w:p>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投标人盖章：</w:t>
      </w:r>
      <w:r>
        <w:rPr>
          <w:rFonts w:hint="eastAsia" w:ascii="宋体" w:hAnsi="宋体" w:eastAsia="宋体"/>
          <w:color w:val="000000" w:themeColor="text1"/>
          <w:sz w:val="24"/>
          <w:u w:val="single"/>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olor w:val="000000" w:themeColor="text1"/>
          <w:sz w:val="24"/>
          <w:u w:val="single"/>
          <w14:textFill>
            <w14:solidFill>
              <w14:schemeClr w14:val="tx1"/>
            </w14:solidFill>
          </w14:textFill>
        </w:rPr>
      </w:pPr>
    </w:p>
    <w:p>
      <w:pPr>
        <w:spacing w:line="360" w:lineRule="auto"/>
        <w:ind w:firstLine="482"/>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五、投标报价表</w:t>
      </w:r>
    </w:p>
    <w:p>
      <w:pPr>
        <w:spacing w:line="360" w:lineRule="auto"/>
        <w:ind w:firstLine="480"/>
        <w:jc w:val="center"/>
        <w:rPr>
          <w:rFonts w:hint="eastAsia" w:ascii="宋体" w:hAnsi="宋体" w:eastAsia="宋体" w:cs="宋体"/>
          <w:color w:val="000000" w:themeColor="text1"/>
          <w:sz w:val="24"/>
          <w:szCs w:val="24"/>
          <w:lang w:bidi="ar"/>
          <w14:textFill>
            <w14:solidFill>
              <w14:schemeClr w14:val="tx1"/>
            </w14:solidFill>
          </w14:textFill>
        </w:rPr>
      </w:pPr>
    </w:p>
    <w:tbl>
      <w:tblPr>
        <w:tblStyle w:val="39"/>
        <w:tblW w:w="9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34"/>
        <w:gridCol w:w="1604"/>
        <w:gridCol w:w="1752"/>
        <w:gridCol w:w="966"/>
        <w:gridCol w:w="1362"/>
        <w:gridCol w:w="1091"/>
        <w:gridCol w:w="6"/>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1"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2"/>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b/>
                <w:sz w:val="24"/>
                <w:szCs w:val="24"/>
              </w:rPr>
            </w:pPr>
            <w:r>
              <w:rPr>
                <w:rFonts w:hint="eastAsia" w:ascii="宋体" w:hAnsi="宋体" w:eastAsia="宋体" w:cs="宋体"/>
                <w:b/>
                <w:sz w:val="24"/>
                <w:szCs w:val="24"/>
                <w:lang w:bidi="ar"/>
              </w:rPr>
              <w:t>数量</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小计</w:t>
            </w:r>
          </w:p>
          <w:p>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2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广角镜观察镜</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cs="宋体"/>
                <w:sz w:val="24"/>
                <w:szCs w:val="24"/>
                <w:lang w:bidi="ar"/>
              </w:rPr>
            </w:pPr>
          </w:p>
        </w:tc>
        <w:tc>
          <w:tcPr>
            <w:tcW w:w="1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sz w:val="24"/>
                <w:szCs w:val="24"/>
              </w:rPr>
            </w:pP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2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显微镜录像系统</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套</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cs="宋体"/>
                <w:sz w:val="24"/>
                <w:szCs w:val="24"/>
                <w:lang w:bidi="ar"/>
              </w:rPr>
            </w:pPr>
          </w:p>
        </w:tc>
        <w:tc>
          <w:tcPr>
            <w:tcW w:w="1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sz w:val="24"/>
                <w:szCs w:val="24"/>
              </w:rPr>
            </w:pP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jc w:val="center"/>
        </w:trPr>
        <w:tc>
          <w:tcPr>
            <w:tcW w:w="1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before="312" w:beforeAutospacing="0" w:after="156" w:afterAutospacing="0"/>
              <w:ind w:firstLine="48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480"/>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pPr>
        <w:spacing w:line="360" w:lineRule="auto"/>
        <w:ind w:firstLine="480"/>
        <w:rPr>
          <w:rFonts w:hint="eastAsia" w:ascii="宋体" w:hAnsi="宋体" w:eastAsia="宋体" w:cs="宋体"/>
          <w:color w:val="000000" w:themeColor="text1"/>
          <w:sz w:val="24"/>
          <w:szCs w:val="24"/>
          <w:lang w:bidi="ar"/>
          <w14:textFill>
            <w14:solidFill>
              <w14:schemeClr w14:val="tx1"/>
            </w14:solidFill>
          </w14:textFill>
        </w:rPr>
      </w:pPr>
    </w:p>
    <w:p>
      <w:pPr>
        <w:pStyle w:val="24"/>
        <w:widowControl/>
        <w:spacing w:before="312" w:beforeAutospacing="0" w:after="156" w:afterAutospacing="0"/>
        <w:ind w:firstLine="480" w:firstLineChars="200"/>
        <w:rPr>
          <w:rFonts w:hint="eastAsia" w:ascii="宋体" w:hAnsi="宋体" w:eastAsia="宋体" w:cs="宋体"/>
          <w:color w:val="000000" w:themeColor="text1"/>
          <w:szCs w:val="24"/>
          <w:lang w:bidi="ar"/>
          <w14:textFill>
            <w14:solidFill>
              <w14:schemeClr w14:val="tx1"/>
            </w14:solidFill>
          </w14:textFill>
        </w:rPr>
      </w:pPr>
      <w:r>
        <w:rPr>
          <w:rFonts w:hint="eastAsia" w:ascii="宋体" w:hAnsi="宋体" w:eastAsia="宋体" w:cs="宋体"/>
          <w:color w:val="0000FF"/>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360" w:lineRule="auto"/>
        <w:ind w:firstLine="4800" w:firstLineChars="2000"/>
        <w:rPr>
          <w:rFonts w:hint="eastAsia" w:ascii="宋体" w:hAnsi="宋体" w:eastAsia="宋体" w:cs="宋体"/>
          <w:color w:val="000000" w:themeColor="text1"/>
          <w:sz w:val="24"/>
          <w:szCs w:val="24"/>
          <w:lang w:bidi="ar"/>
          <w14:textFill>
            <w14:solidFill>
              <w14:schemeClr w14:val="tx1"/>
            </w14:solidFill>
          </w14:textFill>
        </w:rPr>
      </w:pPr>
    </w:p>
    <w:p>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pStyle w:val="24"/>
        <w:spacing w:before="312" w:beforeAutospacing="0" w:after="156" w:afterAutospacing="0" w:line="360" w:lineRule="auto"/>
        <w:ind w:firstLine="480"/>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pPr>
        <w:spacing w:line="360" w:lineRule="auto"/>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spacing w:line="360" w:lineRule="auto"/>
        <w:ind w:firstLine="482"/>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六、投标响应表</w:t>
      </w:r>
    </w:p>
    <w:p>
      <w:pPr>
        <w:spacing w:line="360" w:lineRule="auto"/>
        <w:ind w:firstLine="482"/>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1.商务响应表</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916"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2"/>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商务条款</w:t>
            </w:r>
          </w:p>
        </w:tc>
        <w:tc>
          <w:tcPr>
            <w:tcW w:w="2498"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2"/>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招标文件要求</w:t>
            </w: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2"/>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投标人承诺</w:t>
            </w:r>
          </w:p>
        </w:tc>
        <w:tc>
          <w:tcPr>
            <w:tcW w:w="810"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付款方式</w:t>
            </w:r>
          </w:p>
        </w:tc>
        <w:tc>
          <w:tcPr>
            <w:tcW w:w="249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供货及安装地点</w:t>
            </w:r>
          </w:p>
        </w:tc>
        <w:tc>
          <w:tcPr>
            <w:tcW w:w="249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供货及安装期限</w:t>
            </w:r>
          </w:p>
        </w:tc>
        <w:tc>
          <w:tcPr>
            <w:tcW w:w="249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0"/>
              <w:jc w:val="center"/>
              <w:rPr>
                <w:rFonts w:hint="eastAsia" w:ascii="宋体" w:hAnsi="宋体" w:eastAsia="宋体" w:cs="Arial"/>
                <w:color w:val="000000" w:themeColor="text1"/>
                <w:kern w:val="2"/>
                <w:szCs w:val="24"/>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质保期限</w:t>
            </w:r>
          </w:p>
        </w:tc>
        <w:tc>
          <w:tcPr>
            <w:tcW w:w="249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0"/>
              <w:jc w:val="center"/>
              <w:rPr>
                <w:rFonts w:hint="eastAsia" w:ascii="宋体" w:hAnsi="宋体" w:eastAsia="宋体" w:cs="Arial"/>
                <w:color w:val="000000" w:themeColor="text1"/>
                <w:kern w:val="2"/>
                <w:szCs w:val="24"/>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9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98"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bl>
    <w:p>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spacing w:line="360" w:lineRule="auto"/>
        <w:ind w:firstLine="4809" w:firstLineChars="2004"/>
        <w:rPr>
          <w:rFonts w:hint="eastAsia" w:ascii="宋体" w:hAnsi="宋体" w:eastAsia="宋体" w:cs="宋体"/>
          <w:b/>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spacing w:line="360" w:lineRule="auto"/>
        <w:ind w:firstLine="482"/>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2.技术响应表</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516"/>
        <w:gridCol w:w="2820"/>
        <w:gridCol w:w="243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516"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货物名称</w:t>
            </w:r>
          </w:p>
        </w:tc>
        <w:tc>
          <w:tcPr>
            <w:tcW w:w="2820"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招标文件规定的技术参数要求</w:t>
            </w:r>
          </w:p>
        </w:tc>
        <w:tc>
          <w:tcPr>
            <w:tcW w:w="2439"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所投产品的品牌、型号、技术参数</w:t>
            </w:r>
          </w:p>
        </w:tc>
        <w:tc>
          <w:tcPr>
            <w:tcW w:w="811"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5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1"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5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1"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5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0"/>
              <w:jc w:val="center"/>
              <w:rPr>
                <w:rFonts w:hint="eastAsia" w:ascii="宋体" w:hAnsi="宋体" w:eastAsia="宋体" w:cs="Arial"/>
                <w:color w:val="000000" w:themeColor="text1"/>
                <w:kern w:val="2"/>
                <w:szCs w:val="24"/>
                <w14:textFill>
                  <w14:solidFill>
                    <w14:schemeClr w14:val="tx1"/>
                  </w14:solidFill>
                </w14:textFill>
              </w:rPr>
            </w:pPr>
          </w:p>
        </w:tc>
        <w:tc>
          <w:tcPr>
            <w:tcW w:w="811"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w:t>
            </w:r>
          </w:p>
        </w:tc>
        <w:tc>
          <w:tcPr>
            <w:tcW w:w="15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shd w:val="clear" w:color="auto" w:fill="auto"/>
            <w:vAlign w:val="center"/>
          </w:tcPr>
          <w:p>
            <w:pPr>
              <w:pStyle w:val="24"/>
              <w:spacing w:before="312" w:beforeAutospacing="0" w:after="156" w:afterAutospacing="0"/>
              <w:ind w:firstLine="480"/>
              <w:jc w:val="center"/>
              <w:rPr>
                <w:rFonts w:hint="eastAsia" w:ascii="宋体" w:hAnsi="宋体" w:eastAsia="宋体" w:cs="Arial"/>
                <w:color w:val="000000" w:themeColor="text1"/>
                <w:kern w:val="2"/>
                <w:szCs w:val="24"/>
                <w14:textFill>
                  <w14:solidFill>
                    <w14:schemeClr w14:val="tx1"/>
                  </w14:solidFill>
                </w14:textFill>
              </w:rPr>
            </w:pPr>
          </w:p>
        </w:tc>
        <w:tc>
          <w:tcPr>
            <w:tcW w:w="811"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516"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820"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2439"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c>
          <w:tcPr>
            <w:tcW w:w="811" w:type="dxa"/>
            <w:tcBorders>
              <w:top w:val="single" w:color="auto" w:sz="4" w:space="0"/>
              <w:left w:val="nil"/>
              <w:bottom w:val="single" w:color="auto" w:sz="4" w:space="0"/>
              <w:right w:val="single" w:color="auto" w:sz="4" w:space="0"/>
            </w:tcBorders>
            <w:shd w:val="clear" w:color="auto" w:fill="auto"/>
            <w:vAlign w:val="center"/>
          </w:tcPr>
          <w:p>
            <w:pPr>
              <w:ind w:firstLine="480"/>
              <w:jc w:val="center"/>
              <w:rPr>
                <w:rFonts w:hint="eastAsia" w:ascii="宋体" w:hAnsi="宋体" w:eastAsia="宋体"/>
                <w:color w:val="000000" w:themeColor="text1"/>
                <w:sz w:val="24"/>
                <w:szCs w:val="24"/>
                <w14:textFill>
                  <w14:solidFill>
                    <w14:schemeClr w14:val="tx1"/>
                  </w14:solidFill>
                </w14:textFill>
              </w:rPr>
            </w:pPr>
          </w:p>
        </w:tc>
      </w:tr>
    </w:tbl>
    <w:p>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pPr>
        <w:pStyle w:val="24"/>
        <w:spacing w:before="312" w:beforeAutospacing="0" w:after="156" w:afterAutospacing="0" w:line="360" w:lineRule="auto"/>
        <w:ind w:firstLine="480"/>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pPr>
        <w:spacing w:line="360" w:lineRule="auto"/>
        <w:ind w:firstLine="482"/>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七、诚信履约承诺函</w:t>
      </w:r>
    </w:p>
    <w:p>
      <w:pPr>
        <w:spacing w:line="360" w:lineRule="auto"/>
        <w:ind w:firstLine="482"/>
        <w:rPr>
          <w:rFonts w:hint="eastAsia" w:ascii="宋体" w:hAnsi="宋体" w:eastAsia="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致：采购人</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（1）中标或者成交后无正当理由拒不与采购人签订政府采购合同；</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（2）未按照采购文件确定的事项签订政府采购合同；</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（3）将政府采购合同转包；</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（4）提供假冒伪劣产品；</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（5）擅自变更、中止或者终止政府采购合同。</w:t>
      </w:r>
    </w:p>
    <w:p>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ind w:firstLine="48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本承诺声明：</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（投标人名称）</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对本招标文件的相关要求完全响应。若有幸中标将严格按照以上承诺进行供货和服务。</w:t>
      </w:r>
    </w:p>
    <w:p>
      <w:pPr>
        <w:spacing w:line="360" w:lineRule="auto"/>
        <w:ind w:firstLine="48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p>
    <w:p>
      <w:pPr>
        <w:spacing w:line="360" w:lineRule="auto"/>
        <w:ind w:firstLine="4320" w:firstLineChars="1800"/>
        <w:rPr>
          <w:rFonts w:hint="eastAsia" w:ascii="宋体" w:hAnsi="宋体" w:eastAsia="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投标人盖章：</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pPr>
        <w:spacing w:line="360" w:lineRule="auto"/>
        <w:ind w:firstLine="4320" w:firstLineChars="18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期：</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pPr>
        <w:widowControl/>
        <w:ind w:firstLine="480"/>
        <w:jc w:val="left"/>
        <w:rPr>
          <w:rFonts w:hint="eastAsia"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lang w:bidi="ar"/>
          <w14:textFill>
            <w14:solidFill>
              <w14:schemeClr w14:val="tx1"/>
            </w14:solidFill>
          </w14:textFill>
        </w:rPr>
        <w:br w:type="page"/>
      </w:r>
    </w:p>
    <w:p>
      <w:pPr>
        <w:spacing w:line="360" w:lineRule="auto"/>
        <w:ind w:firstLine="482"/>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十、诚信投标承诺书</w:t>
      </w:r>
    </w:p>
    <w:p>
      <w:pPr>
        <w:spacing w:line="5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本人以企业法定代表人的身份郑重承诺：</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项目的投标，所提供的一切材料都是真实、有效、合法的；</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三、不出借、转让资质证书，不让他人挂靠投标，不以他人名义投标或者以其他方式弄虚作假，骗取中标；</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四、不与其他投标人相互串通投标报价，不排挤其他投标人的公平竞争、损害招标人的合法权益；</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五、不与招标人、招标代理机构或其他投标人串通投标，损害国家利益、社会公共利益或者他人的合法权益；</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七、我公司没有下列情形：被滁州市县两级公管部门记入不良行为记录且在披露期内。</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八、严格遵守开标现场纪律，服从监管人员管理；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九、保证中标后不转包，若有分包征得招标人同意；</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十、保证中标之后，按照投标文件要求提供相关后续服务；</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十一、保证企业及所属相关人员在本次投标中无行贿等犯罪行为；</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开户银行：                      基本账户：</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投标单位（盖章）：              法定代表人（签字或盖章）：</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560" w:lineRule="exact"/>
        <w:ind w:firstLine="480"/>
        <w:jc w:val="right"/>
        <w:rPr>
          <w:rFonts w:hint="eastAsia" w:asci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年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月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pPr>
        <w:spacing w:line="360" w:lineRule="auto"/>
        <w:ind w:firstLine="482"/>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bidi="ar"/>
          <w14:textFill>
            <w14:solidFill>
              <w14:schemeClr w14:val="tx1"/>
            </w14:solidFill>
          </w14:textFill>
        </w:rPr>
        <w:t xml:space="preserve"> </w:t>
      </w: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75" w:name="_Toc2683"/>
      <w:bookmarkStart w:id="76" w:name="_Toc32633"/>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p>
    <w:p>
      <w:pPr>
        <w:spacing w:line="360" w:lineRule="auto"/>
        <w:ind w:firstLine="482"/>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十一、其他相关证明材料</w:t>
      </w:r>
      <w:bookmarkEnd w:id="75"/>
      <w:bookmarkEnd w:id="76"/>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提供符合投标邀请、采购需求及评标方法和标准规定的相关证明文件。</w:t>
      </w:r>
    </w:p>
    <w:p>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pPr>
        <w:widowControl/>
        <w:ind w:firstLine="480"/>
        <w:jc w:val="left"/>
        <w:rPr>
          <w:rFonts w:hint="eastAsia" w:asciiTheme="minorEastAsia" w:hAnsiTheme="minorEastAsia" w:eastAsiaTheme="minorEastAsia"/>
          <w:color w:val="000000" w:themeColor="text1"/>
          <w:sz w:val="24"/>
          <w14:textFill>
            <w14:solidFill>
              <w14:schemeClr w14:val="tx1"/>
            </w14:solidFill>
          </w14:textFill>
        </w:rPr>
      </w:pPr>
    </w:p>
    <w:bookmarkEnd w:id="69"/>
    <w:bookmarkEnd w:id="70"/>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bookmarkStart w:id="77" w:name="_Toc6435"/>
      <w:bookmarkStart w:id="78" w:name="_Toc18131"/>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widowControl/>
        <w:ind w:firstLine="482"/>
        <w:jc w:val="center"/>
        <w:rPr>
          <w:rFonts w:hint="eastAsia" w:ascii="宋体" w:hAnsi="宋体" w:eastAsia="宋体" w:cs="宋体"/>
          <w:b/>
          <w:color w:val="000000" w:themeColor="text1"/>
          <w:sz w:val="24"/>
          <w:szCs w:val="24"/>
          <w:lang w:bidi="ar"/>
          <w14:textFill>
            <w14:solidFill>
              <w14:schemeClr w14:val="tx1"/>
            </w14:solidFill>
          </w14:textFill>
        </w:rPr>
      </w:pPr>
    </w:p>
    <w:p>
      <w:pPr>
        <w:spacing w:line="360" w:lineRule="auto"/>
        <w:ind w:firstLine="562"/>
        <w:jc w:val="center"/>
        <w:outlineLvl w:val="0"/>
        <w:rPr>
          <w:rFonts w:hint="eastAsia" w:ascii="宋体" w:hAnsi="宋体" w:eastAsia="宋体"/>
          <w:b/>
          <w:bCs/>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第七章</w:t>
      </w:r>
      <w:r>
        <w:rPr>
          <w:rFonts w:hint="eastAsia" w:ascii="宋体" w:hAnsi="宋体" w:eastAsia="宋体"/>
          <w:b/>
          <w:bCs/>
          <w:color w:val="000000" w:themeColor="text1"/>
          <w:sz w:val="28"/>
          <w14:textFill>
            <w14:solidFill>
              <w14:schemeClr w14:val="tx1"/>
            </w14:solidFill>
          </w14:textFill>
        </w:rPr>
        <w:t xml:space="preserve">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77"/>
      <w:bookmarkEnd w:id="78"/>
    </w:p>
    <w:p>
      <w:pPr>
        <w:spacing w:line="360" w:lineRule="auto"/>
        <w:ind w:firstLine="643"/>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79" w:name="_Toc27489"/>
      <w:bookmarkStart w:id="80" w:name="_Toc27159"/>
      <w:r>
        <w:rPr>
          <w:rFonts w:hint="eastAsia" w:ascii="仿宋" w:hAnsi="仿宋" w:eastAsia="仿宋" w:cs="仿宋"/>
          <w:b/>
          <w:bCs/>
          <w:color w:val="000000" w:themeColor="text1"/>
          <w:sz w:val="32"/>
          <w:szCs w:val="44"/>
          <w14:textFill>
            <w14:solidFill>
              <w14:schemeClr w14:val="tx1"/>
            </w14:solidFill>
          </w14:textFill>
        </w:rPr>
        <w:t>询问函范本</w:t>
      </w:r>
      <w:bookmarkEnd w:id="79"/>
      <w:bookmarkEnd w:id="80"/>
    </w:p>
    <w:p>
      <w:pPr>
        <w:adjustRightInd w:val="0"/>
        <w:snapToGrid w:val="0"/>
        <w:spacing w:line="360" w:lineRule="auto"/>
        <w:ind w:firstLine="480"/>
        <w:rPr>
          <w:rFonts w:hint="eastAsia"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（如为对采购文件或采购程序的询问或疑问，请按询问函范本格式进行提交）</w:t>
      </w:r>
    </w:p>
    <w:p>
      <w:pPr>
        <w:adjustRightInd w:val="0"/>
        <w:snapToGrid w:val="0"/>
        <w:spacing w:line="360" w:lineRule="auto"/>
        <w:ind w:firstLine="482"/>
        <w:rPr>
          <w:rFonts w:hint="eastAsia" w:cs="仿宋" w:asciiTheme="minorEastAsia" w:hAnsiTheme="minorEastAsia" w:eastAsiaTheme="minorEastAsia"/>
          <w:b/>
          <w:bCs/>
          <w:color w:val="000000" w:themeColor="text1"/>
          <w:sz w:val="24"/>
          <w:szCs w:val="24"/>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81" w:name="_Toc13899"/>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81"/>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82" w:name="_Toc3352"/>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82"/>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tabs>
          <w:tab w:val="left" w:pos="630"/>
        </w:tabs>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ind w:firstLine="643"/>
        <w:rPr>
          <w:rFonts w:hint="eastAsia" w:ascii="仿宋" w:hAnsi="仿宋" w:eastAsia="仿宋" w:cs="仿宋"/>
          <w:b/>
          <w:bCs/>
          <w:color w:val="000000" w:themeColor="text1"/>
          <w:sz w:val="32"/>
          <w:szCs w:val="44"/>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pPr>
        <w:ind w:firstLine="643"/>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83" w:name="_Toc1575"/>
      <w:bookmarkStart w:id="84" w:name="_Toc3245"/>
      <w:r>
        <w:rPr>
          <w:rFonts w:hint="eastAsia" w:ascii="仿宋" w:hAnsi="仿宋" w:eastAsia="仿宋" w:cs="仿宋"/>
          <w:b/>
          <w:bCs/>
          <w:color w:val="000000" w:themeColor="text1"/>
          <w:sz w:val="32"/>
          <w:szCs w:val="44"/>
          <w14:textFill>
            <w14:solidFill>
              <w14:schemeClr w14:val="tx1"/>
            </w14:solidFill>
          </w14:textFill>
        </w:rPr>
        <w:t>质疑函范本</w:t>
      </w:r>
      <w:bookmarkEnd w:id="83"/>
      <w:bookmarkEnd w:id="84"/>
    </w:p>
    <w:p>
      <w:pPr>
        <w:adjustRightInd w:val="0"/>
        <w:snapToGrid w:val="0"/>
        <w:spacing w:before="312" w:beforeLines="100" w:line="360" w:lineRule="auto"/>
        <w:ind w:firstLine="482"/>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5" w:name="_Toc21381"/>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85"/>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2"/>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6" w:name="_Toc28415"/>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86"/>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2"/>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7" w:name="_Toc19014"/>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87"/>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pPr>
        <w:adjustRightInd w:val="0"/>
        <w:snapToGrid w:val="0"/>
        <w:spacing w:line="360" w:lineRule="auto"/>
        <w:ind w:firstLine="48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360" w:lineRule="auto"/>
        <w:ind w:firstLine="482"/>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88" w:name="_Toc17919"/>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88"/>
    </w:p>
    <w:p>
      <w:pPr>
        <w:adjustRightInd w:val="0"/>
        <w:snapToGrid w:val="0"/>
        <w:spacing w:line="360" w:lineRule="auto"/>
        <w:ind w:firstLine="480"/>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pPr>
        <w:spacing w:line="360" w:lineRule="auto"/>
        <w:ind w:firstLine="48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签字(签字或盖章)：                   公章：                      </w:t>
      </w:r>
    </w:p>
    <w:p>
      <w:pPr>
        <w:spacing w:line="360" w:lineRule="auto"/>
        <w:ind w:firstLine="48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pPr>
        <w:widowControl/>
        <w:ind w:firstLine="640"/>
        <w:jc w:val="left"/>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pPr>
        <w:ind w:firstLine="562"/>
        <w:outlineLvl w:val="0"/>
        <w:rPr>
          <w:rFonts w:hint="eastAsia" w:asciiTheme="minorEastAsia" w:hAnsiTheme="minorEastAsia" w:eastAsiaTheme="minorEastAsia"/>
          <w:b/>
          <w:color w:val="000000" w:themeColor="text1"/>
          <w:sz w:val="28"/>
          <w:szCs w:val="32"/>
          <w14:textFill>
            <w14:solidFill>
              <w14:schemeClr w14:val="tx1"/>
            </w14:solidFill>
          </w14:textFill>
        </w:rPr>
      </w:pPr>
      <w:bookmarkStart w:id="89" w:name="_Toc9754"/>
      <w:bookmarkStart w:id="90" w:name="_Toc26836"/>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89"/>
      <w:bookmarkEnd w:id="90"/>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60" w:lineRule="auto"/>
        <w:ind w:firstLine="480"/>
        <w:rPr>
          <w:rFonts w:hint="eastAsia" w:asciiTheme="minorEastAsia" w:hAnsiTheme="minorEastAsia" w:eastAsiaTheme="minorEastAsia"/>
          <w:color w:val="000000" w:themeColor="text1"/>
          <w:sz w:val="24"/>
          <w14:textFill>
            <w14:solidFill>
              <w14:schemeClr w14:val="tx1"/>
            </w14:solidFill>
          </w14:textFill>
        </w:rPr>
      </w:pPr>
    </w:p>
    <w:p>
      <w:pPr>
        <w:spacing w:line="380" w:lineRule="exact"/>
        <w:ind w:firstLine="48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附件1</w:t>
      </w:r>
    </w:p>
    <w:p>
      <w:pPr>
        <w:spacing w:line="380" w:lineRule="exact"/>
        <w:ind w:firstLine="482"/>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关于联合惩戒失信行为 加强信用查询管理的通知</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一、失信行为联合惩戒的范围和查询渠道</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在我市公共资源交易活动中对存在下列失信行为的投标人、法定代表人及其项目负责人实施联合惩戒，禁止参与我市公共资源交易活动。</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（一）工程建设项目</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③投标人被人力资源社会保障行政部门列入拖欠农民工工资“黑名单”的；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④在“信用中国”网站上披露的仍在公示期的严重失信行为的。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3、滁州市公共资源交易中心网（http://ggzy.chuzhou.gov.cn/）查询以下失信行为：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①被滁州市县两级公管部门取消在一定期限内的投标资格且在取消期限内的；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②被滁州市县两级公管部门记入不良行为记录或者信用信息记录，且在披露期内的。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②被滁州市县两级各行业主管部门取消在一定期限内的投标资格且在取消期限内的；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③因拖欠农民工工资被县级及以上有关行政主管部门限制投标资格且在限制期限内的。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（二）政府采购项目</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③在“信用中国”网站上披露的仍在公示期的严重失信行为的。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3、中国政府采购网站（www.ccgp.gov.cn）查询以下失信行为：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①政府采购严重违法失信行为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二、在开评标活动中的查询程序</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3、项目单位及其委托的代理机构应当做好信用查询结果截图和记录留存。</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4、交易中心见证人员对预中标候选人信用查询结果进行复查，发现问题及时纠正，并按规定程序追究相关单位和人员责任。</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5、结果公告须提供有评标委员会、代理机构及交易中心现场见证人员查询记录三方签字表方可发布。</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三、相关要求</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2、“信用中国”查询的严重失信行为判定依据为各行业主管部门下发的联合惩戒文件中规定的行为（按附件2执行）。</w:t>
      </w:r>
    </w:p>
    <w:p>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3、资格预审的项目以递交资格预审申请文件截止时间查询为准；资格后审的项目以递交投标文件截止时间查询为准。</w:t>
      </w:r>
    </w:p>
    <w:p>
      <w:pPr>
        <w:spacing w:line="380" w:lineRule="exact"/>
        <w:ind w:firstLine="48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附件2</w:t>
      </w:r>
    </w:p>
    <w:p>
      <w:pPr>
        <w:spacing w:line="380" w:lineRule="exact"/>
        <w:ind w:firstLine="482"/>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“信用中国”查询的严重失信行为类别及判定依据</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pPr>
        <w:spacing w:line="380" w:lineRule="exact"/>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一、安全生产领域严重失信行为：</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（一）发生较大及以上生产安全责任事故，或1年内累计发生3起及以上造成人员死亡的一般生产安全责任事故的；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（二）未按规定取得安全生产许可，擅自开展生产经营建设活动的；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（三）发现重大生产安全事故隐患，或职业病危害严重超标，不及时整改，仍组织从业人员冒险作业的；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（四）采取隐蔽、欺骗或阻碍等方式逃避、对抗安全监管监察的;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（五）被责令停产停业整顿，仍然从事生产经营建设活动的；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（六）瞒报、谎报、迟报生产安全事故的；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（七）矿山、危险化学品、金属冶炼等高危行业建设项目安全设施未经验收合格即投入生产和使用的；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（八）矿山生产经营单位存在超层越界开采、以探代采行为的；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（九）发生事故后，故意破坏事故现场，伪造有关证据资料，妨碍、对抗事故调查，或主要负责人逃逸的；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（十）安全生产和职业健康技术服务机构出具虚假报告或证明，违规转让或出借资质的。</w:t>
      </w:r>
    </w:p>
    <w:p>
      <w:pPr>
        <w:spacing w:line="380" w:lineRule="exact"/>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依据：《对安全生产领域失信行为开展联合惩戒的实施办法》（安监总办〔2017〕49号）第二条</w:t>
      </w:r>
    </w:p>
    <w:p>
      <w:pPr>
        <w:spacing w:line="380" w:lineRule="exact"/>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二、环境保护领域严重失信行为：</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（一）因为环境违法构成</w:t>
      </w:r>
      <w:r>
        <w:fldChar w:fldCharType="begin"/>
      </w:r>
      <w:r>
        <w:instrText xml:space="preserve"> HYPERLINK "https://baike.sogou.com/m/fullLemma?lid=10403954&amp;g_ut=3"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环境犯罪</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w:t>
      </w:r>
      <w:r>
        <w:fldChar w:fldCharType="begin"/>
      </w:r>
      <w:r>
        <w:instrText xml:space="preserve"> HYPERLINK "https://baike.sogou.com/m/fullLemma?lid=76033123&amp;g_ut=3"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建设项目环境影响评价</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文件未按规定通过审批，擅自开工建设的；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（三）建设项目环保设施未建成、环保措施未落实、未通过</w:t>
      </w:r>
      <w:r>
        <w:fldChar w:fldCharType="begin"/>
      </w:r>
      <w:r>
        <w:instrText xml:space="preserve"> HYPERLINK "https://baike.sogou.com/m/fullLemma?lid=6470550&amp;g_ut=3"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竣工环保验收</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或者验收不合格，主体工程正式投入生产或者使用的；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（五）主要污染物排放总量超过控制指标的；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（六）私设暗管或者利用</w:t>
      </w:r>
      <w:r>
        <w:fldChar w:fldCharType="begin"/>
      </w:r>
      <w:r>
        <w:instrText xml:space="preserve"> HYPERLINK "https://baike.sogou.com/m/fullLemma?lid=41657319&amp;g_ut=3"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渗井</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大气污染物</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（七）非法排放、倾倒、处置危险废物，或者向无</w:t>
      </w:r>
      <w:r>
        <w:fldChar w:fldCharType="begin"/>
      </w:r>
      <w:r>
        <w:instrText xml:space="preserve"> HYPERLINK "https://baike.sogou.com/m/fullLemma?lid=5923292&amp;g_ut=3"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经营许可证</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或者超出经营许可范围的单位或个人提供或者委托其收集、贮存、利用、处置危险废物的；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w:t>
      </w:r>
      <w:r>
        <w:fldChar w:fldCharType="begin"/>
      </w:r>
      <w:r>
        <w:instrText xml:space="preserve"> HYPERLINK "https://baike.sogou.com/m/fullLemma?lid=167759803&amp;g_ut=3"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环境违法行为</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造成集中式生活饮用水水源取水中断的；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（九）环境违法行为对生活饮用水水源保护区、自然保护区、</w:t>
      </w:r>
      <w:r>
        <w:fldChar w:fldCharType="begin"/>
      </w:r>
      <w:r>
        <w:instrText xml:space="preserve"> HYPERLINK "https://baike.sogou.com/m/fullLemma?lid=155199213&amp;g_ut=3"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国家重点生态功能区</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、风景名胜区、居住功能区、</w:t>
      </w:r>
      <w:r>
        <w:fldChar w:fldCharType="begin"/>
      </w:r>
      <w:r>
        <w:instrText xml:space="preserve"> HYPERLINK "https://baike.sogou.com/m/fullLemma?lid=7757164&amp;g_ut=3" </w:instrText>
      </w:r>
      <w:r>
        <w:fldChar w:fldCharType="separate"/>
      </w:r>
      <w:r>
        <w:rPr>
          <w:rStyle w:val="33"/>
          <w:rFonts w:hint="eastAsia" w:ascii="宋体" w:hAnsi="宋体" w:eastAsia="宋体" w:cs="宋体"/>
          <w:color w:val="000000" w:themeColor="text1"/>
          <w:sz w:val="24"/>
          <w:szCs w:val="24"/>
          <w14:textFill>
            <w14:solidFill>
              <w14:schemeClr w14:val="tx1"/>
            </w14:solidFill>
          </w14:textFill>
        </w:rPr>
        <w:t>基本农田保护区</w:t>
      </w:r>
      <w:r>
        <w:rPr>
          <w:rStyle w:val="33"/>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等环境敏感区造成重大不利影响的；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（十）违法从事自然资源开发、交通基础设施建设，以及其他开发建设活动，造成严重生态破坏的；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（十一）发生较大及以上突发环境事件的；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（十二）被环保部门挂牌督办，整改逾期未完成的；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（十三）以暴力、威胁等方式拒绝、阻挠环保部门工作人员现场检查的；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（十四）违反重污染天气应急预案有关规定，对重污染天气响应不力的。</w:t>
      </w:r>
    </w:p>
    <w:p>
      <w:pPr>
        <w:spacing w:line="380" w:lineRule="exact"/>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依据：《关于对环境保护领域失信生产经营单位及其有关人员开展联合惩戒的合作备忘录》、《企业环境信用评价办法（试行）》（环发〔2013〕150号）</w:t>
      </w:r>
    </w:p>
    <w:p>
      <w:pPr>
        <w:spacing w:line="380" w:lineRule="exact"/>
        <w:ind w:firstLine="482"/>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w:t>
      </w:r>
      <w:r>
        <w:rPr>
          <w:rFonts w:hint="eastAsia" w:ascii="宋体" w:hAnsi="宋体" w:eastAsia="宋体" w:cs="宋体"/>
          <w:b/>
          <w:bCs/>
          <w:color w:val="000000" w:themeColor="text1"/>
          <w:sz w:val="24"/>
          <w:szCs w:val="24"/>
          <w:lang w:bidi="ar"/>
          <w14:textFill>
            <w14:solidFill>
              <w14:schemeClr w14:val="tx1"/>
            </w14:solidFill>
          </w14:textFill>
        </w:rPr>
        <w:t>公共资源交易领域严重失信行为</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（一）违反法律规定，必须进行招标的项目而不招标的，将必须进行招标的项目化整为零或者以其他任何方式规避招标的；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（五）投标人相互串通投标或者与招标人串通投标的，投标人以向招标人或者评标委员会成员行贿的手段谋取中标的； </w:t>
      </w:r>
    </w:p>
    <w:p>
      <w:pPr>
        <w:spacing w:line="380" w:lineRule="exact"/>
        <w:ind w:firstLine="763" w:firstLineChars="31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（六）投标人以他人名义投标或者以其他方式弄虚作假，骗取中标的；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（七）依法必须进行招标的项目，招标人违反法律规定，与投标人就投标价格、投标方案等实质性内容进行谈判的；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（十二）中标人不按照与招标人订立的合同履行义务，情节严重的；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（十五）采购人对应当实行集中采购的政府采购项目，不委托集中采购机构实行集中采购的；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（十六）采购人、采购代理机构违反法律规定隐匿、销毁应当保存的采购文件或者伪造、变造采购文件的； </w:t>
      </w:r>
    </w:p>
    <w:p>
      <w:pPr>
        <w:spacing w:line="3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（十八）疫苗生产企业向县级疾病预防控制机构以外的单位或者个人销售第二类疫苗的；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（十九）存在其他违反公共资源交易法律法规行为的。</w:t>
      </w:r>
    </w:p>
    <w:p>
      <w:pPr>
        <w:spacing w:line="380" w:lineRule="exact"/>
        <w:ind w:firstLine="766" w:firstLineChars="31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依据：《关于对公共资源交易领域严重失信主体开展联合惩戒的备忘录》（发改法规〔2018〕457号）</w:t>
      </w:r>
    </w:p>
    <w:p>
      <w:pPr>
        <w:spacing w:line="380" w:lineRule="exact"/>
        <w:ind w:firstLine="482"/>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四、</w:t>
      </w:r>
      <w:r>
        <w:rPr>
          <w:rFonts w:hint="eastAsia" w:ascii="宋体" w:hAnsi="宋体" w:eastAsia="宋体" w:cs="宋体"/>
          <w:b/>
          <w:bCs/>
          <w:color w:val="000000" w:themeColor="text1"/>
          <w:sz w:val="24"/>
          <w:szCs w:val="24"/>
          <w:lang w:bidi="ar"/>
          <w14:textFill>
            <w14:solidFill>
              <w14:schemeClr w14:val="tx1"/>
            </w14:solidFill>
          </w14:textFill>
        </w:rPr>
        <w:t>社会保险领域严重失信行为</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（一）用人单位未按相关规定参加社会保险且拒不整改的；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（二）用人单位未如实申报社会保险缴费基数且拒不整改的；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（三）应缴纳社会保险费却拒不缴纳的；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（四）隐匿、转移、侵占、挪用社会保险费款、基金或者违规投资运营的；</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（五）以欺诈、伪造证明材料或者其他手段参加、申报社会保险和骗取社会保险基金支出或社会保险待遇的；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（六）非法获取、出售或变相交易社会保险个人权益数据的；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（七）社会保险服务机构违反服务协议或相关规定的；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（九）其他违反法律法规规定的。</w:t>
      </w:r>
    </w:p>
    <w:p>
      <w:pPr>
        <w:spacing w:line="380" w:lineRule="exact"/>
        <w:ind w:left="1200" w:leftChars="342" w:hanging="482" w:hanging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依据：《关于对社会保险领域严重失信企业及其有关人员实施联合惩戒的合作备忘录》（发改财金〔2018〕1704号）</w:t>
      </w:r>
    </w:p>
    <w:p>
      <w:pPr>
        <w:spacing w:line="380" w:lineRule="exact"/>
        <w:ind w:firstLine="48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
          <w:color w:val="000000" w:themeColor="text1"/>
          <w:sz w:val="24"/>
          <w:szCs w:val="24"/>
          <w:lang w:bidi="ar"/>
          <w14:textFill>
            <w14:solidFill>
              <w14:schemeClr w14:val="tx1"/>
            </w14:solidFill>
          </w14:textFill>
        </w:rPr>
        <w:t>五、建筑市场领域</w:t>
      </w:r>
      <w:r>
        <w:rPr>
          <w:rFonts w:hint="eastAsia" w:ascii="宋体" w:hAnsi="宋体" w:eastAsia="宋体" w:cs="宋体"/>
          <w:b/>
          <w:bCs/>
          <w:color w:val="000000" w:themeColor="text1"/>
          <w:sz w:val="24"/>
          <w:szCs w:val="24"/>
          <w:lang w:bidi="ar"/>
          <w14:textFill>
            <w14:solidFill>
              <w14:schemeClr w14:val="tx1"/>
            </w14:solidFill>
          </w14:textFill>
        </w:rPr>
        <w:t>严重失信行为</w:t>
      </w:r>
    </w:p>
    <w:p>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（一）利用虚假材料、以欺骗手段取得企业资质的；</w:t>
      </w:r>
    </w:p>
    <w:p>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（二）发生转包、出借资质，受到行政处罚的；</w:t>
      </w:r>
    </w:p>
    <w:p>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（四）经法院判决或仲裁机构裁决，认定为拖欠工程款,且拒不履行生效法律文书确定的义务的。</w:t>
      </w:r>
    </w:p>
    <w:p>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依据：《建筑市场信用管理暂行办法》（建市〔2017〕241号）</w:t>
      </w:r>
    </w:p>
    <w:p>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六、政府采购严重失信行为</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供应商、采购代理机构在三年内受到财政部门作出下列情形之一的行政处罚，列入政府采购严重违法失信行为记录名单。</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（一）三万元以上罚款；</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（二）在一至三年内禁止参加政府采购活动（处罚期限届满的除外）；</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（三）在一至三年内禁止代理政府采购业务（处罚期限届满的除外）；</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（四）撤销政府采购代理机构资格（仅针对《政府采购法》第78条修改前作出的处罚决定）。</w:t>
      </w:r>
    </w:p>
    <w:p>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lang w:bidi="ar"/>
          <w14:textFill>
            <w14:solidFill>
              <w14:schemeClr w14:val="tx1"/>
            </w14:solidFill>
          </w14:textFill>
        </w:rPr>
        <w:t>（财办库〔2014〕526号）</w:t>
      </w:r>
    </w:p>
    <w:p>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七、水利建设领域严重失信行为</w:t>
      </w:r>
    </w:p>
    <w:p>
      <w:pPr>
        <w:pStyle w:val="24"/>
        <w:widowControl/>
        <w:shd w:val="clear" w:color="auto" w:fill="FFFFFF"/>
        <w:spacing w:before="312" w:beforeAutospacing="0" w:after="156" w:afterAutospacing="0" w:line="380" w:lineRule="exact"/>
        <w:ind w:firstLine="480" w:firstLineChars="20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（一）1年内不良行为记录累计扣分达到20分的；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（二）"重点关注名单"公开期满后仍不整改的；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1.发生重大、特大质量或安全事故，并负有直接责任的；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4.违反规定施工，造成生态环境严重破坏且拒不修复的；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5.被证实恶意制造工程质量缺陷或质量隐患的；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6.其他违反法律法规，造成严重后果或社会危害较大的。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（四）存在以下严重破坏市场公平竞争秩序和社会正常秩序行为之一的：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1.不按合同约定，恶意拖欠承包人项目款的；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3.出借、借用资质证书,允许他人以本单位名义或借用他人名义等弄虚作假方式承揽业务的；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4.未取得相应资质或超越资质证书核定范围、营业范围承揽业务的；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5.操纵招标过程，谋取不正当利益的；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6.与招标人或投标人串通投标的；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7.以向招标人或评标委员会成员行贿的手段谋取中标的；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8.中标后，无正当理由不签订合同的；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9.转包或违法分包所承揽业务的；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10.弄虚作假，以欺诈手段降低工程或设备质量的；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11.单位行贿、受贿，受到刑事处罚的；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12.逃税骗税、恶意逃废债务的；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13.参与非法集资，受到刑事处罚的；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14.在签订、履行合同过程中，存在合同欺诈行为，受到刑事处罚的；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15.虚构工程项目，套取资金的；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16.克扣、无故拖欠农民工工资报酬，数额达到认定拒不支付劳动报酬罪数额标准的；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17.发生社会公共事件，影响较大，并负有直接责任的。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（五）存在以下拒不履行法定义务，严重影响司法机关、行政机关公信力行为之一的：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1.发生事故拒绝接受调查或拒绝提供有关资料的；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2.拒不执行生效的行政处罚决定的；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3.拒不执行仲裁、法院判决结果的。</w:t>
      </w:r>
    </w:p>
    <w:p>
      <w:pPr>
        <w:pStyle w:val="24"/>
        <w:widowControl/>
        <w:shd w:val="clear" w:color="auto" w:fill="FFFFFF"/>
        <w:spacing w:before="312" w:beforeAutospacing="0" w:after="156" w:afterAutospacing="0" w:line="380" w:lineRule="exact"/>
        <w:ind w:firstLine="48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（六）被相关联合惩戒部门列入"黑名单"，符合联合惩戒措施的。</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生产建设项目水土保持市场主体"黑名单"列入标准见《水利建设市场主体信用信息管理办法》附件。</w:t>
      </w:r>
    </w:p>
    <w:p>
      <w:pPr>
        <w:spacing w:line="380" w:lineRule="exact"/>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依据：《水利建设市场主体信用评价管理办法》水建设〔2019〕307号、《水利建设市场主体信用信息管理办法》水建设〔2019〕306号</w:t>
      </w:r>
    </w:p>
    <w:p>
      <w:pPr>
        <w:spacing w:line="3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pPr>
        <w:spacing w:line="380" w:lineRule="exact"/>
        <w:ind w:firstLine="48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未列出的其他类别严重失信行为，由招标人（代理机构）根据各类别行业主管部门下发的联合惩戒文件进行判断。</w:t>
      </w:r>
    </w:p>
    <w:p>
      <w:pPr>
        <w:spacing w:line="380" w:lineRule="exact"/>
        <w:ind w:firstLine="487" w:firstLineChars="2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240" w:after="120"/>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240" w:after="120"/>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共65页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共65页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240" w:after="120"/>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240" w:after="120"/>
      <w:jc w:val="left"/>
      <w:rPr>
        <w:rFonts w:hint="eastAsia"/>
      </w:rPr>
    </w:pPr>
    <w:r>
      <w:rPr>
        <w:rFonts w:hint="eastAsia" w:ascii="宋体" w:hAnsi="宋体" w:eastAsia="宋体"/>
      </w:rPr>
      <w:t>安徽省政府采购项目公开招标文件示范文本（货物类）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240" w:after="120"/>
      <w:ind w:firstLine="360"/>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E48"/>
    <w:rsid w:val="00004F40"/>
    <w:rsid w:val="000056B7"/>
    <w:rsid w:val="00012A13"/>
    <w:rsid w:val="000131F7"/>
    <w:rsid w:val="00016B6C"/>
    <w:rsid w:val="00017EC7"/>
    <w:rsid w:val="00020B57"/>
    <w:rsid w:val="000263E4"/>
    <w:rsid w:val="00033B5B"/>
    <w:rsid w:val="00037DBE"/>
    <w:rsid w:val="0004045D"/>
    <w:rsid w:val="00042139"/>
    <w:rsid w:val="00042B14"/>
    <w:rsid w:val="00044347"/>
    <w:rsid w:val="00044F49"/>
    <w:rsid w:val="000450C3"/>
    <w:rsid w:val="00046AFF"/>
    <w:rsid w:val="00050A3F"/>
    <w:rsid w:val="000530EC"/>
    <w:rsid w:val="000544DE"/>
    <w:rsid w:val="000648D2"/>
    <w:rsid w:val="00070E0E"/>
    <w:rsid w:val="00072B19"/>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0CC"/>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4E"/>
    <w:rsid w:val="00260B94"/>
    <w:rsid w:val="00264F2E"/>
    <w:rsid w:val="00271245"/>
    <w:rsid w:val="00272E6E"/>
    <w:rsid w:val="00274A9E"/>
    <w:rsid w:val="00276292"/>
    <w:rsid w:val="00276BA1"/>
    <w:rsid w:val="00277094"/>
    <w:rsid w:val="00286BB6"/>
    <w:rsid w:val="002A1A1D"/>
    <w:rsid w:val="002A28AD"/>
    <w:rsid w:val="002A2A35"/>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01E27"/>
    <w:rsid w:val="00310070"/>
    <w:rsid w:val="003110EC"/>
    <w:rsid w:val="00313029"/>
    <w:rsid w:val="00324D38"/>
    <w:rsid w:val="00327C92"/>
    <w:rsid w:val="0033245B"/>
    <w:rsid w:val="00333292"/>
    <w:rsid w:val="00334425"/>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0C29"/>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4F4A76"/>
    <w:rsid w:val="004F523C"/>
    <w:rsid w:val="00501382"/>
    <w:rsid w:val="00503E2F"/>
    <w:rsid w:val="005054B9"/>
    <w:rsid w:val="00506E4F"/>
    <w:rsid w:val="00510798"/>
    <w:rsid w:val="00514ED8"/>
    <w:rsid w:val="00515F12"/>
    <w:rsid w:val="00522B2E"/>
    <w:rsid w:val="00524A11"/>
    <w:rsid w:val="00527768"/>
    <w:rsid w:val="00527EF6"/>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03DC"/>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23E"/>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0C8"/>
    <w:rsid w:val="006953D9"/>
    <w:rsid w:val="00697FE9"/>
    <w:rsid w:val="006A5FEE"/>
    <w:rsid w:val="006A750C"/>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59ED"/>
    <w:rsid w:val="00887E3B"/>
    <w:rsid w:val="008922A8"/>
    <w:rsid w:val="00895728"/>
    <w:rsid w:val="00895BD5"/>
    <w:rsid w:val="0089742B"/>
    <w:rsid w:val="008A16C4"/>
    <w:rsid w:val="008A6FED"/>
    <w:rsid w:val="008B39C5"/>
    <w:rsid w:val="008B51AA"/>
    <w:rsid w:val="008B7932"/>
    <w:rsid w:val="008C1131"/>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3FE4"/>
    <w:rsid w:val="00915083"/>
    <w:rsid w:val="00917405"/>
    <w:rsid w:val="00920035"/>
    <w:rsid w:val="00920F7C"/>
    <w:rsid w:val="00933434"/>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25E32"/>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28CC"/>
    <w:rsid w:val="00B00ACC"/>
    <w:rsid w:val="00B039E3"/>
    <w:rsid w:val="00B043C1"/>
    <w:rsid w:val="00B22838"/>
    <w:rsid w:val="00B27D52"/>
    <w:rsid w:val="00B32BC1"/>
    <w:rsid w:val="00B33E95"/>
    <w:rsid w:val="00B34EE1"/>
    <w:rsid w:val="00B35B5E"/>
    <w:rsid w:val="00B3720B"/>
    <w:rsid w:val="00B40EE3"/>
    <w:rsid w:val="00B4535A"/>
    <w:rsid w:val="00B45B0C"/>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22D5"/>
    <w:rsid w:val="00BD3944"/>
    <w:rsid w:val="00BE423C"/>
    <w:rsid w:val="00BF376F"/>
    <w:rsid w:val="00BF46A6"/>
    <w:rsid w:val="00BF62CF"/>
    <w:rsid w:val="00BF6B98"/>
    <w:rsid w:val="00BF73D6"/>
    <w:rsid w:val="00C06545"/>
    <w:rsid w:val="00C1161C"/>
    <w:rsid w:val="00C17F66"/>
    <w:rsid w:val="00C220FC"/>
    <w:rsid w:val="00C22C55"/>
    <w:rsid w:val="00C23C86"/>
    <w:rsid w:val="00C24DFA"/>
    <w:rsid w:val="00C30909"/>
    <w:rsid w:val="00C35561"/>
    <w:rsid w:val="00C40C36"/>
    <w:rsid w:val="00C4202A"/>
    <w:rsid w:val="00C4211F"/>
    <w:rsid w:val="00C46A36"/>
    <w:rsid w:val="00C47037"/>
    <w:rsid w:val="00C51452"/>
    <w:rsid w:val="00C53625"/>
    <w:rsid w:val="00C552E7"/>
    <w:rsid w:val="00C57533"/>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330B"/>
    <w:rsid w:val="00CF44AD"/>
    <w:rsid w:val="00CF4FC0"/>
    <w:rsid w:val="00CF7642"/>
    <w:rsid w:val="00D020D9"/>
    <w:rsid w:val="00D03909"/>
    <w:rsid w:val="00D0460B"/>
    <w:rsid w:val="00D1072F"/>
    <w:rsid w:val="00D108A5"/>
    <w:rsid w:val="00D10E57"/>
    <w:rsid w:val="00D14585"/>
    <w:rsid w:val="00D14EB4"/>
    <w:rsid w:val="00D20EFF"/>
    <w:rsid w:val="00D308FD"/>
    <w:rsid w:val="00D30F1B"/>
    <w:rsid w:val="00D30FC0"/>
    <w:rsid w:val="00D34F0D"/>
    <w:rsid w:val="00D3516E"/>
    <w:rsid w:val="00D4064C"/>
    <w:rsid w:val="00D451E5"/>
    <w:rsid w:val="00D46B42"/>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B7CF0"/>
    <w:rsid w:val="00DC1062"/>
    <w:rsid w:val="00DC132C"/>
    <w:rsid w:val="00DC774B"/>
    <w:rsid w:val="00DD43F0"/>
    <w:rsid w:val="00DD44DE"/>
    <w:rsid w:val="00DE09AB"/>
    <w:rsid w:val="00DE1635"/>
    <w:rsid w:val="00DE4A3F"/>
    <w:rsid w:val="00DE4E53"/>
    <w:rsid w:val="00DE7AE9"/>
    <w:rsid w:val="00DF42C4"/>
    <w:rsid w:val="00DF4367"/>
    <w:rsid w:val="00DF5CB0"/>
    <w:rsid w:val="00E0574A"/>
    <w:rsid w:val="00E1243D"/>
    <w:rsid w:val="00E12742"/>
    <w:rsid w:val="00E12E4A"/>
    <w:rsid w:val="00E146D4"/>
    <w:rsid w:val="00E20976"/>
    <w:rsid w:val="00E22079"/>
    <w:rsid w:val="00E22B44"/>
    <w:rsid w:val="00E236D8"/>
    <w:rsid w:val="00E30ACD"/>
    <w:rsid w:val="00E3184B"/>
    <w:rsid w:val="00E32735"/>
    <w:rsid w:val="00E33F4F"/>
    <w:rsid w:val="00E5391D"/>
    <w:rsid w:val="00E544E5"/>
    <w:rsid w:val="00E56883"/>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C78A8"/>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6590B"/>
    <w:rsid w:val="00F724D0"/>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4434A8"/>
    <w:rsid w:val="015A4857"/>
    <w:rsid w:val="016F283F"/>
    <w:rsid w:val="017B1BF9"/>
    <w:rsid w:val="01E93A1B"/>
    <w:rsid w:val="0214602E"/>
    <w:rsid w:val="025F774E"/>
    <w:rsid w:val="029A6E6A"/>
    <w:rsid w:val="02D435F7"/>
    <w:rsid w:val="03486B27"/>
    <w:rsid w:val="040A094E"/>
    <w:rsid w:val="049D6812"/>
    <w:rsid w:val="056F201D"/>
    <w:rsid w:val="05940AC6"/>
    <w:rsid w:val="05B664D4"/>
    <w:rsid w:val="064B485A"/>
    <w:rsid w:val="06823FBC"/>
    <w:rsid w:val="068C65C4"/>
    <w:rsid w:val="07076C01"/>
    <w:rsid w:val="071C12AC"/>
    <w:rsid w:val="076F41D7"/>
    <w:rsid w:val="077C7A64"/>
    <w:rsid w:val="07A934B3"/>
    <w:rsid w:val="07EB6287"/>
    <w:rsid w:val="0806421B"/>
    <w:rsid w:val="08684CB5"/>
    <w:rsid w:val="08E65B7B"/>
    <w:rsid w:val="096E0EE2"/>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8A01C3"/>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1C437CA"/>
    <w:rsid w:val="12197477"/>
    <w:rsid w:val="12314985"/>
    <w:rsid w:val="1264785B"/>
    <w:rsid w:val="131B5CD3"/>
    <w:rsid w:val="131E5E73"/>
    <w:rsid w:val="13776448"/>
    <w:rsid w:val="137D4A9E"/>
    <w:rsid w:val="1382549E"/>
    <w:rsid w:val="13F82CE7"/>
    <w:rsid w:val="144F070C"/>
    <w:rsid w:val="1466407E"/>
    <w:rsid w:val="14720B92"/>
    <w:rsid w:val="14834E28"/>
    <w:rsid w:val="148E7D65"/>
    <w:rsid w:val="15231BF9"/>
    <w:rsid w:val="15515573"/>
    <w:rsid w:val="15C4546D"/>
    <w:rsid w:val="163C139B"/>
    <w:rsid w:val="164756E1"/>
    <w:rsid w:val="16881F81"/>
    <w:rsid w:val="16AF4771"/>
    <w:rsid w:val="16EA2C3C"/>
    <w:rsid w:val="17365652"/>
    <w:rsid w:val="180C032A"/>
    <w:rsid w:val="18F163B1"/>
    <w:rsid w:val="195A07CF"/>
    <w:rsid w:val="196A4832"/>
    <w:rsid w:val="19F73BFF"/>
    <w:rsid w:val="1A064976"/>
    <w:rsid w:val="1A1839A8"/>
    <w:rsid w:val="1A3B68AA"/>
    <w:rsid w:val="1A3E1C1E"/>
    <w:rsid w:val="1AB65178"/>
    <w:rsid w:val="1AD4308C"/>
    <w:rsid w:val="1B6F4F40"/>
    <w:rsid w:val="1C141836"/>
    <w:rsid w:val="1C33473D"/>
    <w:rsid w:val="1C676ADD"/>
    <w:rsid w:val="1C76537D"/>
    <w:rsid w:val="1CB87339"/>
    <w:rsid w:val="1CD852E5"/>
    <w:rsid w:val="1CEC05AD"/>
    <w:rsid w:val="1D9C6312"/>
    <w:rsid w:val="1DE63A32"/>
    <w:rsid w:val="1E4449D5"/>
    <w:rsid w:val="1E6B6A14"/>
    <w:rsid w:val="1F370744"/>
    <w:rsid w:val="1F4D401F"/>
    <w:rsid w:val="1FD16A32"/>
    <w:rsid w:val="2021099F"/>
    <w:rsid w:val="20284A23"/>
    <w:rsid w:val="20550D9A"/>
    <w:rsid w:val="21845C9E"/>
    <w:rsid w:val="218E2416"/>
    <w:rsid w:val="22404767"/>
    <w:rsid w:val="226915FE"/>
    <w:rsid w:val="22702106"/>
    <w:rsid w:val="228B6BA3"/>
    <w:rsid w:val="22A85809"/>
    <w:rsid w:val="231F3F50"/>
    <w:rsid w:val="234F4B80"/>
    <w:rsid w:val="2411199F"/>
    <w:rsid w:val="241804A5"/>
    <w:rsid w:val="245B2E54"/>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9D71CDA"/>
    <w:rsid w:val="29E8216F"/>
    <w:rsid w:val="2A127B63"/>
    <w:rsid w:val="2A451A6C"/>
    <w:rsid w:val="2A97233B"/>
    <w:rsid w:val="2AAA4765"/>
    <w:rsid w:val="2AC21606"/>
    <w:rsid w:val="2B365FF8"/>
    <w:rsid w:val="2B45623B"/>
    <w:rsid w:val="2B7E7608"/>
    <w:rsid w:val="2B7F04E9"/>
    <w:rsid w:val="2B8B554A"/>
    <w:rsid w:val="2C4617FF"/>
    <w:rsid w:val="2C932FD6"/>
    <w:rsid w:val="2D496D68"/>
    <w:rsid w:val="2E7A48DE"/>
    <w:rsid w:val="2E9C43C4"/>
    <w:rsid w:val="2EBA5177"/>
    <w:rsid w:val="2EDA4EED"/>
    <w:rsid w:val="2EDC3ED8"/>
    <w:rsid w:val="2EE40E2C"/>
    <w:rsid w:val="2F104B00"/>
    <w:rsid w:val="2F123F15"/>
    <w:rsid w:val="2F6351B4"/>
    <w:rsid w:val="2FAC5093"/>
    <w:rsid w:val="2FC07A03"/>
    <w:rsid w:val="2FC86126"/>
    <w:rsid w:val="2FCF199E"/>
    <w:rsid w:val="2FCF2577"/>
    <w:rsid w:val="30133AD1"/>
    <w:rsid w:val="30483E83"/>
    <w:rsid w:val="309317F7"/>
    <w:rsid w:val="30983075"/>
    <w:rsid w:val="30AC2E50"/>
    <w:rsid w:val="30BF3991"/>
    <w:rsid w:val="3111619A"/>
    <w:rsid w:val="3184488C"/>
    <w:rsid w:val="31B139DC"/>
    <w:rsid w:val="32221E1E"/>
    <w:rsid w:val="32497AF3"/>
    <w:rsid w:val="341E788C"/>
    <w:rsid w:val="343C0775"/>
    <w:rsid w:val="345E7431"/>
    <w:rsid w:val="348D47EE"/>
    <w:rsid w:val="34A51AF9"/>
    <w:rsid w:val="34F43D78"/>
    <w:rsid w:val="355F1880"/>
    <w:rsid w:val="356C50EC"/>
    <w:rsid w:val="36137E45"/>
    <w:rsid w:val="36376E0A"/>
    <w:rsid w:val="36484C39"/>
    <w:rsid w:val="364A4C7C"/>
    <w:rsid w:val="36A83A7F"/>
    <w:rsid w:val="36C02CFA"/>
    <w:rsid w:val="3700166C"/>
    <w:rsid w:val="37211E68"/>
    <w:rsid w:val="37943F2F"/>
    <w:rsid w:val="379A1012"/>
    <w:rsid w:val="37C71CEA"/>
    <w:rsid w:val="38031EDD"/>
    <w:rsid w:val="38694EE9"/>
    <w:rsid w:val="387B329C"/>
    <w:rsid w:val="38895178"/>
    <w:rsid w:val="38C764E2"/>
    <w:rsid w:val="39717338"/>
    <w:rsid w:val="39CA5376"/>
    <w:rsid w:val="3A117273"/>
    <w:rsid w:val="3A6818FA"/>
    <w:rsid w:val="3A704957"/>
    <w:rsid w:val="3AB344ED"/>
    <w:rsid w:val="3B0B7708"/>
    <w:rsid w:val="3B365CC9"/>
    <w:rsid w:val="3B60677A"/>
    <w:rsid w:val="3B697D24"/>
    <w:rsid w:val="3B9A7B88"/>
    <w:rsid w:val="3BD8694B"/>
    <w:rsid w:val="3C126FC3"/>
    <w:rsid w:val="3CDF3F9E"/>
    <w:rsid w:val="3D2C7AC8"/>
    <w:rsid w:val="3D536596"/>
    <w:rsid w:val="3D855D12"/>
    <w:rsid w:val="3D8B42FF"/>
    <w:rsid w:val="3DA52B6A"/>
    <w:rsid w:val="3DD338D1"/>
    <w:rsid w:val="3DE86C4C"/>
    <w:rsid w:val="3DF36A6E"/>
    <w:rsid w:val="3E307A91"/>
    <w:rsid w:val="3EBA1EE9"/>
    <w:rsid w:val="3EC4042E"/>
    <w:rsid w:val="3F5977A1"/>
    <w:rsid w:val="3F5D36FC"/>
    <w:rsid w:val="3F792F1E"/>
    <w:rsid w:val="3FD6525C"/>
    <w:rsid w:val="40824826"/>
    <w:rsid w:val="40CB294D"/>
    <w:rsid w:val="40D3290A"/>
    <w:rsid w:val="40E63923"/>
    <w:rsid w:val="40EF4827"/>
    <w:rsid w:val="41546D80"/>
    <w:rsid w:val="415643E4"/>
    <w:rsid w:val="42971481"/>
    <w:rsid w:val="43194544"/>
    <w:rsid w:val="43A91E5B"/>
    <w:rsid w:val="44065357"/>
    <w:rsid w:val="445A3A94"/>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B1408D"/>
    <w:rsid w:val="49C369F7"/>
    <w:rsid w:val="49E2099E"/>
    <w:rsid w:val="4A027BBB"/>
    <w:rsid w:val="4A323C61"/>
    <w:rsid w:val="4A39249C"/>
    <w:rsid w:val="4A7D4FD2"/>
    <w:rsid w:val="4A913C9A"/>
    <w:rsid w:val="4AE0041E"/>
    <w:rsid w:val="4B1F70AC"/>
    <w:rsid w:val="4B2006A7"/>
    <w:rsid w:val="4B240F94"/>
    <w:rsid w:val="4B4D6D1A"/>
    <w:rsid w:val="4B6A27EE"/>
    <w:rsid w:val="4B856638"/>
    <w:rsid w:val="4C0832E5"/>
    <w:rsid w:val="4C3C565C"/>
    <w:rsid w:val="4CCC79C7"/>
    <w:rsid w:val="4D0B5439"/>
    <w:rsid w:val="4D553CBF"/>
    <w:rsid w:val="4D7555C7"/>
    <w:rsid w:val="4DF07D79"/>
    <w:rsid w:val="4DF65A5C"/>
    <w:rsid w:val="4DFD15F1"/>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A60074"/>
    <w:rsid w:val="53DC5D66"/>
    <w:rsid w:val="53F13BFB"/>
    <w:rsid w:val="54161C73"/>
    <w:rsid w:val="541A5D30"/>
    <w:rsid w:val="541D2170"/>
    <w:rsid w:val="5463070C"/>
    <w:rsid w:val="546D06E2"/>
    <w:rsid w:val="549239F0"/>
    <w:rsid w:val="552D1A7A"/>
    <w:rsid w:val="55C1559C"/>
    <w:rsid w:val="55F068CD"/>
    <w:rsid w:val="56307A15"/>
    <w:rsid w:val="566C3136"/>
    <w:rsid w:val="568D04F2"/>
    <w:rsid w:val="56C80241"/>
    <w:rsid w:val="578B0CFA"/>
    <w:rsid w:val="581A6B1B"/>
    <w:rsid w:val="586C4558"/>
    <w:rsid w:val="587F6530"/>
    <w:rsid w:val="58F17C86"/>
    <w:rsid w:val="593C217C"/>
    <w:rsid w:val="59513E7A"/>
    <w:rsid w:val="59DE3233"/>
    <w:rsid w:val="5A0B43C0"/>
    <w:rsid w:val="5A296BA4"/>
    <w:rsid w:val="5A526582"/>
    <w:rsid w:val="5A5F5C77"/>
    <w:rsid w:val="5A696FA1"/>
    <w:rsid w:val="5A711A0D"/>
    <w:rsid w:val="5B1613E4"/>
    <w:rsid w:val="5B1A63D4"/>
    <w:rsid w:val="5B2568B5"/>
    <w:rsid w:val="5B78003B"/>
    <w:rsid w:val="5BC11A60"/>
    <w:rsid w:val="5BFB2E5D"/>
    <w:rsid w:val="5C7A4D54"/>
    <w:rsid w:val="5CA00C74"/>
    <w:rsid w:val="5CC86079"/>
    <w:rsid w:val="5CD23B73"/>
    <w:rsid w:val="5CD57954"/>
    <w:rsid w:val="5D2406B3"/>
    <w:rsid w:val="5D5A77C0"/>
    <w:rsid w:val="5DC14E75"/>
    <w:rsid w:val="5E1C65B7"/>
    <w:rsid w:val="5E231B5D"/>
    <w:rsid w:val="5E2603BE"/>
    <w:rsid w:val="5E5E2CC3"/>
    <w:rsid w:val="5EE52114"/>
    <w:rsid w:val="5F127819"/>
    <w:rsid w:val="5F6E1E31"/>
    <w:rsid w:val="5FBA1FBA"/>
    <w:rsid w:val="60244033"/>
    <w:rsid w:val="60350ED3"/>
    <w:rsid w:val="606C3A37"/>
    <w:rsid w:val="60B72AEE"/>
    <w:rsid w:val="60F872D1"/>
    <w:rsid w:val="61025188"/>
    <w:rsid w:val="61057D5F"/>
    <w:rsid w:val="614D4977"/>
    <w:rsid w:val="61E33ADD"/>
    <w:rsid w:val="626D25CE"/>
    <w:rsid w:val="6282091F"/>
    <w:rsid w:val="62CE1B77"/>
    <w:rsid w:val="63C60FC0"/>
    <w:rsid w:val="63D9257E"/>
    <w:rsid w:val="63E0211F"/>
    <w:rsid w:val="643B4928"/>
    <w:rsid w:val="644F7208"/>
    <w:rsid w:val="645027A9"/>
    <w:rsid w:val="64B40B19"/>
    <w:rsid w:val="64BA3D7A"/>
    <w:rsid w:val="64F179BC"/>
    <w:rsid w:val="64F36292"/>
    <w:rsid w:val="65323AFA"/>
    <w:rsid w:val="65387F06"/>
    <w:rsid w:val="654A23E3"/>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4A0729"/>
    <w:rsid w:val="6B656832"/>
    <w:rsid w:val="6B66417A"/>
    <w:rsid w:val="6B6F018F"/>
    <w:rsid w:val="6BA22313"/>
    <w:rsid w:val="6C675CE6"/>
    <w:rsid w:val="6C823EF2"/>
    <w:rsid w:val="6CDD63F2"/>
    <w:rsid w:val="6D4F4321"/>
    <w:rsid w:val="6DC835B5"/>
    <w:rsid w:val="6DE94229"/>
    <w:rsid w:val="6DF41B82"/>
    <w:rsid w:val="6DFF7360"/>
    <w:rsid w:val="6E0A7D76"/>
    <w:rsid w:val="6E7A5F73"/>
    <w:rsid w:val="6EE90F9D"/>
    <w:rsid w:val="6F1D7B64"/>
    <w:rsid w:val="6FB6454A"/>
    <w:rsid w:val="6FD74228"/>
    <w:rsid w:val="7021106F"/>
    <w:rsid w:val="70D10596"/>
    <w:rsid w:val="71462F6F"/>
    <w:rsid w:val="71633091"/>
    <w:rsid w:val="725A270A"/>
    <w:rsid w:val="72CB2AEB"/>
    <w:rsid w:val="73081CA5"/>
    <w:rsid w:val="73136EFB"/>
    <w:rsid w:val="73275BE6"/>
    <w:rsid w:val="735A5BA1"/>
    <w:rsid w:val="73E831D5"/>
    <w:rsid w:val="74201F7D"/>
    <w:rsid w:val="742F6FCE"/>
    <w:rsid w:val="7487762D"/>
    <w:rsid w:val="74C33AA4"/>
    <w:rsid w:val="75210D7A"/>
    <w:rsid w:val="75385498"/>
    <w:rsid w:val="75680129"/>
    <w:rsid w:val="75930F1E"/>
    <w:rsid w:val="75AE0CEB"/>
    <w:rsid w:val="75F37776"/>
    <w:rsid w:val="75F556AF"/>
    <w:rsid w:val="76BC207F"/>
    <w:rsid w:val="76C646D6"/>
    <w:rsid w:val="76EB4904"/>
    <w:rsid w:val="76FA1255"/>
    <w:rsid w:val="77356A61"/>
    <w:rsid w:val="77645DCD"/>
    <w:rsid w:val="777378F5"/>
    <w:rsid w:val="777A2D3C"/>
    <w:rsid w:val="77B01193"/>
    <w:rsid w:val="78673398"/>
    <w:rsid w:val="78A715E8"/>
    <w:rsid w:val="79074B81"/>
    <w:rsid w:val="794F0939"/>
    <w:rsid w:val="797E7C40"/>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4"/>
    <w:next w:val="1"/>
    <w:qFormat/>
    <w:uiPriority w:val="0"/>
    <w:pPr>
      <w:spacing w:line="415" w:lineRule="auto"/>
      <w:outlineLvl w:val="1"/>
    </w:pPr>
    <w:rPr>
      <w:rFonts w:ascii="Arial" w:hAnsi="Arial" w:eastAsia="黑体" w:cs="Arial"/>
    </w:rPr>
  </w:style>
  <w:style w:type="paragraph" w:styleId="4">
    <w:name w:val="heading 3"/>
    <w:basedOn w:val="1"/>
    <w:next w:val="1"/>
    <w:link w:val="6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68"/>
    <w:semiHidden/>
    <w:unhideWhenUsed/>
    <w:qFormat/>
    <w:uiPriority w:val="99"/>
    <w:rPr>
      <w:rFonts w:ascii="@仿宋_GB2312" w:hAnsi="@仿宋_GB2312" w:eastAsia="@仿宋_GB2312" w:cs="@仿宋_GB2312"/>
      <w:b/>
      <w:bCs/>
    </w:rPr>
  </w:style>
  <w:style w:type="paragraph" w:styleId="7">
    <w:name w:val="annotation text"/>
    <w:basedOn w:val="1"/>
    <w:link w:val="57"/>
    <w:qFormat/>
    <w:uiPriority w:val="0"/>
    <w:pPr>
      <w:jc w:val="left"/>
    </w:pPr>
    <w:rPr>
      <w:rFonts w:ascii="Arial" w:hAnsi="Arial" w:eastAsia="黑体" w:cs="Arial"/>
    </w:rPr>
  </w:style>
  <w:style w:type="paragraph" w:styleId="8">
    <w:name w:val="toc 7"/>
    <w:basedOn w:val="1"/>
    <w:next w:val="1"/>
    <w:qFormat/>
    <w:uiPriority w:val="39"/>
    <w:pPr>
      <w:ind w:left="1260"/>
      <w:jc w:val="left"/>
    </w:pPr>
    <w:rPr>
      <w:sz w:val="18"/>
      <w:szCs w:val="18"/>
    </w:rPr>
  </w:style>
  <w:style w:type="paragraph" w:styleId="9">
    <w:name w:val="Body Text First Indent"/>
    <w:basedOn w:val="10"/>
    <w:unhideWhenUsed/>
    <w:qFormat/>
    <w:uiPriority w:val="99"/>
    <w:pPr>
      <w:ind w:firstLine="420" w:firstLineChars="100"/>
    </w:pPr>
  </w:style>
  <w:style w:type="paragraph" w:styleId="10">
    <w:name w:val="Body Text"/>
    <w:basedOn w:val="1"/>
    <w:qFormat/>
    <w:uiPriority w:val="0"/>
    <w:pPr>
      <w:spacing w:after="120"/>
    </w:pPr>
    <w:rPr>
      <w:rFonts w:ascii="@微软简标宋" w:hAnsi="@微软简标宋" w:eastAsia="@微软简标宋" w:cs="@微软简标宋"/>
      <w:szCs w:val="24"/>
      <w:lang w:val="zh-CN"/>
    </w:r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Body Text Indent"/>
    <w:basedOn w:val="1"/>
    <w:next w:val="13"/>
    <w:qFormat/>
    <w:uiPriority w:val="0"/>
    <w:pPr>
      <w:spacing w:after="120"/>
      <w:ind w:left="420" w:leftChars="200"/>
    </w:pPr>
  </w:style>
  <w:style w:type="paragraph" w:styleId="13">
    <w:name w:val="envelope return"/>
    <w:basedOn w:val="1"/>
    <w:next w:val="8"/>
    <w:qFormat/>
    <w:uiPriority w:val="0"/>
    <w:pPr>
      <w:snapToGrid w:val="0"/>
    </w:pPr>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7"/>
    <w:qFormat/>
    <w:uiPriority w:val="99"/>
    <w:rPr>
      <w:rFonts w:ascii="宋体" w:hAnsi="Courier New" w:eastAsiaTheme="minorEastAsia" w:cstheme="minorBidi"/>
      <w:szCs w:val="22"/>
    </w:rPr>
  </w:style>
  <w:style w:type="paragraph" w:styleId="16">
    <w:name w:val="Date"/>
    <w:basedOn w:val="1"/>
    <w:next w:val="1"/>
    <w:link w:val="54"/>
    <w:qFormat/>
    <w:uiPriority w:val="0"/>
    <w:rPr>
      <w:rFonts w:ascii="Arial" w:hAnsi="Arial" w:eastAsia="宋体" w:cs="Arial"/>
      <w:b/>
      <w:sz w:val="28"/>
    </w:rPr>
  </w:style>
  <w:style w:type="paragraph" w:styleId="17">
    <w:name w:val="Balloon Text"/>
    <w:basedOn w:val="1"/>
    <w:link w:val="41"/>
    <w:semiHidden/>
    <w:unhideWhenUsed/>
    <w:qFormat/>
    <w:uiPriority w:val="99"/>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Body Text First Indent 2"/>
    <w:basedOn w:val="12"/>
    <w:next w:val="1"/>
    <w:qFormat/>
    <w:uiPriority w:val="0"/>
    <w:pPr>
      <w:ind w:firstLine="420" w:firstLineChars="200"/>
    </w:pPr>
  </w:style>
  <w:style w:type="paragraph" w:styleId="20">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List 4"/>
    <w:basedOn w:val="1"/>
    <w:qFormat/>
    <w:uiPriority w:val="0"/>
    <w:pPr>
      <w:ind w:left="1680" w:hanging="420"/>
    </w:p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HTML Definition"/>
    <w:basedOn w:val="26"/>
    <w:semiHidden/>
    <w:unhideWhenUsed/>
    <w:qFormat/>
    <w:uiPriority w:val="99"/>
  </w:style>
  <w:style w:type="character" w:styleId="30">
    <w:name w:val="HTML Typewriter"/>
    <w:basedOn w:val="26"/>
    <w:semiHidden/>
    <w:unhideWhenUsed/>
    <w:qFormat/>
    <w:uiPriority w:val="99"/>
    <w:rPr>
      <w:rFonts w:ascii="monospace" w:hAnsi="monospace" w:eastAsia="monospace" w:cs="monospace"/>
      <w:sz w:val="20"/>
    </w:rPr>
  </w:style>
  <w:style w:type="character" w:styleId="31">
    <w:name w:val="HTML Acronym"/>
    <w:basedOn w:val="26"/>
    <w:semiHidden/>
    <w:unhideWhenUsed/>
    <w:qFormat/>
    <w:uiPriority w:val="99"/>
  </w:style>
  <w:style w:type="character" w:styleId="32">
    <w:name w:val="HTML Variable"/>
    <w:basedOn w:val="26"/>
    <w:semiHidden/>
    <w:unhideWhenUsed/>
    <w:qFormat/>
    <w:uiPriority w:val="99"/>
  </w:style>
  <w:style w:type="character" w:styleId="33">
    <w:name w:val="Hyperlink"/>
    <w:basedOn w:val="26"/>
    <w:unhideWhenUsed/>
    <w:qFormat/>
    <w:uiPriority w:val="99"/>
    <w:rPr>
      <w:color w:val="0000FF" w:themeColor="hyperlink"/>
      <w:u w:val="single"/>
      <w14:textFill>
        <w14:solidFill>
          <w14:schemeClr w14:val="hlink"/>
        </w14:solidFill>
      </w14:textFill>
    </w:rPr>
  </w:style>
  <w:style w:type="character" w:styleId="34">
    <w:name w:val="HTML Code"/>
    <w:basedOn w:val="26"/>
    <w:semiHidden/>
    <w:unhideWhenUsed/>
    <w:qFormat/>
    <w:uiPriority w:val="99"/>
    <w:rPr>
      <w:rFonts w:hint="default" w:ascii="monospace" w:hAnsi="monospace" w:eastAsia="monospace" w:cs="monospace"/>
      <w:sz w:val="20"/>
    </w:rPr>
  </w:style>
  <w:style w:type="character" w:styleId="35">
    <w:name w:val="annotation reference"/>
    <w:basedOn w:val="26"/>
    <w:semiHidden/>
    <w:unhideWhenUsed/>
    <w:qFormat/>
    <w:uiPriority w:val="99"/>
    <w:rPr>
      <w:sz w:val="21"/>
      <w:szCs w:val="21"/>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table" w:styleId="40">
    <w:name w:val="Table Grid"/>
    <w:basedOn w:val="3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批注框文本 字符"/>
    <w:basedOn w:val="26"/>
    <w:link w:val="17"/>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20"/>
    <w:qFormat/>
    <w:uiPriority w:val="0"/>
    <w:pPr>
      <w:pBdr>
        <w:bottom w:val="none" w:color="auto" w:sz="0" w:space="0"/>
      </w:pBdr>
      <w:tabs>
        <w:tab w:val="clear" w:pos="4153"/>
        <w:tab w:val="clear" w:pos="8306"/>
      </w:tabs>
      <w:snapToGrid/>
    </w:pPr>
    <w:rPr>
      <w:kern w:val="0"/>
      <w:sz w:val="24"/>
      <w:szCs w:val="20"/>
    </w:rPr>
  </w:style>
  <w:style w:type="character" w:customStyle="1" w:styleId="45">
    <w:name w:val="页眉 字符"/>
    <w:basedOn w:val="26"/>
    <w:link w:val="20"/>
    <w:qFormat/>
    <w:uiPriority w:val="99"/>
    <w:rPr>
      <w:rFonts w:ascii="@仿宋_GB2312" w:hAnsi="@仿宋_GB2312" w:eastAsia="@仿宋_GB2312" w:cs="@仿宋_GB2312"/>
      <w:sz w:val="18"/>
      <w:szCs w:val="18"/>
    </w:rPr>
  </w:style>
  <w:style w:type="character" w:customStyle="1" w:styleId="46">
    <w:name w:val="页脚 字符"/>
    <w:basedOn w:val="26"/>
    <w:link w:val="18"/>
    <w:qFormat/>
    <w:uiPriority w:val="99"/>
    <w:rPr>
      <w:rFonts w:ascii="@仿宋_GB2312" w:hAnsi="@仿宋_GB2312" w:eastAsia="@仿宋_GB2312" w:cs="@仿宋_GB2312"/>
      <w:sz w:val="18"/>
      <w:szCs w:val="18"/>
    </w:rPr>
  </w:style>
  <w:style w:type="character" w:customStyle="1" w:styleId="47">
    <w:name w:val="纯文本 字符"/>
    <w:link w:val="15"/>
    <w:qFormat/>
    <w:uiPriority w:val="0"/>
    <w:rPr>
      <w:rFonts w:ascii="宋体" w:hAnsi="Courier New"/>
    </w:rPr>
  </w:style>
  <w:style w:type="character" w:customStyle="1" w:styleId="48">
    <w:name w:val="纯文本 字符1"/>
    <w:basedOn w:val="26"/>
    <w:semiHidden/>
    <w:qFormat/>
    <w:uiPriority w:val="99"/>
    <w:rPr>
      <w:rFonts w:hAnsi="Courier New" w:cs="Courier New" w:asciiTheme="minorEastAsia"/>
      <w:szCs w:val="20"/>
    </w:rPr>
  </w:style>
  <w:style w:type="character" w:customStyle="1" w:styleId="49">
    <w:name w:val="未处理的提及1"/>
    <w:basedOn w:val="26"/>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3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6"/>
    <w:semiHidden/>
    <w:qFormat/>
    <w:uiPriority w:val="99"/>
    <w:rPr>
      <w:rFonts w:ascii="@仿宋_GB2312" w:hAnsi="@仿宋_GB2312" w:eastAsia="@仿宋_GB2312" w:cs="@仿宋_GB2312"/>
      <w:szCs w:val="20"/>
    </w:rPr>
  </w:style>
  <w:style w:type="character" w:customStyle="1" w:styleId="54">
    <w:name w:val="日期 字符1"/>
    <w:link w:val="16"/>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26"/>
    <w:semiHidden/>
    <w:qFormat/>
    <w:uiPriority w:val="99"/>
    <w:rPr>
      <w:rFonts w:ascii="@仿宋_GB2312" w:hAnsi="@仿宋_GB2312" w:eastAsia="@仿宋_GB2312" w:cs="@仿宋_GB2312"/>
      <w:szCs w:val="20"/>
    </w:rPr>
  </w:style>
  <w:style w:type="character" w:customStyle="1" w:styleId="57">
    <w:name w:val="批注文字 字符"/>
    <w:link w:val="7"/>
    <w:qFormat/>
    <w:uiPriority w:val="0"/>
    <w:rPr>
      <w:rFonts w:ascii="Arial" w:hAnsi="Arial" w:eastAsia="黑体" w:cs="Arial"/>
      <w:szCs w:val="20"/>
    </w:rPr>
  </w:style>
  <w:style w:type="character" w:customStyle="1" w:styleId="58">
    <w:name w:val="标题 1 字符"/>
    <w:basedOn w:val="26"/>
    <w:link w:val="2"/>
    <w:qFormat/>
    <w:uiPriority w:val="9"/>
    <w:rPr>
      <w:rFonts w:ascii="@仿宋_GB2312" w:hAnsi="@仿宋_GB2312" w:eastAsia="@仿宋_GB2312" w:cs="@仿宋_GB2312"/>
      <w:b/>
      <w:bCs/>
      <w:kern w:val="44"/>
      <w:sz w:val="44"/>
      <w:szCs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6"/>
    <w:link w:val="4"/>
    <w:semiHidden/>
    <w:qFormat/>
    <w:uiPriority w:val="9"/>
    <w:rPr>
      <w:rFonts w:ascii="@仿宋_GB2312" w:hAnsi="@仿宋_GB2312" w:eastAsia="@仿宋_GB2312" w:cs="@仿宋_GB2312"/>
      <w:b/>
      <w:bCs/>
      <w:sz w:val="32"/>
      <w:szCs w:val="32"/>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8">
    <w:name w:val="批注主题 字符"/>
    <w:basedOn w:val="57"/>
    <w:link w:val="6"/>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Layout w:type="fixed"/>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15"/>
    <w:basedOn w:val="26"/>
    <w:qFormat/>
    <w:uiPriority w:val="0"/>
    <w:rPr>
      <w:rFonts w:hint="default" w:ascii="Times New Roman" w:hAnsi="Times New Roman" w:cs="Times New Roman"/>
      <w:color w:val="0000FF"/>
      <w:u w:val="single"/>
    </w:rPr>
  </w:style>
  <w:style w:type="character" w:customStyle="1" w:styleId="74">
    <w:name w:val="10"/>
    <w:basedOn w:val="26"/>
    <w:qFormat/>
    <w:uiPriority w:val="0"/>
    <w:rPr>
      <w:rFonts w:hint="default" w:ascii="Times New Roman" w:hAnsi="Times New Roman" w:cs="Times New Roman"/>
    </w:rPr>
  </w:style>
  <w:style w:type="character" w:customStyle="1" w:styleId="75">
    <w:name w:val="first-child"/>
    <w:basedOn w:val="26"/>
    <w:qFormat/>
    <w:uiPriority w:val="0"/>
  </w:style>
  <w:style w:type="character" w:customStyle="1" w:styleId="76">
    <w:name w:val="layui-this"/>
    <w:basedOn w:val="26"/>
    <w:qFormat/>
    <w:uiPriority w:val="0"/>
    <w:rPr>
      <w:bdr w:val="single" w:color="EEEEEE" w:sz="6" w:space="0"/>
      <w:shd w:val="clear" w:color="auto" w:fill="FFFFFF"/>
    </w:rPr>
  </w:style>
  <w:style w:type="paragraph" w:customStyle="1" w:styleId="77">
    <w:name w:val="Table Paragraph"/>
    <w:basedOn w:val="1"/>
    <w:next w:val="23"/>
    <w:qFormat/>
    <w:uiPriority w:val="0"/>
    <w:rPr>
      <w:rFonts w:ascii="宋体" w:hAnsi="宋体" w:eastAsia="宋体" w:cs="宋体"/>
      <w:lang w:val="zh-CN" w:bidi="zh-CN"/>
    </w:rPr>
  </w:style>
  <w:style w:type="character" w:customStyle="1" w:styleId="78">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9849</Words>
  <Characters>10492</Characters>
  <Lines>1382</Lines>
  <Paragraphs>1452</Paragraphs>
  <TotalTime>1</TotalTime>
  <ScaleCrop>false</ScaleCrop>
  <LinksUpToDate>false</LinksUpToDate>
  <CharactersWithSpaces>10701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2025-04-21T09:29:00Z</cp:lastPrinted>
  <dcterms:modified xsi:type="dcterms:W3CDTF">2025-05-28T00:57:57Z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