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F8D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bookmarkStart w:id="0" w:name="_Hlk9544796"/>
    </w:p>
    <w:p w14:paraId="7B67D5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安徽省政府采购项目</w:t>
      </w:r>
    </w:p>
    <w:p w14:paraId="597F0BF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公开招标文件示范文本</w:t>
      </w:r>
      <w:bookmarkEnd w:id="0"/>
      <w:r>
        <w:rPr>
          <w:rFonts w:hint="eastAsia" w:ascii="宋体" w:hAnsi="宋体" w:eastAsia="宋体"/>
          <w:b/>
          <w:bCs/>
          <w:color w:val="000000" w:themeColor="text1"/>
          <w:sz w:val="52"/>
          <w:szCs w:val="52"/>
          <w14:textFill>
            <w14:solidFill>
              <w14:schemeClr w14:val="tx1"/>
            </w14:solidFill>
          </w14:textFill>
        </w:rPr>
        <w:t>（服务类）</w:t>
      </w:r>
    </w:p>
    <w:p w14:paraId="79FA38E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（2024年版）</w:t>
      </w:r>
    </w:p>
    <w:p w14:paraId="0F66B92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72DA247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35B51F5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008095F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6004F4A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392A63B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5847310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3E317299">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lang w:eastAsia="zh-CN"/>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项目名称：</w:t>
      </w:r>
      <w:r>
        <w:rPr>
          <w:rFonts w:hint="eastAsia" w:ascii="宋体" w:hAnsi="宋体" w:eastAsia="宋体" w:cs="宋体"/>
          <w:b/>
          <w:color w:val="000000" w:themeColor="text1"/>
          <w:spacing w:val="20"/>
          <w:kern w:val="0"/>
          <w:sz w:val="32"/>
          <w:szCs w:val="32"/>
          <w:u w:val="single"/>
          <w:lang w:eastAsia="zh-CN" w:bidi="ar"/>
          <w14:textFill>
            <w14:solidFill>
              <w14:schemeClr w14:val="tx1"/>
            </w14:solidFill>
          </w14:textFill>
        </w:rPr>
        <w:t>滁州市第一人民医院消防系统维保项目（二次）</w:t>
      </w:r>
    </w:p>
    <w:p w14:paraId="0A063E3D">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lang w:eastAsia="zh-CN"/>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项目编号：</w:t>
      </w:r>
      <w:r>
        <w:rPr>
          <w:rFonts w:hint="eastAsia" w:ascii="宋体" w:hAnsi="宋体" w:eastAsia="宋体"/>
          <w:b/>
          <w:color w:val="000000" w:themeColor="text1"/>
          <w:spacing w:val="20"/>
          <w:kern w:val="0"/>
          <w:sz w:val="32"/>
          <w:szCs w:val="32"/>
          <w:u w:val="single"/>
          <w:lang w:eastAsia="zh-CN" w:bidi="ar"/>
          <w14:textFill>
            <w14:solidFill>
              <w14:schemeClr w14:val="tx1"/>
            </w14:solidFill>
          </w14:textFill>
        </w:rPr>
        <w:t>CZYY-2025-54</w:t>
      </w:r>
    </w:p>
    <w:p w14:paraId="2C8E57CB">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采</w:t>
      </w:r>
      <w:r>
        <w:rPr>
          <w:rFonts w:hint="eastAsia" w:ascii="宋体" w:hAnsi="宋体" w:eastAsia="宋体"/>
          <w:b/>
          <w:color w:val="000000" w:themeColor="text1"/>
          <w:spacing w:val="20"/>
          <w:kern w:val="0"/>
          <w:sz w:val="32"/>
          <w:szCs w:val="32"/>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lang w:bidi="ar"/>
          <w14:textFill>
            <w14:solidFill>
              <w14:schemeClr w14:val="tx1"/>
            </w14:solidFill>
          </w14:textFill>
        </w:rPr>
        <w:t>购</w:t>
      </w:r>
      <w:r>
        <w:rPr>
          <w:rFonts w:hint="eastAsia" w:ascii="宋体" w:hAnsi="宋体" w:eastAsia="宋体"/>
          <w:b/>
          <w:color w:val="000000" w:themeColor="text1"/>
          <w:spacing w:val="20"/>
          <w:kern w:val="0"/>
          <w:sz w:val="32"/>
          <w:szCs w:val="32"/>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lang w:bidi="ar"/>
          <w14:textFill>
            <w14:solidFill>
              <w14:schemeClr w14:val="tx1"/>
            </w14:solidFill>
          </w14:textFill>
        </w:rPr>
        <w:t>人：</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滁州市第一人民医院</w:t>
      </w:r>
    </w:p>
    <w:p w14:paraId="6BCAD1F9">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采购代理机构：</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安徽百士德工程咨询有限公司</w:t>
      </w:r>
    </w:p>
    <w:p w14:paraId="5EE62562">
      <w:pPr>
        <w:spacing w:before="312" w:beforeLines="100" w:after="156" w:afterLines="50" w:line="500" w:lineRule="exact"/>
        <w:ind w:right="267" w:rightChars="127"/>
        <w:jc w:val="center"/>
        <w:rPr>
          <w:rFonts w:hint="eastAsia"/>
          <w:color w:val="000000" w:themeColor="text1"/>
          <w14:textFill>
            <w14:solidFill>
              <w14:schemeClr w14:val="tx1"/>
            </w14:solidFill>
          </w14:textFill>
        </w:rPr>
      </w:pPr>
      <w:r>
        <w:rPr>
          <w:rFonts w:hint="eastAsia" w:ascii="宋体" w:hAnsi="宋体" w:eastAsia="宋体" w:cs="宋体"/>
          <w:b/>
          <w:color w:val="000000" w:themeColor="text1"/>
          <w:sz w:val="36"/>
          <w:szCs w:val="36"/>
          <w:u w:val="single"/>
          <w:lang w:bidi="ar"/>
          <w14:textFill>
            <w14:solidFill>
              <w14:schemeClr w14:val="tx1"/>
            </w14:solidFill>
          </w14:textFill>
        </w:rPr>
        <w:t>202</w:t>
      </w:r>
      <w:r>
        <w:rPr>
          <w:rFonts w:hint="eastAsia" w:ascii="宋体" w:hAnsi="宋体" w:eastAsia="宋体" w:cs="宋体"/>
          <w:b/>
          <w:color w:val="000000" w:themeColor="text1"/>
          <w:sz w:val="36"/>
          <w:szCs w:val="36"/>
          <w:u w:val="single"/>
          <w:lang w:val="en-US" w:eastAsia="zh-CN" w:bidi="ar"/>
          <w14:textFill>
            <w14:solidFill>
              <w14:schemeClr w14:val="tx1"/>
            </w14:solidFill>
          </w14:textFill>
        </w:rPr>
        <w:t>5</w:t>
      </w:r>
      <w:r>
        <w:rPr>
          <w:rFonts w:hint="eastAsia" w:ascii="宋体" w:hAnsi="宋体" w:eastAsia="宋体" w:cs="宋体"/>
          <w:b/>
          <w:color w:val="000000" w:themeColor="text1"/>
          <w:sz w:val="36"/>
          <w:szCs w:val="36"/>
          <w:lang w:bidi="ar"/>
          <w14:textFill>
            <w14:solidFill>
              <w14:schemeClr w14:val="tx1"/>
            </w14:solidFill>
          </w14:textFill>
        </w:rPr>
        <w:t>年</w:t>
      </w:r>
      <w:r>
        <w:rPr>
          <w:rFonts w:hint="eastAsia" w:ascii="宋体" w:hAnsi="宋体" w:eastAsia="宋体" w:cs="宋体"/>
          <w:b/>
          <w:color w:val="000000" w:themeColor="text1"/>
          <w:sz w:val="36"/>
          <w:szCs w:val="36"/>
          <w:u w:val="single"/>
          <w:lang w:val="en-US" w:eastAsia="zh-CN" w:bidi="ar"/>
          <w14:textFill>
            <w14:solidFill>
              <w14:schemeClr w14:val="tx1"/>
            </w14:solidFill>
          </w14:textFill>
        </w:rPr>
        <w:t>10</w:t>
      </w:r>
      <w:r>
        <w:rPr>
          <w:rFonts w:hint="eastAsia" w:ascii="宋体" w:hAnsi="宋体" w:eastAsia="宋体" w:cs="宋体"/>
          <w:b/>
          <w:color w:val="000000" w:themeColor="text1"/>
          <w:sz w:val="36"/>
          <w:szCs w:val="36"/>
          <w:lang w:bidi="ar"/>
          <w14:textFill>
            <w14:solidFill>
              <w14:schemeClr w14:val="tx1"/>
            </w14:solidFill>
          </w14:textFill>
        </w:rPr>
        <w:t>月</w:t>
      </w:r>
    </w:p>
    <w:p w14:paraId="111C96DD">
      <w:pPr>
        <w:tabs>
          <w:tab w:val="left" w:pos="2410"/>
        </w:tabs>
        <w:autoSpaceDE w:val="0"/>
        <w:autoSpaceDN w:val="0"/>
        <w:adjustRightInd w:val="0"/>
        <w:snapToGrid w:val="0"/>
        <w:spacing w:line="360" w:lineRule="auto"/>
        <w:jc w:val="center"/>
        <w:rPr>
          <w:rFonts w:hint="eastAsia" w:ascii="宋体" w:hAnsi="宋体" w:eastAsia="宋体"/>
          <w:b/>
          <w:color w:val="000000" w:themeColor="text1"/>
          <w:sz w:val="28"/>
          <w14:textFill>
            <w14:solidFill>
              <w14:schemeClr w14:val="tx1"/>
            </w14:solidFill>
          </w14:textFill>
        </w:rPr>
      </w:pPr>
      <w:r>
        <w:rPr>
          <w:rFonts w:ascii="宋体" w:hAnsi="宋体" w:eastAsia="宋体"/>
          <w:b/>
          <w:color w:val="000000" w:themeColor="text1"/>
          <w:sz w:val="36"/>
          <w14:textFill>
            <w14:solidFill>
              <w14:schemeClr w14:val="tx1"/>
            </w14:solidFill>
          </w14:textFill>
        </w:rPr>
        <w:br w:type="page"/>
      </w:r>
      <w:r>
        <w:rPr>
          <w:rFonts w:hint="eastAsia" w:ascii="宋体" w:hAnsi="宋体" w:eastAsia="宋体"/>
          <w:b/>
          <w:color w:val="000000" w:themeColor="text1"/>
          <w:sz w:val="28"/>
          <w14:textFill>
            <w14:solidFill>
              <w14:schemeClr w14:val="tx1"/>
            </w14:solidFill>
          </w14:textFill>
        </w:rPr>
        <w:t>目  录</w:t>
      </w:r>
    </w:p>
    <w:p w14:paraId="10D46019">
      <w:pPr>
        <w:pStyle w:val="19"/>
        <w:tabs>
          <w:tab w:val="right" w:leader="dot" w:pos="8306"/>
        </w:tabs>
        <w:rPr>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fldChar w:fldCharType="begin"/>
      </w:r>
      <w:r>
        <w:rPr>
          <w:rFonts w:asciiTheme="minorEastAsia" w:hAnsiTheme="minorEastAsia"/>
          <w:b/>
          <w:color w:val="000000" w:themeColor="text1"/>
          <w:sz w:val="24"/>
          <w:szCs w:val="24"/>
          <w14:textFill>
            <w14:solidFill>
              <w14:schemeClr w14:val="tx1"/>
            </w14:solidFill>
          </w14:textFill>
        </w:rPr>
        <w:instrText xml:space="preserve"> </w:instrText>
      </w:r>
      <w:r>
        <w:rPr>
          <w:rFonts w:hint="eastAsia" w:asciiTheme="minorEastAsia" w:hAnsiTheme="minorEastAsia"/>
          <w:b/>
          <w:color w:val="000000" w:themeColor="text1"/>
          <w:sz w:val="24"/>
          <w:szCs w:val="24"/>
          <w14:textFill>
            <w14:solidFill>
              <w14:schemeClr w14:val="tx1"/>
            </w14:solidFill>
          </w14:textFill>
        </w:rPr>
        <w:instrText xml:space="preserve">TOC \o "1-2" \h \z \u</w:instrText>
      </w:r>
      <w:r>
        <w:rPr>
          <w:rFonts w:asciiTheme="minorEastAsia" w:hAnsiTheme="minorEastAsia"/>
          <w:b/>
          <w:color w:val="000000" w:themeColor="text1"/>
          <w:sz w:val="24"/>
          <w:szCs w:val="24"/>
          <w14:textFill>
            <w14:solidFill>
              <w14:schemeClr w14:val="tx1"/>
            </w14:solidFill>
          </w14:textFill>
        </w:rPr>
        <w:instrText xml:space="preserve"> </w:instrText>
      </w:r>
      <w:r>
        <w:rPr>
          <w:rFonts w:asciiTheme="minorEastAsia" w:hAnsiTheme="minorEastAsia"/>
          <w:b/>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"_Toc23443"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 xml:space="preserve">第一章 </w:t>
      </w:r>
      <w:r>
        <w:rPr>
          <w:rFonts w:asciiTheme="minorEastAsia" w:hAnsiTheme="minorEastAsia"/>
          <w:color w:val="000000" w:themeColor="text1"/>
          <w:sz w:val="24"/>
          <w:szCs w:val="24"/>
          <w14:textFill>
            <w14:solidFill>
              <w14:schemeClr w14:val="tx1"/>
            </w14:solidFill>
          </w14:textFill>
        </w:rPr>
        <w:t xml:space="preserve"> 投标邀请</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_Toc23443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E776152">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"_Toc31935"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第二章</w:t>
      </w:r>
      <w:r>
        <w:rPr>
          <w:rFonts w:asciiTheme="minorEastAsia" w:hAnsiTheme="minorEastAsia"/>
          <w:color w:val="000000" w:themeColor="text1"/>
          <w:sz w:val="24"/>
          <w:szCs w:val="24"/>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投标人须知</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_Toc31935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04DD5026">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"_Toc10891"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第三章  采购需求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_Toc10891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9586E9D">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"_Toc4328"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第四章  评标方法和标准（综合评分法）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_Toc4328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26</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10984857">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"_Toc4682"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 xml:space="preserve">第五章  </w:t>
      </w:r>
      <w:r>
        <w:rPr>
          <w:rFonts w:asciiTheme="minorEastAsia" w:hAnsiTheme="minorEastAsia"/>
          <w:color w:val="000000" w:themeColor="text1"/>
          <w:sz w:val="24"/>
          <w:szCs w:val="24"/>
          <w14:textFill>
            <w14:solidFill>
              <w14:schemeClr w14:val="tx1"/>
            </w14:solidFill>
          </w14:textFill>
        </w:rPr>
        <w:t>政府采购合同</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_Toc4682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D1BFA23">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"_Toc22492"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第六章  投标文件格式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_Toc22492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7557E3F5">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"_Toc18131"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第七章</w:t>
      </w:r>
      <w:r>
        <w:rPr>
          <w:rFonts w:hint="eastAsia" w:ascii="宋体" w:hAnsi="宋体" w:eastAsia="宋体"/>
          <w:bCs/>
          <w:color w:val="000000" w:themeColor="text1"/>
          <w:sz w:val="24"/>
          <w:szCs w:val="24"/>
          <w14:textFill>
            <w14:solidFill>
              <w14:schemeClr w14:val="tx1"/>
            </w14:solidFill>
          </w14:textFill>
        </w:rPr>
        <w:t xml:space="preserve">  政府采购</w:t>
      </w:r>
      <w:r>
        <w:rPr>
          <w:rFonts w:hint="eastAsia" w:asciiTheme="minorEastAsia" w:hAnsiTheme="minorEastAsia"/>
          <w:color w:val="000000" w:themeColor="text1"/>
          <w:sz w:val="24"/>
          <w:szCs w:val="24"/>
          <w14:textFill>
            <w14:solidFill>
              <w14:schemeClr w14:val="tx1"/>
            </w14:solidFill>
          </w14:textFill>
        </w:rPr>
        <w:t>供应</w:t>
      </w:r>
      <w:r>
        <w:rPr>
          <w:rFonts w:hint="eastAsia" w:ascii="宋体" w:hAnsi="宋体" w:eastAsia="宋体"/>
          <w:bCs/>
          <w:color w:val="000000" w:themeColor="text1"/>
          <w:sz w:val="24"/>
          <w:szCs w:val="24"/>
          <w14:textFill>
            <w14:solidFill>
              <w14:schemeClr w14:val="tx1"/>
            </w14:solidFill>
          </w14:textFill>
        </w:rPr>
        <w:t>商询问函和质疑函范本</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_Toc18131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47D126A3">
      <w:pPr>
        <w:spacing w:line="360" w:lineRule="auto"/>
        <w:rPr>
          <w:rFonts w:hint="eastAsia" w:asciiTheme="minorEastAsia" w:hAnsiTheme="minorEastAsia" w:eastAsiaTheme="minorEastAsia"/>
          <w:b/>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fldChar w:fldCharType="end"/>
      </w:r>
    </w:p>
    <w:p w14:paraId="04EE4CBD">
      <w:pPr>
        <w:pStyle w:val="10"/>
        <w:rPr>
          <w:rFonts w:hint="eastAsia"/>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8F7EE46">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1" w:name="_Toc23443"/>
      <w:r>
        <w:rPr>
          <w:rFonts w:hint="eastAsia" w:asciiTheme="minorEastAsia" w:hAnsiTheme="minorEastAsia" w:eastAsiaTheme="minorEastAsia"/>
          <w:b/>
          <w:color w:val="000000" w:themeColor="text1"/>
          <w:sz w:val="28"/>
          <w14:textFill>
            <w14:solidFill>
              <w14:schemeClr w14:val="tx1"/>
            </w14:solidFill>
          </w14:textFill>
        </w:rPr>
        <w:t xml:space="preserve">第一章 </w:t>
      </w:r>
      <w:r>
        <w:rPr>
          <w:rFonts w:asciiTheme="minorEastAsia" w:hAnsiTheme="minorEastAsia" w:eastAsiaTheme="minorEastAsia"/>
          <w:b/>
          <w:color w:val="000000" w:themeColor="text1"/>
          <w:sz w:val="28"/>
          <w14:textFill>
            <w14:solidFill>
              <w14:schemeClr w14:val="tx1"/>
            </w14:solidFill>
          </w14:textFill>
        </w:rPr>
        <w:t xml:space="preserve"> 投标邀请</w:t>
      </w:r>
      <w:bookmarkEnd w:id="1"/>
    </w:p>
    <w:p w14:paraId="4A7CB9F0">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2" w:name="_Toc1215"/>
      <w:bookmarkEnd w:id="2"/>
      <w:bookmarkStart w:id="3" w:name="_Toc31935"/>
      <w:r>
        <w:rPr>
          <w:rFonts w:hint="eastAsia" w:ascii="宋体" w:hAnsi="宋体" w:eastAsia="宋体" w:cs="宋体"/>
          <w:color w:val="000000" w:themeColor="text1"/>
          <w:sz w:val="24"/>
          <w:szCs w:val="24"/>
          <w:lang w:bidi="ar"/>
          <w14:textFill>
            <w14:solidFill>
              <w14:schemeClr w14:val="tx1"/>
            </w14:solidFill>
          </w14:textFill>
        </w:rPr>
        <w:t>项目概况</w:t>
      </w:r>
    </w:p>
    <w:p w14:paraId="2DF6031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lang w:eastAsia="zh-CN" w:bidi="ar"/>
          <w14:textFill>
            <w14:solidFill>
              <w14:schemeClr w14:val="tx1"/>
            </w14:solidFill>
          </w14:textFill>
        </w:rPr>
        <w:t>滁州市第一人民医院消防系统维保项目（二次）</w:t>
      </w:r>
      <w:r>
        <w:rPr>
          <w:rFonts w:hint="eastAsia" w:ascii="宋体" w:hAnsi="宋体" w:eastAsia="宋体" w:cs="宋体"/>
          <w:color w:val="000000" w:themeColor="text1"/>
          <w:sz w:val="24"/>
          <w:szCs w:val="24"/>
          <w:lang w:bidi="ar"/>
          <w14:textFill>
            <w14:solidFill>
              <w14:schemeClr w14:val="tx1"/>
            </w14:solidFill>
          </w14:textFill>
        </w:rPr>
        <w:t>招标项目的潜在投标人应在</w:t>
      </w:r>
      <w:r>
        <w:rPr>
          <w:rFonts w:hint="eastAsia" w:ascii="宋体" w:hAnsi="宋体" w:eastAsia="宋体" w:cs="宋体"/>
          <w:color w:val="000000" w:themeColor="text1"/>
          <w:sz w:val="24"/>
          <w:szCs w:val="24"/>
          <w:u w:val="single"/>
          <w:lang w:bidi="ar"/>
          <w14:textFill>
            <w14:solidFill>
              <w14:schemeClr w14:val="tx1"/>
            </w14:solidFill>
          </w14:textFill>
        </w:rPr>
        <w:t>滁州市第一人民医院网（http://www.czdyrmyy.com/）</w:t>
      </w:r>
      <w:r>
        <w:rPr>
          <w:rFonts w:hint="eastAsia" w:ascii="宋体" w:hAnsi="宋体" w:eastAsia="宋体" w:cs="宋体"/>
          <w:color w:val="000000" w:themeColor="text1"/>
          <w:sz w:val="24"/>
          <w:szCs w:val="24"/>
          <w:lang w:bidi="ar"/>
          <w14:textFill>
            <w14:solidFill>
              <w14:schemeClr w14:val="tx1"/>
            </w14:solidFill>
          </w14:textFill>
        </w:rPr>
        <w:t>获取招标文件，并于</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6</w:t>
      </w:r>
      <w:r>
        <w:rPr>
          <w:rFonts w:hint="eastAsia" w:ascii="宋体" w:hAnsi="宋体" w:eastAsia="宋体" w:cs="宋体"/>
          <w:bCs/>
          <w:color w:val="000000" w:themeColor="text1"/>
          <w:sz w:val="24"/>
          <w:szCs w:val="24"/>
          <w:u w:val="single"/>
          <w:lang w:bidi="ar"/>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15 </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51E1F142">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35393621"/>
      <w:bookmarkEnd w:id="4"/>
      <w:bookmarkStart w:id="5" w:name="_Toc28359079"/>
      <w:bookmarkEnd w:id="5"/>
      <w:bookmarkStart w:id="6" w:name="_Toc28359002"/>
      <w:bookmarkEnd w:id="6"/>
      <w:bookmarkStart w:id="7" w:name="_Toc58430305"/>
      <w:bookmarkEnd w:id="7"/>
      <w:bookmarkStart w:id="8" w:name="_Toc35393790"/>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3F151A2">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w:t>
      </w:r>
      <w:r>
        <w:rPr>
          <w:rFonts w:hint="eastAsia" w:ascii="宋体" w:hAnsi="宋体" w:eastAsia="宋体" w:cs="宋体"/>
          <w:color w:val="000000" w:themeColor="text1"/>
          <w:sz w:val="24"/>
          <w:szCs w:val="24"/>
          <w:lang w:eastAsia="zh-CN" w:bidi="ar"/>
          <w14:textFill>
            <w14:solidFill>
              <w14:schemeClr w14:val="tx1"/>
            </w14:solidFill>
          </w14:textFill>
        </w:rPr>
        <w:t>CZYY-2025-54</w:t>
      </w:r>
    </w:p>
    <w:p w14:paraId="3BD599D4">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滁州市第一人民医院消防系统维保项目（二次）</w:t>
      </w:r>
    </w:p>
    <w:p w14:paraId="0C7B3C0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w:t>
      </w:r>
      <w:r>
        <w:rPr>
          <w:rFonts w:hint="eastAsia" w:ascii="宋体" w:hAnsi="宋体" w:eastAsia="宋体" w:cs="宋体"/>
          <w:color w:val="000000" w:themeColor="text1"/>
          <w:sz w:val="24"/>
          <w:szCs w:val="24"/>
          <w:lang w:val="en-US" w:eastAsia="zh-CN" w:bidi="ar"/>
          <w14:textFill>
            <w14:solidFill>
              <w14:schemeClr w14:val="tx1"/>
            </w14:solidFill>
          </w14:textFill>
        </w:rPr>
        <w:t>266000</w:t>
      </w:r>
      <w:r>
        <w:rPr>
          <w:rFonts w:hint="eastAsia" w:ascii="宋体" w:hAnsi="宋体" w:eastAsia="宋体" w:cs="宋体"/>
          <w:color w:val="000000" w:themeColor="text1"/>
          <w:sz w:val="24"/>
          <w:szCs w:val="24"/>
          <w:lang w:bidi="ar"/>
          <w14:textFill>
            <w14:solidFill>
              <w14:schemeClr w14:val="tx1"/>
            </w14:solidFill>
          </w14:textFill>
        </w:rPr>
        <w:t>元/年</w:t>
      </w:r>
    </w:p>
    <w:p w14:paraId="6EBA7C22">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w:t>
      </w:r>
      <w:r>
        <w:rPr>
          <w:rFonts w:hint="eastAsia" w:ascii="宋体" w:hAnsi="宋体" w:eastAsia="宋体" w:cs="宋体"/>
          <w:color w:val="000000" w:themeColor="text1"/>
          <w:sz w:val="24"/>
          <w:szCs w:val="24"/>
          <w:lang w:val="en-US" w:eastAsia="zh-CN" w:bidi="ar"/>
          <w14:textFill>
            <w14:solidFill>
              <w14:schemeClr w14:val="tx1"/>
            </w14:solidFill>
          </w14:textFill>
        </w:rPr>
        <w:t>266000</w:t>
      </w:r>
      <w:r>
        <w:rPr>
          <w:rFonts w:hint="eastAsia" w:ascii="宋体" w:hAnsi="宋体" w:eastAsia="宋体" w:cs="宋体"/>
          <w:color w:val="000000" w:themeColor="text1"/>
          <w:sz w:val="24"/>
          <w:szCs w:val="24"/>
          <w:lang w:bidi="ar"/>
          <w14:textFill>
            <w14:solidFill>
              <w14:schemeClr w14:val="tx1"/>
            </w14:solidFill>
          </w14:textFill>
        </w:rPr>
        <w:t>元/年，</w:t>
      </w:r>
      <w:r>
        <w:rPr>
          <w:rFonts w:hint="eastAsia" w:ascii="宋体" w:hAnsi="宋体" w:eastAsia="宋体" w:cs="宋体"/>
          <w:color w:val="000000" w:themeColor="text1"/>
          <w:kern w:val="0"/>
          <w:sz w:val="24"/>
          <w:szCs w:val="24"/>
          <w14:textFill>
            <w14:solidFill>
              <w14:schemeClr w14:val="tx1"/>
            </w14:solidFill>
          </w14:textFill>
        </w:rPr>
        <w:t>投标报价不得高于最高限价，否则其投标文件按无效投标处理。</w:t>
      </w:r>
    </w:p>
    <w:p w14:paraId="033908E9">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本</w:t>
      </w:r>
      <w:r>
        <w:rPr>
          <w:rFonts w:hint="eastAsia" w:ascii="宋体" w:hAnsi="宋体" w:eastAsia="宋体" w:cs="宋体"/>
          <w:color w:val="000000" w:themeColor="text1"/>
          <w:kern w:val="0"/>
          <w:sz w:val="24"/>
          <w:szCs w:val="24"/>
          <w:lang w:val="en-US" w:eastAsia="zh-CN"/>
          <w14:textFill>
            <w14:solidFill>
              <w14:schemeClr w14:val="tx1"/>
            </w14:solidFill>
          </w14:textFill>
        </w:rPr>
        <w:t>项目</w:t>
      </w:r>
      <w:r>
        <w:rPr>
          <w:rFonts w:hint="eastAsia" w:ascii="宋体" w:hAnsi="宋体" w:eastAsia="宋体" w:cs="宋体"/>
          <w:color w:val="000000" w:themeColor="text1"/>
          <w:kern w:val="0"/>
          <w:sz w:val="24"/>
          <w:szCs w:val="24"/>
          <w14:textFill>
            <w14:solidFill>
              <w14:schemeClr w14:val="tx1"/>
            </w14:solidFill>
          </w14:textFill>
        </w:rPr>
        <w:t>消防维保服务范围包括：消防自动报警系统及相关消防设施的日常维修保养；消防系统和器材的零配件供应保障；以及消防系统、设施、电气的第三方年度检测与消防安全评估工作</w:t>
      </w:r>
      <w:r>
        <w:rPr>
          <w:rFonts w:hint="eastAsia" w:ascii="宋体" w:hAnsi="宋体" w:eastAsia="宋体" w:cs="宋体"/>
          <w:color w:val="000000" w:themeColor="text1"/>
          <w:kern w:val="0"/>
          <w:sz w:val="24"/>
          <w:szCs w:val="24"/>
          <w:lang w:val="en-US" w:eastAsia="zh-CN"/>
          <w14:textFill>
            <w14:solidFill>
              <w14:schemeClr w14:val="tx1"/>
            </w14:solidFill>
          </w14:textFill>
        </w:rPr>
        <w:t>。</w:t>
      </w:r>
    </w:p>
    <w:p w14:paraId="3E177D21">
      <w:pPr>
        <w:pStyle w:val="22"/>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合同履行期限：</w:t>
      </w:r>
      <w:r>
        <w:rPr>
          <w:rFonts w:hint="eastAsia" w:asciiTheme="majorEastAsia" w:hAnsiTheme="majorEastAsia" w:eastAsiaTheme="majorEastAsia" w:cstheme="majorEastAsia"/>
          <w:b w:val="0"/>
          <w:bCs/>
          <w:color w:val="000000" w:themeColor="text1"/>
          <w:kern w:val="2"/>
          <w:sz w:val="24"/>
          <w:szCs w:val="24"/>
          <w:highlight w:val="none"/>
          <w:lang w:val="en-US" w:eastAsia="zh-CN" w:bidi="ar-SA"/>
          <w14:textFill>
            <w14:solidFill>
              <w14:schemeClr w14:val="tx1"/>
            </w14:solidFill>
          </w14:textFill>
        </w:rPr>
        <w:t>本合同期限为三年，采用1+1+1模式</w:t>
      </w:r>
      <w:r>
        <w:rPr>
          <w:rFonts w:hint="eastAsia" w:ascii="宋体" w:hAnsi="宋体" w:eastAsia="宋体" w:cs="宋体"/>
          <w:color w:val="000000" w:themeColor="text1"/>
          <w:kern w:val="2"/>
          <w:szCs w:val="24"/>
          <w:highlight w:val="none"/>
          <w:lang w:bidi="ar"/>
          <w14:textFill>
            <w14:solidFill>
              <w14:schemeClr w14:val="tx1"/>
            </w14:solidFill>
          </w14:textFill>
        </w:rPr>
        <w:t>。</w:t>
      </w:r>
    </w:p>
    <w:p w14:paraId="2628347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6F71325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35393791"/>
      <w:bookmarkEnd w:id="10"/>
      <w:bookmarkStart w:id="11" w:name="_Toc35393622"/>
      <w:bookmarkEnd w:id="11"/>
      <w:bookmarkStart w:id="12" w:name="_Toc58430306"/>
      <w:bookmarkEnd w:id="12"/>
      <w:bookmarkStart w:id="13" w:name="_Toc28359003"/>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64A4F22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32D1B54A">
      <w:pPr>
        <w:spacing w:line="560" w:lineRule="exact"/>
        <w:ind w:firstLine="48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w:t>
      </w:r>
      <w:bookmarkEnd w:id="16"/>
      <w:r>
        <w:rPr>
          <w:rFonts w:hint="eastAsia" w:ascii="宋体" w:hAnsi="宋体" w:eastAsia="宋体" w:cs="宋体"/>
          <w:color w:val="000000" w:themeColor="text1"/>
          <w:sz w:val="24"/>
          <w:szCs w:val="24"/>
          <w:lang w:bidi="ar"/>
          <w14:textFill>
            <w14:solidFill>
              <w14:schemeClr w14:val="tx1"/>
            </w14:solidFill>
          </w14:textFill>
        </w:rPr>
        <w:t>本项目的特定资格要求：</w:t>
      </w:r>
      <w:r>
        <w:rPr>
          <w:rFonts w:hint="eastAsia" w:ascii="宋体" w:hAnsi="宋体" w:eastAsia="宋体" w:cs="宋体"/>
          <w:color w:val="000000" w:themeColor="text1"/>
          <w:sz w:val="24"/>
          <w:szCs w:val="24"/>
          <w:lang w:val="en-US" w:eastAsia="zh-CN" w:bidi="ar"/>
          <w14:textFill>
            <w14:solidFill>
              <w14:schemeClr w14:val="tx1"/>
            </w14:solidFill>
          </w14:textFill>
        </w:rPr>
        <w:t>①投标人在 “社会消防技术服务信息系统”（https://shhxf.119.gov.cn）登记，且登记类型(或服务类型)包含“消防设施维护保养检测”。（提供网页截图）</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；②拟派项目技术人员至少一名，需持有本单位注册的《一级注册消防工程师证书》；</w:t>
      </w:r>
    </w:p>
    <w:p w14:paraId="6AA1EEE8">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lang w:bidi="ar"/>
          <w14:textFill>
            <w14:solidFill>
              <w14:schemeClr w14:val="tx1"/>
            </w14:solidFill>
          </w14:textFill>
        </w:rPr>
        <w:t>.信誉要求：投标人不得存在以下情形：</w:t>
      </w:r>
    </w:p>
    <w:p w14:paraId="61573CA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6ABED4F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35FD0310">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466B55E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ECB57A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79EDBE1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30A242D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4</w:t>
      </w:r>
      <w:r>
        <w:rPr>
          <w:rFonts w:hint="eastAsia" w:ascii="宋体" w:hAnsi="宋体" w:eastAsia="宋体" w:cs="宋体"/>
          <w:color w:val="000000" w:themeColor="text1"/>
          <w:sz w:val="24"/>
          <w:szCs w:val="24"/>
          <w:lang w:bidi="ar"/>
          <w14:textFill>
            <w14:solidFill>
              <w14:schemeClr w14:val="tx1"/>
            </w14:solidFill>
          </w14:textFill>
        </w:rPr>
        <w:t>.投标人所属分公司、办事处等分支机构存在第4款信誉要求①-⑥项情形之一的，接受投标人参加本项目。</w:t>
      </w:r>
    </w:p>
    <w:p w14:paraId="5BEAD47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w:t>
      </w:r>
      <w:r>
        <w:rPr>
          <w:rFonts w:hint="eastAsia" w:ascii="宋体" w:hAnsi="宋体" w:eastAsia="宋体" w:cs="宋体"/>
          <w:color w:val="000000" w:themeColor="text1"/>
          <w:sz w:val="24"/>
          <w:szCs w:val="24"/>
          <w:lang w:val="en-US" w:eastAsia="zh-CN" w:bidi="ar"/>
          <w14:textFill>
            <w14:solidFill>
              <w14:schemeClr w14:val="tx1"/>
            </w14:solidFill>
          </w14:textFill>
        </w:rPr>
        <w:t>3、4</w:t>
      </w:r>
      <w:r>
        <w:rPr>
          <w:rFonts w:hint="eastAsia" w:ascii="宋体" w:hAnsi="宋体" w:eastAsia="宋体" w:cs="宋体"/>
          <w:color w:val="000000" w:themeColor="text1"/>
          <w:sz w:val="24"/>
          <w:szCs w:val="24"/>
          <w:lang w:bidi="ar"/>
          <w14:textFill>
            <w14:solidFill>
              <w14:schemeClr w14:val="tx1"/>
            </w14:solidFill>
          </w14:textFill>
        </w:rPr>
        <w:t>条按照“关于联合惩戒失信行为加强信用查询管理的通知”查询或承诺。</w:t>
      </w:r>
    </w:p>
    <w:p w14:paraId="5AE6F44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623"/>
      <w:bookmarkEnd w:id="17"/>
      <w:bookmarkStart w:id="18" w:name="_Toc35393792"/>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693680CA">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30</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6</w:t>
      </w:r>
      <w:bookmarkStart w:id="227" w:name="_GoBack"/>
      <w:bookmarkEnd w:id="227"/>
      <w:r>
        <w:rPr>
          <w:rFonts w:hint="eastAsia" w:ascii="宋体" w:hAnsi="宋体" w:eastAsia="宋体" w:cs="宋体"/>
          <w:color w:val="000000" w:themeColor="text1"/>
          <w:sz w:val="24"/>
          <w:szCs w:val="24"/>
          <w:u w:val="single"/>
          <w:lang w:bidi="ar"/>
          <w14:textFill>
            <w14:solidFill>
              <w14:schemeClr w14:val="tx1"/>
            </w14:solidFill>
          </w14:textFill>
        </w:rPr>
        <w:t>日</w:t>
      </w:r>
    </w:p>
    <w:p w14:paraId="6AF7B147">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B58E036">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5B9E555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28359082"/>
      <w:bookmarkEnd w:id="20"/>
      <w:bookmarkStart w:id="21" w:name="_Toc28359005"/>
      <w:bookmarkEnd w:id="21"/>
      <w:bookmarkStart w:id="22" w:name="_Toc35393624"/>
      <w:bookmarkEnd w:id="22"/>
      <w:bookmarkStart w:id="23" w:name="_Toc35393793"/>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w:t>
      </w:r>
      <w:bookmarkEnd w:id="24"/>
      <w:r>
        <w:rPr>
          <w:rFonts w:hint="eastAsia" w:ascii="宋体" w:hAnsi="宋体" w:eastAsia="宋体" w:cs="宋体"/>
          <w:b/>
          <w:bCs/>
          <w:color w:val="000000" w:themeColor="text1"/>
          <w:sz w:val="24"/>
          <w:szCs w:val="24"/>
          <w:lang w:bidi="ar"/>
          <w14:textFill>
            <w14:solidFill>
              <w14:schemeClr w14:val="tx1"/>
            </w14:solidFill>
          </w14:textFill>
        </w:rPr>
        <w:t>提交投标文件截止时间、开标时间和地点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bookmarkStart w:id="25" w:name="_Toc35393625"/>
      <w:bookmarkEnd w:id="25"/>
      <w:bookmarkStart w:id="26" w:name="_Toc58430309"/>
      <w:bookmarkEnd w:id="26"/>
      <w:bookmarkStart w:id="27" w:name="_Toc28359007"/>
      <w:bookmarkEnd w:id="27"/>
      <w:bookmarkStart w:id="28" w:name="_Toc35393794"/>
      <w:bookmarkEnd w:id="28"/>
      <w:bookmarkStart w:id="29" w:name="_Toc28359084"/>
      <w:r>
        <w:rPr>
          <w:rFonts w:hint="eastAsia" w:ascii="宋体" w:hAnsi="宋体" w:eastAsia="宋体" w:cs="宋体"/>
          <w:bCs/>
          <w:color w:val="000000" w:themeColor="text1"/>
          <w:sz w:val="24"/>
          <w:szCs w:val="24"/>
          <w:u w:val="none"/>
          <w:lang w:val="en-US" w:eastAsia="zh-CN"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6</w:t>
      </w:r>
      <w:r>
        <w:rPr>
          <w:rFonts w:hint="eastAsia" w:ascii="宋体" w:hAnsi="宋体" w:eastAsia="宋体" w:cs="宋体"/>
          <w:bCs/>
          <w:color w:val="000000" w:themeColor="text1"/>
          <w:sz w:val="24"/>
          <w:szCs w:val="24"/>
          <w:u w:val="single"/>
          <w:lang w:bidi="ar"/>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15时</w:t>
      </w:r>
      <w:r>
        <w:rPr>
          <w:rFonts w:hint="eastAsia" w:ascii="宋体" w:hAnsi="宋体" w:eastAsia="宋体" w:cs="宋体"/>
          <w:bCs/>
          <w:color w:val="000000" w:themeColor="text1"/>
          <w:sz w:val="24"/>
          <w:szCs w:val="24"/>
          <w:u w:val="single"/>
          <w:lang w:bidi="ar"/>
          <w14:textFill>
            <w14:solidFill>
              <w14:schemeClr w14:val="tx1"/>
            </w14:solidFill>
          </w14:textFill>
        </w:rPr>
        <w:t>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1E750ED">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开标地点：</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投标文件递送（或邮寄）地址：滁</w:t>
      </w:r>
      <w:r>
        <w:rPr>
          <w:rFonts w:hint="eastAsia" w:ascii="宋体" w:hAnsi="宋体" w:eastAsia="宋体"/>
          <w:color w:val="000000" w:themeColor="text1"/>
          <w:sz w:val="24"/>
          <w:szCs w:val="18"/>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5926A16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3A0AE175">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4E7814B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6FBF1701">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10E2647F">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58361B9A">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2ECDB70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24F2E6A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1587521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0365D3EB">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47F8661">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5B53374A">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227CFC0F">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2FDE8DB0">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07EE624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5F3DAA6A">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5BBF962C">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5FF104E0">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3C54FEFC">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3C6DBD2">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1EEBCBB3">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56F265A5">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C32600E">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39BCF41">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B6AC61C">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3A3EDD50">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18BD284C">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BBFA41B">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720777FF">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39369D3">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694F849D">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A9F6762">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04DE71B">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07A7BBBF">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8DA460F">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78BE85B6">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01C9645">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13B8C09">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37B404C">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F879E4B">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3BDB859">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055FBA9">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3DA44741">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第二章</w:t>
      </w:r>
      <w:r>
        <w:rPr>
          <w:rFonts w:asciiTheme="minorEastAsia" w:hAnsiTheme="minorEastAsia" w:eastAsiaTheme="minorEastAsia"/>
          <w:b/>
          <w:color w:val="000000" w:themeColor="text1"/>
          <w:sz w:val="28"/>
          <w14:textFill>
            <w14:solidFill>
              <w14:schemeClr w14:val="tx1"/>
            </w14:solidFill>
          </w14:textFill>
        </w:rPr>
        <w:t xml:space="preserve"> </w:t>
      </w:r>
      <w:r>
        <w:rPr>
          <w:rFonts w:hint="eastAsia" w:asciiTheme="minorEastAsia" w:hAnsiTheme="minorEastAsia" w:eastAsiaTheme="minorEastAsia"/>
          <w:b/>
          <w:color w:val="000000" w:themeColor="text1"/>
          <w:sz w:val="28"/>
          <w14:textFill>
            <w14:solidFill>
              <w14:schemeClr w14:val="tx1"/>
            </w14:solidFill>
          </w14:textFill>
        </w:rPr>
        <w:t xml:space="preserve"> </w:t>
      </w:r>
      <w:r>
        <w:rPr>
          <w:rFonts w:asciiTheme="minorEastAsia" w:hAnsiTheme="minorEastAsia" w:eastAsiaTheme="minorEastAsia"/>
          <w:b/>
          <w:color w:val="000000" w:themeColor="text1"/>
          <w:sz w:val="28"/>
          <w14:textFill>
            <w14:solidFill>
              <w14:schemeClr w14:val="tx1"/>
            </w14:solidFill>
          </w14:textFill>
        </w:rPr>
        <w:t>投标人须知</w:t>
      </w:r>
      <w:bookmarkEnd w:id="3"/>
    </w:p>
    <w:p w14:paraId="624E5FAE">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bookmarkStart w:id="33" w:name="_Toc7178"/>
      <w:bookmarkStart w:id="34" w:name="_Toc3114"/>
      <w:r>
        <w:rPr>
          <w:rFonts w:hint="eastAsia" w:asciiTheme="minorEastAsia" w:hAnsiTheme="minorEastAsia" w:eastAsiaTheme="minorEastAsia"/>
          <w:b/>
          <w:color w:val="000000" w:themeColor="text1"/>
          <w:sz w:val="24"/>
          <w14:textFill>
            <w14:solidFill>
              <w14:schemeClr w14:val="tx1"/>
            </w14:solidFill>
          </w14:textFill>
        </w:rPr>
        <w:t>一、</w:t>
      </w:r>
      <w:r>
        <w:rPr>
          <w:rFonts w:asciiTheme="minorEastAsia" w:hAnsiTheme="minorEastAsia" w:eastAsiaTheme="minorEastAsia"/>
          <w:b/>
          <w:color w:val="000000" w:themeColor="text1"/>
          <w:sz w:val="24"/>
          <w14:textFill>
            <w14:solidFill>
              <w14:schemeClr w14:val="tx1"/>
            </w14:solidFill>
          </w14:textFill>
        </w:rPr>
        <w:t>投标人须知前附表</w:t>
      </w:r>
      <w:bookmarkEnd w:id="33"/>
      <w:bookmarkEnd w:id="34"/>
    </w:p>
    <w:p w14:paraId="73B97298">
      <w:pPr>
        <w:spacing w:line="360" w:lineRule="auto"/>
        <w:ind w:firstLine="435"/>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注：</w:t>
      </w:r>
      <w:r>
        <w:rPr>
          <w:rFonts w:hint="eastAsia" w:ascii="宋体" w:hAnsi="宋体" w:eastAsia="宋体"/>
          <w:color w:val="000000" w:themeColor="text1"/>
          <w:sz w:val="24"/>
          <w:szCs w:val="18"/>
          <w14:textFill>
            <w14:solidFill>
              <w14:schemeClr w14:val="tx1"/>
            </w14:solidFill>
          </w14:textFill>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584A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6E3000">
            <w:pPr>
              <w:pStyle w:val="44"/>
              <w:widowControl w:val="0"/>
              <w:spacing w:before="0" w:beforeAutospacing="0" w:after="0" w:afterAutospacing="0"/>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条款号</w:t>
            </w:r>
          </w:p>
        </w:tc>
        <w:tc>
          <w:tcPr>
            <w:tcW w:w="1174" w:type="pct"/>
            <w:vAlign w:val="center"/>
          </w:tcPr>
          <w:p w14:paraId="1A34305E">
            <w:pPr>
              <w:pStyle w:val="44"/>
              <w:widowControl w:val="0"/>
              <w:spacing w:before="0" w:beforeAutospacing="0" w:after="0" w:afterAutospacing="0"/>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条款名称</w:t>
            </w:r>
          </w:p>
        </w:tc>
        <w:tc>
          <w:tcPr>
            <w:tcW w:w="3244" w:type="pct"/>
            <w:vAlign w:val="center"/>
          </w:tcPr>
          <w:p w14:paraId="5F303ABF">
            <w:pPr>
              <w:pStyle w:val="44"/>
              <w:widowControl w:val="0"/>
              <w:spacing w:before="0" w:beforeAutospacing="0" w:after="0" w:afterAutospacing="0"/>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内容、说明与要求</w:t>
            </w:r>
          </w:p>
        </w:tc>
      </w:tr>
      <w:tr w14:paraId="1120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BD1FDC">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5</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0F7C0EC5">
            <w:pPr>
              <w:pStyle w:val="44"/>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现场考察或标前答疑会</w:t>
            </w:r>
          </w:p>
        </w:tc>
        <w:tc>
          <w:tcPr>
            <w:tcW w:w="3244" w:type="pct"/>
            <w:vAlign w:val="center"/>
          </w:tcPr>
          <w:p w14:paraId="254F58DC">
            <w:pPr>
              <w:spacing w:line="420" w:lineRule="exact"/>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7010B9B9">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4CB1EB30">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60986960">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520F7904">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36A272EF">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4D00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5B8B3D">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6</w:t>
            </w:r>
            <w:r>
              <w:rPr>
                <w:rFonts w:ascii="宋体" w:hAnsi="宋体" w:eastAsia="宋体"/>
                <w:bCs/>
                <w:color w:val="000000" w:themeColor="text1"/>
                <w:kern w:val="2"/>
                <w14:textFill>
                  <w14:solidFill>
                    <w14:schemeClr w14:val="tx1"/>
                  </w14:solidFill>
                </w14:textFill>
              </w:rPr>
              <w:t>.1</w:t>
            </w:r>
          </w:p>
        </w:tc>
        <w:tc>
          <w:tcPr>
            <w:tcW w:w="1174" w:type="pct"/>
            <w:vAlign w:val="center"/>
          </w:tcPr>
          <w:p w14:paraId="16F959DC">
            <w:pPr>
              <w:pStyle w:val="44"/>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网上询问截止时间</w:t>
            </w:r>
          </w:p>
        </w:tc>
        <w:tc>
          <w:tcPr>
            <w:tcW w:w="3244" w:type="pct"/>
            <w:vAlign w:val="center"/>
          </w:tcPr>
          <w:p w14:paraId="76F91753">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 xml:space="preserve"> 11 </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 xml:space="preserve"> 4 </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lang w:val="en-US" w:eastAsia="zh-CN"/>
                <w14:textFill>
                  <w14:solidFill>
                    <w14:schemeClr w14:val="tx1"/>
                  </w14:solidFill>
                </w14:textFill>
              </w:rPr>
              <w:t>0</w:t>
            </w:r>
            <w:r>
              <w:rPr>
                <w:rFonts w:hint="eastAsia" w:ascii="宋体" w:hAnsi="宋体" w:eastAsia="宋体"/>
                <w:b w:val="0"/>
                <w:color w:val="000000" w:themeColor="text1"/>
                <w:sz w:val="24"/>
                <w:u w:val="single"/>
                <w14:textFill>
                  <w14:solidFill>
                    <w14:schemeClr w14:val="tx1"/>
                  </w14:solidFill>
                </w14:textFill>
              </w:rPr>
              <w:t>0</w:t>
            </w:r>
            <w:r>
              <w:rPr>
                <w:rFonts w:hint="eastAsia" w:ascii="宋体" w:hAnsi="宋体" w:eastAsia="宋体"/>
                <w:b w:val="0"/>
                <w:color w:val="000000" w:themeColor="text1"/>
                <w:sz w:val="24"/>
                <w14:textFill>
                  <w14:solidFill>
                    <w14:schemeClr w14:val="tx1"/>
                  </w14:solidFill>
                </w14:textFill>
              </w:rPr>
              <w:t>分</w:t>
            </w:r>
          </w:p>
        </w:tc>
      </w:tr>
      <w:tr w14:paraId="3642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E5BD81">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7</w:t>
            </w:r>
            <w:r>
              <w:rPr>
                <w:rFonts w:ascii="宋体" w:hAnsi="宋体" w:eastAsia="宋体"/>
                <w:bCs/>
                <w:color w:val="000000" w:themeColor="text1"/>
                <w:kern w:val="2"/>
                <w14:textFill>
                  <w14:solidFill>
                    <w14:schemeClr w14:val="tx1"/>
                  </w14:solidFill>
                </w14:textFill>
              </w:rPr>
              <w:t>.1</w:t>
            </w:r>
          </w:p>
        </w:tc>
        <w:tc>
          <w:tcPr>
            <w:tcW w:w="1174" w:type="pct"/>
            <w:vAlign w:val="center"/>
          </w:tcPr>
          <w:p w14:paraId="3EA3CBA4">
            <w:pPr>
              <w:pStyle w:val="44"/>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包别划分</w:t>
            </w:r>
          </w:p>
        </w:tc>
        <w:tc>
          <w:tcPr>
            <w:tcW w:w="3244" w:type="pct"/>
            <w:vAlign w:val="center"/>
          </w:tcPr>
          <w:p w14:paraId="2CC81AE3">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不分包     □分为</w:t>
            </w:r>
            <w:r>
              <w:rPr>
                <w:rFonts w:hint="eastAsia" w:ascii="宋体" w:hAnsi="宋体" w:eastAsia="宋体"/>
                <w:b w:val="0"/>
                <w:color w:val="000000" w:themeColor="text1"/>
                <w:sz w:val="24"/>
                <w:u w:val="single"/>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 xml:space="preserve"> 个包</w:t>
            </w:r>
          </w:p>
          <w:p w14:paraId="13BC34CF">
            <w:pPr>
              <w:pStyle w:val="44"/>
              <w:widowControl w:val="0"/>
              <w:spacing w:before="0" w:beforeAutospacing="0" w:after="0" w:afterAutospacing="0" w:line="420" w:lineRule="exact"/>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投标人对多个包进行投标的中标</w:t>
            </w:r>
            <w:r>
              <w:rPr>
                <w:rFonts w:ascii="宋体" w:hAnsi="宋体" w:eastAsia="宋体"/>
                <w:b w:val="0"/>
                <w:color w:val="000000" w:themeColor="text1"/>
                <w:sz w:val="24"/>
                <w14:textFill>
                  <w14:solidFill>
                    <w14:schemeClr w14:val="tx1"/>
                  </w14:solidFill>
                </w14:textFill>
              </w:rPr>
              <w:t>包</w:t>
            </w:r>
            <w:r>
              <w:rPr>
                <w:rFonts w:hint="eastAsia" w:ascii="宋体" w:hAnsi="宋体" w:eastAsia="宋体"/>
                <w:b w:val="0"/>
                <w:color w:val="000000" w:themeColor="text1"/>
                <w:sz w:val="24"/>
                <w14:textFill>
                  <w14:solidFill>
                    <w14:schemeClr w14:val="tx1"/>
                  </w14:solidFill>
                </w14:textFill>
              </w:rPr>
              <w:t>数规定：</w:t>
            </w:r>
            <w:r>
              <w:rPr>
                <w:rFonts w:hint="eastAsia" w:ascii="宋体" w:hAnsi="宋体" w:eastAsia="宋体"/>
                <w:b w:val="0"/>
                <w:bCs w:val="0"/>
                <w:color w:val="000000" w:themeColor="text1"/>
                <w:sz w:val="24"/>
                <w:szCs w:val="18"/>
                <w:u w:val="single"/>
                <w14:textFill>
                  <w14:solidFill>
                    <w14:schemeClr w14:val="tx1"/>
                  </w14:solidFill>
                </w14:textFill>
              </w:rPr>
              <w:t>/</w:t>
            </w:r>
            <w:r>
              <w:rPr>
                <w:rFonts w:ascii="宋体" w:hAnsi="宋体" w:eastAsia="宋体"/>
                <w:b w:val="0"/>
                <w:bCs w:val="0"/>
                <w:color w:val="000000" w:themeColor="text1"/>
                <w:sz w:val="24"/>
                <w:szCs w:val="18"/>
                <w:u w:val="single"/>
                <w14:textFill>
                  <w14:solidFill>
                    <w14:schemeClr w14:val="tx1"/>
                  </w14:solidFill>
                </w14:textFill>
              </w:rPr>
              <w:t xml:space="preserve">  </w:t>
            </w:r>
          </w:p>
        </w:tc>
      </w:tr>
      <w:tr w14:paraId="061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539623E">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10</w:t>
            </w:r>
            <w:r>
              <w:rPr>
                <w:rFonts w:ascii="宋体" w:hAnsi="宋体" w:eastAsia="宋体"/>
                <w:bCs/>
                <w:color w:val="000000" w:themeColor="text1"/>
                <w:kern w:val="2"/>
                <w14:textFill>
                  <w14:solidFill>
                    <w14:schemeClr w14:val="tx1"/>
                  </w14:solidFill>
                </w14:textFill>
              </w:rPr>
              <w:t>.1</w:t>
            </w:r>
          </w:p>
        </w:tc>
        <w:tc>
          <w:tcPr>
            <w:tcW w:w="1174" w:type="pct"/>
            <w:vAlign w:val="center"/>
          </w:tcPr>
          <w:p w14:paraId="757AC2B5">
            <w:pPr>
              <w:pStyle w:val="44"/>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投标保证金</w:t>
            </w:r>
          </w:p>
        </w:tc>
        <w:tc>
          <w:tcPr>
            <w:tcW w:w="3244" w:type="pct"/>
            <w:vAlign w:val="center"/>
          </w:tcPr>
          <w:p w14:paraId="018C7FF6">
            <w:pPr>
              <w:spacing w:line="420" w:lineRule="exact"/>
              <w:rPr>
                <w:rFonts w:hint="eastAsia"/>
                <w:color w:val="000000" w:themeColor="text1"/>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不收取</w:t>
            </w:r>
          </w:p>
        </w:tc>
      </w:tr>
      <w:tr w14:paraId="5C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3CC72F">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11</w:t>
            </w:r>
            <w:r>
              <w:rPr>
                <w:rFonts w:ascii="宋体" w:hAnsi="宋体" w:eastAsia="宋体"/>
                <w:bCs/>
                <w:color w:val="000000" w:themeColor="text1"/>
                <w:kern w:val="2"/>
                <w14:textFill>
                  <w14:solidFill>
                    <w14:schemeClr w14:val="tx1"/>
                  </w14:solidFill>
                </w14:textFill>
              </w:rPr>
              <w:t>.1</w:t>
            </w:r>
          </w:p>
        </w:tc>
        <w:tc>
          <w:tcPr>
            <w:tcW w:w="1174" w:type="pct"/>
            <w:vAlign w:val="center"/>
          </w:tcPr>
          <w:p w14:paraId="1EB1FA86">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投标有效期</w:t>
            </w:r>
          </w:p>
        </w:tc>
        <w:tc>
          <w:tcPr>
            <w:tcW w:w="3244" w:type="pct"/>
            <w:vAlign w:val="center"/>
          </w:tcPr>
          <w:p w14:paraId="2CE4B3D7">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 xml:space="preserve"> 90 个</w:t>
            </w:r>
            <w:r>
              <w:rPr>
                <w:rFonts w:hint="eastAsia" w:ascii="宋体" w:hAnsi="宋体" w:eastAsia="宋体"/>
                <w:b w:val="0"/>
                <w:color w:val="000000" w:themeColor="text1"/>
                <w:sz w:val="24"/>
                <w14:textFill>
                  <w14:solidFill>
                    <w14:schemeClr w14:val="tx1"/>
                  </w14:solidFill>
                </w14:textFill>
              </w:rPr>
              <w:t>日历日</w:t>
            </w:r>
          </w:p>
        </w:tc>
      </w:tr>
      <w:tr w14:paraId="5E50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C01C46">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12.3</w:t>
            </w:r>
          </w:p>
        </w:tc>
        <w:tc>
          <w:tcPr>
            <w:tcW w:w="1174" w:type="pct"/>
            <w:vAlign w:val="center"/>
          </w:tcPr>
          <w:p w14:paraId="24097A5B">
            <w:pPr>
              <w:widowControl/>
              <w:jc w:val="left"/>
              <w:rPr>
                <w:rFonts w:hint="eastAsia" w:ascii="宋体" w:hAnsi="宋体" w:eastAsia="宋体"/>
                <w:color w:val="000000" w:themeColor="text1"/>
                <w:sz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3244" w:type="pct"/>
            <w:vAlign w:val="center"/>
          </w:tcPr>
          <w:p w14:paraId="1AA7AF2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6</w:t>
            </w:r>
            <w:r>
              <w:rPr>
                <w:rFonts w:hint="eastAsia" w:ascii="宋体" w:hAnsi="宋体" w:eastAsia="宋体" w:cs="宋体"/>
                <w:bCs/>
                <w:color w:val="000000" w:themeColor="text1"/>
                <w:sz w:val="24"/>
                <w:szCs w:val="24"/>
                <w:u w:val="single"/>
                <w:lang w:bidi="ar"/>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15 时</w:t>
            </w:r>
            <w:r>
              <w:rPr>
                <w:rFonts w:hint="eastAsia" w:ascii="宋体" w:hAnsi="宋体" w:eastAsia="宋体" w:cs="宋体"/>
                <w:bCs/>
                <w:color w:val="000000" w:themeColor="text1"/>
                <w:sz w:val="24"/>
                <w:szCs w:val="24"/>
                <w:u w:val="single"/>
                <w:lang w:bidi="ar"/>
                <w14:textFill>
                  <w14:solidFill>
                    <w14:schemeClr w14:val="tx1"/>
                  </w14:solidFill>
                </w14:textFill>
              </w:rPr>
              <w:t>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2DF65610">
            <w:pPr>
              <w:autoSpaceDE w:val="0"/>
              <w:spacing w:line="360" w:lineRule="auto"/>
              <w:outlineLvl w:val="2"/>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481C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C5DFA9">
            <w:pPr>
              <w:pStyle w:val="45"/>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13.1</w:t>
            </w:r>
          </w:p>
        </w:tc>
        <w:tc>
          <w:tcPr>
            <w:tcW w:w="1174" w:type="pct"/>
            <w:vAlign w:val="center"/>
          </w:tcPr>
          <w:p w14:paraId="4A5867E1">
            <w:pPr>
              <w:widowControl/>
              <w:spacing w:line="400" w:lineRule="exact"/>
              <w:ind w:firstLine="45" w:firstLineChars="0"/>
              <w:jc w:val="left"/>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开标时间和地点</w:t>
            </w:r>
          </w:p>
        </w:tc>
        <w:tc>
          <w:tcPr>
            <w:tcW w:w="3244" w:type="pct"/>
            <w:vAlign w:val="center"/>
          </w:tcPr>
          <w:p w14:paraId="0461ECFD">
            <w:pPr>
              <w:spacing w:line="400" w:lineRule="exact"/>
              <w:ind w:firstLine="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开标时间：</w:t>
            </w:r>
            <w:r>
              <w:rPr>
                <w:rFonts w:hint="eastAsia" w:ascii="宋体" w:hAnsi="宋体" w:eastAsia="宋体" w:cs="宋体"/>
                <w:color w:val="000000" w:themeColor="text1"/>
                <w:sz w:val="24"/>
                <w14:textFill>
                  <w14:solidFill>
                    <w14:schemeClr w14:val="tx1"/>
                  </w14:solidFill>
                </w14:textFill>
              </w:rPr>
              <w:t>2025年</w:t>
            </w:r>
            <w:r>
              <w:rPr>
                <w:rFonts w:hint="eastAsia" w:ascii="宋体" w:hAnsi="宋体" w:eastAsia="宋体" w:cs="宋体"/>
                <w:color w:val="000000" w:themeColor="text1"/>
                <w:sz w:val="24"/>
                <w:lang w:val="en-US" w:eastAsia="zh-CN"/>
                <w14:textFill>
                  <w14:solidFill>
                    <w14:schemeClr w14:val="tx1"/>
                  </w14:solidFill>
                </w14:textFill>
              </w:rPr>
              <w:t xml:space="preserve">11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val="en-US" w:eastAsia="zh-CN"/>
                <w14:textFill>
                  <w14:solidFill>
                    <w14:schemeClr w14:val="tx1"/>
                  </w14:solidFill>
                </w14:textFill>
              </w:rPr>
              <w:t>15</w:t>
            </w:r>
            <w:r>
              <w:rPr>
                <w:rFonts w:hint="eastAsia" w:ascii="宋体" w:hAnsi="宋体" w:eastAsia="宋体" w:cs="宋体"/>
                <w:color w:val="000000" w:themeColor="text1"/>
                <w:sz w:val="24"/>
                <w14:textFill>
                  <w14:solidFill>
                    <w14:schemeClr w14:val="tx1"/>
                  </w14:solidFill>
                </w14:textFill>
              </w:rPr>
              <w:t xml:space="preserve">时00分   </w:t>
            </w:r>
          </w:p>
          <w:p w14:paraId="4381BC49">
            <w:pPr>
              <w:autoSpaceDE w:val="0"/>
              <w:spacing w:line="400" w:lineRule="exact"/>
              <w:ind w:firstLine="45" w:firstLineChars="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开标地点</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r>
              <w:rPr>
                <w:rFonts w:hint="eastAsia" w:ascii="宋体" w:hAnsi="宋体" w:eastAsia="宋体" w:cs="宋体"/>
                <w:color w:val="000000" w:themeColor="text1"/>
                <w:sz w:val="24"/>
                <w14:textFill>
                  <w14:solidFill>
                    <w14:schemeClr w14:val="tx1"/>
                  </w14:solidFill>
                </w14:textFill>
              </w:rPr>
              <w:t>。</w:t>
            </w:r>
          </w:p>
        </w:tc>
      </w:tr>
      <w:tr w14:paraId="4996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45201E">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14.1</w:t>
            </w:r>
          </w:p>
        </w:tc>
        <w:tc>
          <w:tcPr>
            <w:tcW w:w="1174" w:type="pct"/>
            <w:vAlign w:val="center"/>
          </w:tcPr>
          <w:p w14:paraId="4CEE0E04">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资格审查</w:t>
            </w:r>
          </w:p>
        </w:tc>
        <w:tc>
          <w:tcPr>
            <w:tcW w:w="3244" w:type="pct"/>
            <w:vAlign w:val="center"/>
          </w:tcPr>
          <w:p w14:paraId="639C979A">
            <w:pPr>
              <w:pStyle w:val="44"/>
              <w:widowControl w:val="0"/>
              <w:spacing w:before="0" w:beforeAutospacing="0" w:after="0" w:afterAutospacing="0" w:line="420" w:lineRule="exact"/>
              <w:jc w:val="both"/>
              <w:rPr>
                <w:rFonts w:hint="eastAsia" w:ascii="宋体" w:hAnsi="宋体" w:eastAsia="宋体"/>
                <w:b w:val="0"/>
                <w:bCs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采购人审查</w:t>
            </w:r>
          </w:p>
          <w:p w14:paraId="0970DB38">
            <w:pPr>
              <w:pStyle w:val="44"/>
              <w:widowControl w:val="0"/>
              <w:spacing w:before="0" w:beforeAutospacing="0" w:after="0" w:afterAutospacing="0" w:line="420" w:lineRule="exact"/>
              <w:jc w:val="both"/>
              <w:rPr>
                <w:rFonts w:hint="eastAsia" w:ascii="宋体" w:hAnsi="宋体" w:eastAsia="宋体"/>
                <w:b w:val="0"/>
                <w:color w:val="000000" w:themeColor="text1"/>
                <w:sz w:val="24"/>
                <w:u w:val="single"/>
                <w14:textFill>
                  <w14:solidFill>
                    <w14:schemeClr w14:val="tx1"/>
                  </w14:solidFill>
                </w14:textFill>
              </w:rPr>
            </w:pPr>
            <w:r>
              <w:rPr>
                <w:rFonts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采购人出具委托函委托采购代理机构进行审查</w:t>
            </w:r>
          </w:p>
        </w:tc>
      </w:tr>
      <w:tr w14:paraId="7D5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3F58CB">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17</w:t>
            </w:r>
            <w:r>
              <w:rPr>
                <w:rFonts w:ascii="宋体" w:hAnsi="宋体" w:eastAsia="宋体"/>
                <w:bCs/>
                <w:color w:val="000000" w:themeColor="text1"/>
                <w:kern w:val="2"/>
                <w14:textFill>
                  <w14:solidFill>
                    <w14:schemeClr w14:val="tx1"/>
                  </w14:solidFill>
                </w14:textFill>
              </w:rPr>
              <w:t>.2</w:t>
            </w:r>
          </w:p>
        </w:tc>
        <w:tc>
          <w:tcPr>
            <w:tcW w:w="1174" w:type="pct"/>
            <w:vAlign w:val="center"/>
          </w:tcPr>
          <w:p w14:paraId="373E4168">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评标方法</w:t>
            </w:r>
          </w:p>
        </w:tc>
        <w:tc>
          <w:tcPr>
            <w:tcW w:w="3244" w:type="pct"/>
            <w:vAlign w:val="center"/>
          </w:tcPr>
          <w:p w14:paraId="6A600E91">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最低评标价法</w:t>
            </w:r>
          </w:p>
          <w:p w14:paraId="021BBE13">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综合评分法</w:t>
            </w:r>
          </w:p>
        </w:tc>
      </w:tr>
      <w:tr w14:paraId="602D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D6D51E5">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1</w:t>
            </w:r>
          </w:p>
        </w:tc>
        <w:tc>
          <w:tcPr>
            <w:tcW w:w="1174" w:type="pct"/>
            <w:vAlign w:val="center"/>
          </w:tcPr>
          <w:p w14:paraId="45EBA5F8">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评标委员会推荐</w:t>
            </w:r>
            <w:r>
              <w:rPr>
                <w:rFonts w:ascii="宋体" w:hAnsi="宋体" w:eastAsia="宋体"/>
                <w:b w:val="0"/>
                <w:color w:val="000000" w:themeColor="text1"/>
                <w:sz w:val="24"/>
                <w14:textFill>
                  <w14:solidFill>
                    <w14:schemeClr w14:val="tx1"/>
                  </w14:solidFill>
                </w14:textFill>
              </w:rPr>
              <w:t>中标候选</w:t>
            </w:r>
            <w:r>
              <w:rPr>
                <w:rFonts w:hint="eastAsia" w:ascii="宋体" w:hAnsi="宋体" w:eastAsia="宋体"/>
                <w:b w:val="0"/>
                <w:color w:val="000000" w:themeColor="text1"/>
                <w:sz w:val="24"/>
                <w14:textFill>
                  <w14:solidFill>
                    <w14:schemeClr w14:val="tx1"/>
                  </w14:solidFill>
                </w14:textFill>
              </w:rPr>
              <w:t>人的</w:t>
            </w:r>
            <w:r>
              <w:rPr>
                <w:rFonts w:ascii="宋体" w:hAnsi="宋体" w:eastAsia="宋体"/>
                <w:b w:val="0"/>
                <w:color w:val="000000" w:themeColor="text1"/>
                <w:sz w:val="24"/>
                <w14:textFill>
                  <w14:solidFill>
                    <w14:schemeClr w14:val="tx1"/>
                  </w14:solidFill>
                </w14:textFill>
              </w:rPr>
              <w:t>数量</w:t>
            </w:r>
          </w:p>
        </w:tc>
        <w:tc>
          <w:tcPr>
            <w:tcW w:w="3244" w:type="pct"/>
            <w:vAlign w:val="center"/>
          </w:tcPr>
          <w:p w14:paraId="7C4AE485">
            <w:pPr>
              <w:pStyle w:val="44"/>
              <w:widowControl w:val="0"/>
              <w:spacing w:before="0" w:beforeAutospacing="0" w:after="0" w:afterAutospacing="0" w:line="420" w:lineRule="exact"/>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3家</w:t>
            </w:r>
          </w:p>
        </w:tc>
      </w:tr>
      <w:tr w14:paraId="2632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97B98B">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15B5FFBC">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确定中标人</w:t>
            </w:r>
          </w:p>
        </w:tc>
        <w:tc>
          <w:tcPr>
            <w:tcW w:w="3244" w:type="pct"/>
            <w:vAlign w:val="center"/>
          </w:tcPr>
          <w:p w14:paraId="02209AE7">
            <w:pPr>
              <w:spacing w:line="420" w:lineRule="exact"/>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sym w:font="Wingdings" w:char="00FE"/>
            </w:r>
            <w:r>
              <w:rPr>
                <w:rFonts w:hint="eastAsia" w:asciiTheme="minorEastAsia" w:hAnsiTheme="minorEastAsia" w:eastAsiaTheme="minorEastAsia"/>
                <w:color w:val="000000" w:themeColor="text1"/>
                <w:kern w:val="0"/>
                <w:sz w:val="24"/>
                <w:szCs w:val="24"/>
                <w14:textFill>
                  <w14:solidFill>
                    <w14:schemeClr w14:val="tx1"/>
                  </w14:solidFill>
                </w14:textFill>
              </w:rPr>
              <w:t>采购人委托评标委员会确定</w:t>
            </w:r>
          </w:p>
          <w:p w14:paraId="37E34DF6">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14:textFill>
                  <w14:solidFill>
                    <w14:schemeClr w14:val="tx1"/>
                  </w14:solidFill>
                </w14:textFill>
              </w:rPr>
              <w:t>□采购人确定</w:t>
            </w:r>
          </w:p>
        </w:tc>
      </w:tr>
      <w:tr w14:paraId="1B25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2971C2">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ascii="宋体" w:hAnsi="宋体" w:eastAsia="宋体"/>
                <w:bCs/>
                <w:color w:val="000000" w:themeColor="text1"/>
                <w:kern w:val="2"/>
                <w14:textFill>
                  <w14:solidFill>
                    <w14:schemeClr w14:val="tx1"/>
                  </w14:solidFill>
                </w14:textFill>
              </w:rPr>
              <w:t>2</w:t>
            </w:r>
            <w:r>
              <w:rPr>
                <w:rFonts w:hint="eastAsia" w:ascii="宋体" w:hAnsi="宋体" w:eastAsia="宋体"/>
                <w:bCs/>
                <w:color w:val="000000" w:themeColor="text1"/>
                <w:kern w:val="2"/>
                <w14:textFill>
                  <w14:solidFill>
                    <w14:schemeClr w14:val="tx1"/>
                  </w14:solidFill>
                </w14:textFill>
              </w:rPr>
              <w:t>3</w:t>
            </w:r>
            <w:r>
              <w:rPr>
                <w:rFonts w:ascii="宋体" w:hAnsi="宋体" w:eastAsia="宋体"/>
                <w:bCs/>
                <w:color w:val="000000" w:themeColor="text1"/>
                <w:kern w:val="2"/>
                <w14:textFill>
                  <w14:solidFill>
                    <w14:schemeClr w14:val="tx1"/>
                  </w14:solidFill>
                </w14:textFill>
              </w:rPr>
              <w:t>.3</w:t>
            </w:r>
          </w:p>
        </w:tc>
        <w:tc>
          <w:tcPr>
            <w:tcW w:w="1174" w:type="pct"/>
            <w:vAlign w:val="center"/>
          </w:tcPr>
          <w:p w14:paraId="16FE1976">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（1）中标（成交）供应商的评审报价</w:t>
            </w:r>
            <w:r>
              <w:rPr>
                <w:rFonts w:hint="eastAsia" w:ascii="宋体" w:hAnsi="宋体" w:eastAsia="宋体"/>
                <w:bCs w:val="0"/>
                <w:color w:val="000000" w:themeColor="text1"/>
                <w:sz w:val="24"/>
                <w14:textFill>
                  <w14:solidFill>
                    <w14:schemeClr w14:val="tx1"/>
                  </w14:solidFill>
                </w14:textFill>
              </w:rPr>
              <w:t>（适用最低评标价法）</w:t>
            </w:r>
          </w:p>
          <w:p w14:paraId="6F311C75">
            <w:pPr>
              <w:pStyle w:val="44"/>
              <w:widowControl w:val="0"/>
              <w:spacing w:before="0" w:beforeAutospacing="0" w:after="0" w:afterAutospacing="0" w:line="420" w:lineRule="exact"/>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（2）中标（成交）供应商的评审总得分</w:t>
            </w:r>
            <w:r>
              <w:rPr>
                <w:rFonts w:hint="eastAsia" w:ascii="宋体" w:hAnsi="宋体" w:eastAsia="宋体"/>
                <w:bCs w:val="0"/>
                <w:color w:val="000000" w:themeColor="text1"/>
                <w:sz w:val="24"/>
                <w14:textFill>
                  <w14:solidFill>
                    <w14:schemeClr w14:val="tx1"/>
                  </w14:solidFill>
                </w14:textFill>
              </w:rPr>
              <w:t>（适用综合评分法）</w:t>
            </w:r>
          </w:p>
        </w:tc>
      </w:tr>
      <w:tr w14:paraId="7DF7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FF5FDC">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24</w:t>
            </w:r>
            <w:r>
              <w:rPr>
                <w:rFonts w:ascii="宋体" w:hAnsi="宋体" w:eastAsia="宋体"/>
                <w:bCs/>
                <w:color w:val="000000" w:themeColor="text1"/>
                <w:kern w:val="2"/>
                <w14:textFill>
                  <w14:solidFill>
                    <w14:schemeClr w14:val="tx1"/>
                  </w14:solidFill>
                </w14:textFill>
              </w:rPr>
              <w:t>.1</w:t>
            </w:r>
          </w:p>
        </w:tc>
        <w:tc>
          <w:tcPr>
            <w:tcW w:w="1174" w:type="pct"/>
            <w:vAlign w:val="center"/>
          </w:tcPr>
          <w:p w14:paraId="1A0D336C">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中标通知书发出的形式</w:t>
            </w:r>
          </w:p>
        </w:tc>
        <w:tc>
          <w:tcPr>
            <w:tcW w:w="3244" w:type="pct"/>
            <w:vAlign w:val="center"/>
          </w:tcPr>
          <w:p w14:paraId="077A6811">
            <w:pPr>
              <w:pStyle w:val="44"/>
              <w:widowControl w:val="0"/>
              <w:spacing w:before="0" w:beforeAutospacing="0" w:after="0" w:afterAutospacing="0" w:line="420" w:lineRule="exact"/>
              <w:jc w:val="both"/>
              <w:rPr>
                <w:rFonts w:hint="eastAsia" w:ascii="宋体" w:hAnsi="宋体" w:eastAsia="宋体"/>
                <w:b w:val="0"/>
                <w:bCs w:val="0"/>
                <w:color w:val="000000" w:themeColor="text1"/>
                <w:sz w:val="24"/>
                <w:szCs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14:textFill>
                  <w14:solidFill>
                    <w14:schemeClr w14:val="tx1"/>
                  </w14:solidFill>
                </w14:textFill>
              </w:rPr>
              <w:t xml:space="preserve">书面 </w:t>
            </w:r>
            <w:r>
              <w:rPr>
                <w:rFonts w:ascii="宋体" w:hAnsi="宋体" w:eastAsia="宋体"/>
                <w:b w:val="0"/>
                <w:bCs w:val="0"/>
                <w:color w:val="000000" w:themeColor="text1"/>
                <w:sz w:val="24"/>
                <w:szCs w:val="24"/>
                <w14:textFill>
                  <w14:solidFill>
                    <w14:schemeClr w14:val="tx1"/>
                  </w14:solidFill>
                </w14:textFill>
              </w:rPr>
              <w:t xml:space="preserve">    </w:t>
            </w:r>
            <w:r>
              <w:rPr>
                <w:rFonts w:hint="eastAsia" w:ascii="宋体" w:hAnsi="宋体" w:eastAsia="宋体"/>
                <w:b w:val="0"/>
                <w:bCs w:val="0"/>
                <w:color w:val="000000" w:themeColor="text1"/>
                <w:sz w:val="24"/>
                <w:szCs w:val="24"/>
                <w14:textFill>
                  <w14:solidFill>
                    <w14:schemeClr w14:val="tx1"/>
                  </w14:solidFill>
                </w14:textFill>
              </w:rPr>
              <w:sym w:font="Wingdings" w:char="00A8"/>
            </w:r>
            <w:r>
              <w:rPr>
                <w:rFonts w:hint="eastAsia" w:ascii="宋体" w:hAnsi="宋体" w:eastAsia="宋体"/>
                <w:b w:val="0"/>
                <w:bCs w:val="0"/>
                <w:color w:val="000000" w:themeColor="text1"/>
                <w:sz w:val="24"/>
                <w:szCs w:val="24"/>
                <w14:textFill>
                  <w14:solidFill>
                    <w14:schemeClr w14:val="tx1"/>
                  </w14:solidFill>
                </w14:textFill>
              </w:rPr>
              <w:t>数据电文</w:t>
            </w:r>
          </w:p>
        </w:tc>
      </w:tr>
      <w:tr w14:paraId="55AA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B2C497A">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25</w:t>
            </w:r>
            <w:r>
              <w:rPr>
                <w:rFonts w:ascii="宋体" w:hAnsi="宋体" w:eastAsia="宋体"/>
                <w:bCs/>
                <w:color w:val="000000" w:themeColor="text1"/>
                <w:kern w:val="2"/>
                <w14:textFill>
                  <w14:solidFill>
                    <w14:schemeClr w14:val="tx1"/>
                  </w14:solidFill>
                </w14:textFill>
              </w:rPr>
              <w:t>.1</w:t>
            </w:r>
          </w:p>
        </w:tc>
        <w:tc>
          <w:tcPr>
            <w:tcW w:w="1174" w:type="pct"/>
            <w:vAlign w:val="center"/>
          </w:tcPr>
          <w:p w14:paraId="3D0B9447">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告知招标结果的形式</w:t>
            </w:r>
          </w:p>
        </w:tc>
        <w:tc>
          <w:tcPr>
            <w:tcW w:w="3244" w:type="pct"/>
            <w:vAlign w:val="center"/>
          </w:tcPr>
          <w:p w14:paraId="00444229">
            <w:pPr>
              <w:pStyle w:val="22"/>
              <w:spacing w:before="0" w:beforeAutospacing="0" w:after="0" w:afterAutospacing="0" w:line="360" w:lineRule="auto"/>
              <w:jc w:val="both"/>
              <w:rPr>
                <w:rFonts w:hint="eastAsia" w:asciiTheme="minorEastAsia" w:hAnsiTheme="minorEastAsia" w:eastAsiaTheme="minorEastAsia"/>
                <w:color w:val="000000" w:themeColor="text1"/>
                <w:kern w:val="2"/>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投标人自行在滁州市第一人民医院官网查看</w:t>
            </w:r>
          </w:p>
        </w:tc>
      </w:tr>
      <w:tr w14:paraId="23EA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15AB944F">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26</w:t>
            </w:r>
            <w:r>
              <w:rPr>
                <w:rFonts w:ascii="宋体" w:hAnsi="宋体" w:eastAsia="宋体"/>
                <w:bCs/>
                <w:color w:val="000000" w:themeColor="text1"/>
                <w:kern w:val="2"/>
                <w14:textFill>
                  <w14:solidFill>
                    <w14:schemeClr w14:val="tx1"/>
                  </w14:solidFill>
                </w14:textFill>
              </w:rPr>
              <w:t>.1</w:t>
            </w:r>
          </w:p>
        </w:tc>
        <w:tc>
          <w:tcPr>
            <w:tcW w:w="1174" w:type="pct"/>
            <w:vAlign w:val="center"/>
          </w:tcPr>
          <w:p w14:paraId="72655391">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履约保证金</w:t>
            </w:r>
          </w:p>
        </w:tc>
        <w:tc>
          <w:tcPr>
            <w:tcW w:w="3244" w:type="pct"/>
          </w:tcPr>
          <w:p w14:paraId="575CF331">
            <w:pPr>
              <w:spacing w:line="420" w:lineRule="exact"/>
              <w:rPr>
                <w:rFonts w:hint="eastAsia" w:ascii="宋体" w:hAnsi="宋体" w:eastAsia="宋体"/>
                <w:b/>
                <w:bCs/>
                <w:color w:val="000000" w:themeColor="text1"/>
                <w:kern w:val="0"/>
                <w:sz w:val="24"/>
                <w:szCs w:val="24"/>
                <w14:textFill>
                  <w14:solidFill>
                    <w14:schemeClr w14:val="tx1"/>
                  </w14:solidFill>
                </w14:textFill>
              </w:rPr>
            </w:pPr>
            <w:r>
              <w:rPr>
                <w:rFonts w:ascii="Segoe UI Symbol" w:hAnsi="Segoe UI Symbol" w:eastAsia="宋体" w:cs="Segoe UI Symbol"/>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免收</w:t>
            </w:r>
          </w:p>
        </w:tc>
      </w:tr>
      <w:tr w14:paraId="6A00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89295AC">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27</w:t>
            </w:r>
            <w:r>
              <w:rPr>
                <w:rFonts w:ascii="宋体" w:hAnsi="宋体" w:eastAsia="宋体"/>
                <w:bCs/>
                <w:color w:val="000000" w:themeColor="text1"/>
                <w:kern w:val="2"/>
                <w14:textFill>
                  <w14:solidFill>
                    <w14:schemeClr w14:val="tx1"/>
                  </w14:solidFill>
                </w14:textFill>
              </w:rPr>
              <w:t>.1</w:t>
            </w:r>
          </w:p>
        </w:tc>
        <w:tc>
          <w:tcPr>
            <w:tcW w:w="1174" w:type="pct"/>
            <w:vAlign w:val="center"/>
          </w:tcPr>
          <w:p w14:paraId="2A84EC2F">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签订合同和合同公告时间</w:t>
            </w:r>
          </w:p>
        </w:tc>
        <w:tc>
          <w:tcPr>
            <w:tcW w:w="3244" w:type="pct"/>
          </w:tcPr>
          <w:p w14:paraId="486594ED">
            <w:pPr>
              <w:pStyle w:val="22"/>
              <w:widowControl/>
              <w:spacing w:before="0" w:beforeAutospacing="0" w:after="0" w:afterAutospacing="0" w:line="42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（1）采购人与中标人应当自发出中标通知书之日起7个工作日内签订合同。</w:t>
            </w:r>
          </w:p>
          <w:p w14:paraId="7C0F175E">
            <w:pPr>
              <w:pStyle w:val="22"/>
              <w:widowControl/>
              <w:spacing w:before="0" w:beforeAutospacing="0" w:after="0" w:afterAutospacing="0" w:line="420" w:lineRule="exact"/>
              <w:rPr>
                <w:rFonts w:hint="eastAsia" w:ascii="宋体" w:hAnsi="宋体" w:eastAsia="宋体"/>
                <w:b/>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（2）采购人与中标人</w:t>
            </w:r>
            <w:r>
              <w:rPr>
                <w:rFonts w:ascii="宋体" w:hAnsi="宋体" w:eastAsia="宋体" w:cs="宋体"/>
                <w:color w:val="000000" w:themeColor="text1"/>
                <w:szCs w:val="24"/>
                <w14:textFill>
                  <w14:solidFill>
                    <w14:schemeClr w14:val="tx1"/>
                  </w14:solidFill>
                </w14:textFill>
              </w:rPr>
              <w:t>不得擅自变更合同。</w:t>
            </w:r>
          </w:p>
        </w:tc>
      </w:tr>
      <w:tr w14:paraId="79B4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F0C0FCE">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28</w:t>
            </w:r>
            <w:r>
              <w:rPr>
                <w:rFonts w:ascii="宋体" w:hAnsi="宋体" w:eastAsia="宋体"/>
                <w:bCs/>
                <w:color w:val="000000" w:themeColor="text1"/>
                <w:kern w:val="2"/>
                <w14:textFill>
                  <w14:solidFill>
                    <w14:schemeClr w14:val="tx1"/>
                  </w14:solidFill>
                </w14:textFill>
              </w:rPr>
              <w:t>.1</w:t>
            </w:r>
          </w:p>
        </w:tc>
        <w:tc>
          <w:tcPr>
            <w:tcW w:w="1174" w:type="pct"/>
            <w:tcBorders>
              <w:bottom w:val="single" w:color="auto" w:sz="4" w:space="0"/>
            </w:tcBorders>
            <w:vAlign w:val="center"/>
          </w:tcPr>
          <w:p w14:paraId="7CC71891">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代理费用</w:t>
            </w:r>
          </w:p>
        </w:tc>
        <w:tc>
          <w:tcPr>
            <w:tcW w:w="3244" w:type="pct"/>
            <w:tcBorders>
              <w:bottom w:val="single" w:color="auto" w:sz="4" w:space="0"/>
            </w:tcBorders>
            <w:vAlign w:val="center"/>
          </w:tcPr>
          <w:p w14:paraId="7D065E7F">
            <w:pPr>
              <w:spacing w:before="39" w:line="4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w:t>
            </w:r>
            <w:r>
              <w:rPr>
                <w:rFonts w:ascii="宋体" w:hAnsi="宋体" w:eastAsia="宋体"/>
                <w:bCs/>
                <w:color w:val="000000" w:themeColor="text1"/>
                <w:kern w:val="0"/>
                <w:sz w:val="24"/>
                <w:szCs w:val="28"/>
                <w14:textFill>
                  <w14:solidFill>
                    <w14:schemeClr w14:val="tx1"/>
                  </w14:solidFill>
                </w14:textFill>
              </w:rPr>
              <w:t>收费对象</w:t>
            </w:r>
            <w:r>
              <w:rPr>
                <w:rFonts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cs="宋体"/>
                <w:color w:val="000000" w:themeColor="text1"/>
                <w:spacing w:val="14"/>
                <w:sz w:val="24"/>
                <w:szCs w:val="24"/>
                <w14:textFill>
                  <w14:solidFill>
                    <w14:schemeClr w14:val="tx1"/>
                  </w14:solidFill>
                </w14:textFill>
              </w:rPr>
              <w:t>采购人</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FE"/>
            </w:r>
            <w:r>
              <w:rPr>
                <w:rFonts w:ascii="宋体" w:hAnsi="宋体" w:eastAsia="宋体" w:cs="宋体"/>
                <w:color w:val="000000" w:themeColor="text1"/>
                <w:spacing w:val="14"/>
                <w:sz w:val="24"/>
                <w:szCs w:val="24"/>
                <w14:textFill>
                  <w14:solidFill>
                    <w14:schemeClr w14:val="tx1"/>
                  </w14:solidFill>
                </w14:textFill>
              </w:rPr>
              <w:t>中标人</w:t>
            </w:r>
          </w:p>
          <w:p w14:paraId="786416A9">
            <w:pPr>
              <w:spacing w:before="24" w:line="420" w:lineRule="exac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w:t>
            </w:r>
            <w:r>
              <w:rPr>
                <w:rFonts w:ascii="宋体" w:hAnsi="宋体" w:eastAsia="宋体"/>
                <w:bCs/>
                <w:color w:val="000000" w:themeColor="text1"/>
                <w:kern w:val="0"/>
                <w:sz w:val="24"/>
                <w:szCs w:val="28"/>
                <w14:textFill>
                  <w14:solidFill>
                    <w14:schemeClr w14:val="tx1"/>
                  </w14:solidFill>
                </w14:textFill>
              </w:rPr>
              <w:t>收取方式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现金或银行转账</w:t>
            </w:r>
          </w:p>
          <w:p w14:paraId="32C63A38">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（3）</w:t>
            </w:r>
            <w:r>
              <w:rPr>
                <w:rFonts w:ascii="宋体" w:hAnsi="宋体" w:eastAsia="宋体"/>
                <w:b w:val="0"/>
                <w:color w:val="000000" w:themeColor="text1"/>
                <w:sz w:val="24"/>
                <w14:textFill>
                  <w14:solidFill>
                    <w14:schemeClr w14:val="tx1"/>
                  </w14:solidFill>
                </w14:textFill>
              </w:rPr>
              <w:t>收费标准：</w:t>
            </w:r>
            <w:r>
              <w:rPr>
                <w:rFonts w:hint="eastAsia" w:ascii="宋体" w:hAnsi="宋体" w:eastAsia="宋体"/>
                <w:b w:val="0"/>
                <w:color w:val="000000" w:themeColor="text1"/>
                <w:sz w:val="24"/>
                <w:u w:val="single"/>
                <w:lang w:val="en-US" w:eastAsia="zh-CN"/>
                <w14:textFill>
                  <w14:solidFill>
                    <w14:schemeClr w14:val="tx1"/>
                  </w14:solidFill>
                </w14:textFill>
              </w:rPr>
              <w:t xml:space="preserve"> 1995 </w:t>
            </w:r>
            <w:r>
              <w:rPr>
                <w:rFonts w:hint="eastAsia" w:ascii="宋体" w:hAnsi="宋体" w:eastAsia="宋体"/>
                <w:b w:val="0"/>
                <w:color w:val="000000" w:themeColor="text1"/>
                <w:sz w:val="24"/>
                <w:u w:val="single"/>
                <w14:textFill>
                  <w14:solidFill>
                    <w14:schemeClr w14:val="tx1"/>
                  </w14:solidFill>
                </w14:textFill>
              </w:rPr>
              <w:t>元</w:t>
            </w:r>
            <w:r>
              <w:rPr>
                <w:rFonts w:hint="eastAsia" w:ascii="宋体" w:hAnsi="宋体" w:eastAsia="宋体" w:cs="宋体"/>
                <w:color w:val="000000" w:themeColor="text1"/>
                <w:sz w:val="24"/>
                <w:szCs w:val="24"/>
                <w:u w:val="single"/>
                <w14:textFill>
                  <w14:solidFill>
                    <w14:schemeClr w14:val="tx1"/>
                  </w14:solidFill>
                </w14:textFill>
              </w:rPr>
              <w:t>（评审费另计</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以实际发生为准</w:t>
            </w:r>
            <w:r>
              <w:rPr>
                <w:rFonts w:hint="eastAsia" w:ascii="宋体" w:hAnsi="宋体" w:eastAsia="宋体" w:cs="宋体"/>
                <w:color w:val="000000" w:themeColor="text1"/>
                <w:sz w:val="24"/>
                <w:szCs w:val="24"/>
                <w:u w:val="single"/>
                <w14:textFill>
                  <w14:solidFill>
                    <w14:schemeClr w14:val="tx1"/>
                  </w14:solidFill>
                </w14:textFill>
              </w:rPr>
              <w:t>）</w:t>
            </w:r>
          </w:p>
        </w:tc>
      </w:tr>
      <w:tr w14:paraId="4172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162164FD">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3</w:t>
            </w:r>
          </w:p>
        </w:tc>
        <w:tc>
          <w:tcPr>
            <w:tcW w:w="1174" w:type="pct"/>
            <w:tcBorders>
              <w:top w:val="single" w:color="auto" w:sz="4" w:space="0"/>
              <w:bottom w:val="single" w:color="auto" w:sz="4" w:space="0"/>
            </w:tcBorders>
            <w:vAlign w:val="center"/>
          </w:tcPr>
          <w:p w14:paraId="1A2C065E">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25FD106D">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递交方式：</w:t>
            </w:r>
            <w:r>
              <w:rPr>
                <w:rFonts w:hint="eastAsia" w:ascii="宋体" w:hAnsi="宋体" w:eastAsia="宋体"/>
                <w:b w:val="0"/>
                <w:color w:val="000000" w:themeColor="text1"/>
                <w:sz w:val="24"/>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86BFBFD">
            <w:pPr>
              <w:spacing w:line="420" w:lineRule="exact"/>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接收部门：</w:t>
            </w:r>
            <w:r>
              <w:rPr>
                <w:rFonts w:hint="eastAsia" w:ascii="宋体" w:hAnsi="宋体" w:eastAsia="宋体"/>
                <w:bCs/>
                <w:color w:val="000000" w:themeColor="text1"/>
                <w:kern w:val="0"/>
                <w:sz w:val="24"/>
                <w:szCs w:val="28"/>
                <w:u w:val="single"/>
                <w14:textFill>
                  <w14:solidFill>
                    <w14:schemeClr w14:val="tx1"/>
                  </w14:solidFill>
                </w14:textFill>
              </w:rPr>
              <w:t>滁州市第一人民医院、安徽百士德工程咨询有限公司</w:t>
            </w:r>
          </w:p>
          <w:p w14:paraId="61AF034E">
            <w:pPr>
              <w:spacing w:line="420" w:lineRule="exact"/>
              <w:rPr>
                <w:rFonts w:hint="eastAsia" w:ascii="宋体" w:hAnsi="宋体" w:eastAsia="宋体"/>
                <w:color w:val="000000" w:themeColor="text1"/>
                <w:sz w:val="24"/>
                <w:szCs w:val="18"/>
                <w14:textFill>
                  <w14:solidFill>
                    <w14:schemeClr w14:val="tx1"/>
                  </w14:solidFill>
                </w14:textFill>
              </w:rPr>
            </w:pPr>
            <w:r>
              <w:rPr>
                <w:rFonts w:ascii="宋体" w:hAnsi="宋体" w:eastAsia="宋体"/>
                <w:color w:val="000000" w:themeColor="text1"/>
                <w:sz w:val="24"/>
                <w14:textFill>
                  <w14:solidFill>
                    <w14:schemeClr w14:val="tx1"/>
                  </w14:solidFill>
                </w14:textFill>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13955028781</w:t>
            </w:r>
          </w:p>
          <w:p w14:paraId="121EC4D8">
            <w:pPr>
              <w:spacing w:line="420" w:lineRule="exact"/>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通讯地址：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u w:val="single"/>
                <w14:textFill>
                  <w14:solidFill>
                    <w14:schemeClr w14:val="tx1"/>
                  </w14:solidFill>
                </w14:textFill>
              </w:rPr>
              <w:t xml:space="preserve">、滁州市会峰西路72-11号 </w:t>
            </w:r>
          </w:p>
        </w:tc>
      </w:tr>
      <w:tr w14:paraId="2515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595F3629">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32</w:t>
            </w:r>
          </w:p>
        </w:tc>
        <w:tc>
          <w:tcPr>
            <w:tcW w:w="1174" w:type="pct"/>
            <w:tcBorders>
              <w:top w:val="single" w:color="auto" w:sz="4" w:space="0"/>
            </w:tcBorders>
            <w:vAlign w:val="center"/>
          </w:tcPr>
          <w:p w14:paraId="34ADA9FF">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其他内容</w:t>
            </w:r>
          </w:p>
        </w:tc>
        <w:tc>
          <w:tcPr>
            <w:tcW w:w="3244" w:type="pct"/>
            <w:tcBorders>
              <w:top w:val="single" w:color="auto" w:sz="4" w:space="0"/>
            </w:tcBorders>
            <w:vAlign w:val="center"/>
          </w:tcPr>
          <w:p w14:paraId="055F7315">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1.解释权：</w:t>
            </w:r>
          </w:p>
          <w:p w14:paraId="39CE9F22">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构成本招标文件的各个组成文件应互为解释，互为说明；</w:t>
            </w:r>
          </w:p>
          <w:p w14:paraId="46BB9F29">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14:paraId="26D5D07F">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14:paraId="73AC617D">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14:textFill>
                  <w14:solidFill>
                    <w14:schemeClr w14:val="tx1"/>
                  </w14:solidFill>
                </w14:textFill>
              </w:rPr>
              <w:t>投标邀请、</w:t>
            </w:r>
            <w:r>
              <w:rPr>
                <w:rFonts w:asciiTheme="minorEastAsia" w:hAnsiTheme="minorEastAsia" w:eastAsiaTheme="minorEastAsia"/>
                <w:bCs/>
                <w:color w:val="000000" w:themeColor="text1"/>
                <w:sz w:val="24"/>
                <w:szCs w:val="24"/>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14:textFill>
                  <w14:solidFill>
                    <w14:schemeClr w14:val="tx1"/>
                  </w14:solidFill>
                </w14:textFill>
              </w:rPr>
              <w:t>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、投标文件格式的先后顺序解释；</w:t>
            </w:r>
          </w:p>
          <w:p w14:paraId="3724F1F2">
            <w:pPr>
              <w:pStyle w:val="44"/>
              <w:widowControl w:val="0"/>
              <w:spacing w:before="0" w:beforeAutospacing="0" w:after="0" w:afterAutospacing="0" w:line="420" w:lineRule="exact"/>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（5）</w:t>
            </w:r>
            <w:r>
              <w:rPr>
                <w:rFonts w:asciiTheme="minorEastAsia" w:hAnsiTheme="minorEastAsia" w:eastAsiaTheme="minorEastAsia"/>
                <w:b w:val="0"/>
                <w:color w:val="000000" w:themeColor="text1"/>
                <w:kern w:val="2"/>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14:textFill>
                  <w14:solidFill>
                    <w14:schemeClr w14:val="tx1"/>
                  </w14:solidFill>
                </w14:textFill>
              </w:rPr>
              <w:t>采购</w:t>
            </w:r>
            <w:r>
              <w:rPr>
                <w:rFonts w:asciiTheme="minorEastAsia" w:hAnsiTheme="minorEastAsia" w:eastAsiaTheme="minorEastAsia"/>
                <w:b w:val="0"/>
                <w:color w:val="000000" w:themeColor="text1"/>
                <w:kern w:val="2"/>
                <w:sz w:val="24"/>
                <w:szCs w:val="24"/>
                <w14:textFill>
                  <w14:solidFill>
                    <w14:schemeClr w14:val="tx1"/>
                  </w14:solidFill>
                </w14:textFill>
              </w:rPr>
              <w:t>人负责解释。</w:t>
            </w:r>
          </w:p>
          <w:p w14:paraId="1F629C5F">
            <w:pPr>
              <w:pStyle w:val="44"/>
              <w:widowControl w:val="0"/>
              <w:spacing w:before="0" w:beforeAutospacing="0" w:after="0" w:afterAutospacing="0" w:line="420" w:lineRule="exact"/>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Cs w:val="0"/>
                <w:color w:val="000000" w:themeColor="text1"/>
                <w:kern w:val="2"/>
                <w:sz w:val="24"/>
                <w:szCs w:val="24"/>
                <w14:textFill>
                  <w14:solidFill>
                    <w14:schemeClr w14:val="tx1"/>
                  </w14:solidFill>
                </w14:textFill>
              </w:rPr>
              <w:t>（6）投标单位中标后须递交与纸质投标文件完全一致的电子版投标文件一份，一并递交给代理机构。</w:t>
            </w:r>
          </w:p>
        </w:tc>
      </w:tr>
    </w:tbl>
    <w:p w14:paraId="488CB067">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bookmarkStart w:id="35" w:name="_Toc14880"/>
      <w:bookmarkStart w:id="36" w:name="_Toc24882"/>
      <w:r>
        <w:rPr>
          <w:rFonts w:hint="eastAsia" w:asciiTheme="minorEastAsia" w:hAnsiTheme="minorEastAsia" w:eastAsiaTheme="minorEastAsia"/>
          <w:b/>
          <w:color w:val="000000" w:themeColor="text1"/>
          <w:sz w:val="24"/>
          <w:szCs w:val="24"/>
          <w14:textFill>
            <w14:solidFill>
              <w14:schemeClr w14:val="tx1"/>
            </w14:solidFill>
          </w14:textFill>
        </w:rPr>
        <w:t>二、</w:t>
      </w:r>
      <w:r>
        <w:rPr>
          <w:rFonts w:asciiTheme="minorEastAsia" w:hAnsiTheme="minorEastAsia" w:eastAsiaTheme="minorEastAsia"/>
          <w:b/>
          <w:color w:val="000000" w:themeColor="text1"/>
          <w:sz w:val="24"/>
          <w:szCs w:val="24"/>
          <w14:textFill>
            <w14:solidFill>
              <w14:schemeClr w14:val="tx1"/>
            </w14:solidFill>
          </w14:textFill>
        </w:rPr>
        <w:t>投标人须知</w:t>
      </w:r>
      <w:r>
        <w:rPr>
          <w:rFonts w:hint="eastAsia" w:asciiTheme="minorEastAsia" w:hAnsiTheme="minorEastAsia" w:eastAsiaTheme="minorEastAsia"/>
          <w:b/>
          <w:color w:val="000000" w:themeColor="text1"/>
          <w:sz w:val="24"/>
          <w:szCs w:val="24"/>
          <w14:textFill>
            <w14:solidFill>
              <w14:schemeClr w14:val="tx1"/>
            </w14:solidFill>
          </w14:textFill>
        </w:rPr>
        <w:t>正文</w:t>
      </w:r>
      <w:bookmarkEnd w:id="35"/>
      <w:bookmarkEnd w:id="36"/>
    </w:p>
    <w:p w14:paraId="58583270">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1.采购人、采购代理机构及投标人</w:t>
      </w:r>
    </w:p>
    <w:p w14:paraId="4A93D66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.1采购人：是指依法开展政府采购活动的国家机关、事业单位、团体组织。</w:t>
      </w:r>
    </w:p>
    <w:p w14:paraId="249597A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.2采购代理机构：是指集中采购机构或从事采购代理业务的社会中介机构。</w:t>
      </w:r>
    </w:p>
    <w:p w14:paraId="19E7677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.3政府采购监督管理部门：</w:t>
      </w:r>
      <w:r>
        <w:rPr>
          <w:rFonts w:hint="eastAsia" w:ascii="宋体" w:hAnsi="宋体" w:eastAsia="宋体"/>
          <w:color w:val="000000" w:themeColor="text1"/>
          <w:sz w:val="24"/>
          <w14:textFill>
            <w14:solidFill>
              <w14:schemeClr w14:val="tx1"/>
            </w14:solidFill>
          </w14:textFill>
        </w:rPr>
        <w:t>各级人民政府指定的有关部门依法履行与政府采购活动有关的监督管理职责。</w:t>
      </w:r>
    </w:p>
    <w:p w14:paraId="5D780D00">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.4投标人：是指向采购人提供货物、工程或者服务的法人、</w:t>
      </w:r>
      <w:r>
        <w:rPr>
          <w:rFonts w:hint="eastAsia" w:ascii="宋体" w:hAnsi="宋体" w:eastAsia="宋体"/>
          <w:color w:val="000000" w:themeColor="text1"/>
          <w:sz w:val="24"/>
          <w14:textFill>
            <w14:solidFill>
              <w14:schemeClr w14:val="tx1"/>
            </w14:solidFill>
          </w14:textFill>
        </w:rPr>
        <w:t>其他</w:t>
      </w:r>
      <w:r>
        <w:rPr>
          <w:rFonts w:ascii="宋体" w:hAnsi="宋体" w:eastAsia="宋体"/>
          <w:color w:val="000000" w:themeColor="text1"/>
          <w:sz w:val="24"/>
          <w14:textFill>
            <w14:solidFill>
              <w14:schemeClr w14:val="tx1"/>
            </w14:solidFill>
          </w14:textFill>
        </w:rPr>
        <w:t>组织或者自然人。</w:t>
      </w:r>
      <w:r>
        <w:rPr>
          <w:rFonts w:hint="eastAsia" w:ascii="宋体" w:hAnsi="宋体" w:eastAsia="宋体"/>
          <w:color w:val="000000" w:themeColor="text1"/>
          <w:sz w:val="24"/>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14:textFill>
            <w14:solidFill>
              <w14:schemeClr w14:val="tx1"/>
            </w14:solidFill>
          </w14:textFill>
        </w:rPr>
        <w:t>本项目的投标人须满足以下条件：</w:t>
      </w:r>
    </w:p>
    <w:p w14:paraId="6197A69E">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具备《中华人民共和国政府采购法》第二十二条关于供应商条件的规定，遵守本项目采购人本级和上级财政部门政府采购的有关规定。</w:t>
      </w:r>
    </w:p>
    <w:p w14:paraId="11DFF1A3">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以采购代理机构认可的方式获得了本项目的招标文件。</w:t>
      </w:r>
    </w:p>
    <w:p w14:paraId="5745C5D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若招标公告</w:t>
      </w:r>
      <w:r>
        <w:rPr>
          <w:rFonts w:ascii="宋体" w:hAnsi="宋体" w:eastAsia="宋体"/>
          <w:color w:val="000000" w:themeColor="text1"/>
          <w:sz w:val="24"/>
          <w14:textFill>
            <w14:solidFill>
              <w14:schemeClr w14:val="tx1"/>
            </w14:solidFill>
          </w14:textFill>
        </w:rPr>
        <w:t>中允许联合体投标，对联合体规定如下：</w:t>
      </w:r>
    </w:p>
    <w:p w14:paraId="2AC2C755">
      <w:pPr>
        <w:spacing w:line="360" w:lineRule="auto"/>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5.1两个以上供应商可以组成一个投标联合体，以一个投标人的身份投标。联合体投标的，</w:t>
      </w:r>
      <w:r>
        <w:rPr>
          <w:rFonts w:hint="eastAsia" w:ascii="宋体" w:hAnsi="宋体" w:eastAsia="宋体"/>
          <w:color w:val="000000" w:themeColor="text1"/>
          <w:sz w:val="24"/>
          <w14:textFill>
            <w14:solidFill>
              <w14:schemeClr w14:val="tx1"/>
            </w14:solidFill>
          </w14:textFill>
        </w:rPr>
        <w:t>招标文件获取</w:t>
      </w:r>
      <w:r>
        <w:rPr>
          <w:rFonts w:ascii="宋体" w:hAnsi="宋体" w:eastAsia="宋体"/>
          <w:color w:val="000000" w:themeColor="text1"/>
          <w:sz w:val="24"/>
          <w14:textFill>
            <w14:solidFill>
              <w14:schemeClr w14:val="tx1"/>
            </w14:solidFill>
          </w14:textFill>
        </w:rPr>
        <w:t>手续由联合体</w:t>
      </w:r>
      <w:r>
        <w:rPr>
          <w:rFonts w:hint="eastAsia" w:ascii="宋体" w:hAnsi="宋体" w:eastAsia="宋体"/>
          <w:color w:val="000000" w:themeColor="text1"/>
          <w:sz w:val="24"/>
          <w14:textFill>
            <w14:solidFill>
              <w14:schemeClr w14:val="tx1"/>
            </w14:solidFill>
          </w14:textFill>
        </w:rPr>
        <w:t>中</w:t>
      </w:r>
      <w:r>
        <w:rPr>
          <w:rFonts w:ascii="宋体" w:hAnsi="宋体" w:eastAsia="宋体"/>
          <w:color w:val="000000" w:themeColor="text1"/>
          <w:sz w:val="24"/>
          <w14:textFill>
            <w14:solidFill>
              <w14:schemeClr w14:val="tx1"/>
            </w14:solidFill>
          </w14:textFill>
        </w:rPr>
        <w:t>任</w:t>
      </w:r>
      <w:r>
        <w:rPr>
          <w:rFonts w:hint="eastAsia" w:ascii="宋体" w:hAnsi="宋体" w:eastAsia="宋体"/>
          <w:color w:val="000000" w:themeColor="text1"/>
          <w:sz w:val="24"/>
          <w14:textFill>
            <w14:solidFill>
              <w14:schemeClr w14:val="tx1"/>
            </w14:solidFill>
          </w14:textFill>
        </w:rPr>
        <w:t>一成员单位</w:t>
      </w:r>
      <w:r>
        <w:rPr>
          <w:rFonts w:ascii="宋体" w:hAnsi="宋体" w:eastAsia="宋体"/>
          <w:color w:val="000000" w:themeColor="text1"/>
          <w:sz w:val="24"/>
          <w14:textFill>
            <w14:solidFill>
              <w14:schemeClr w14:val="tx1"/>
            </w14:solidFill>
          </w14:textFill>
        </w:rPr>
        <w:t>办理均可。</w:t>
      </w:r>
    </w:p>
    <w:p w14:paraId="0D65CAA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5.2联合体各方均应符合《中华人民共和国政府采购法》第二十二条规定的条件。</w:t>
      </w:r>
    </w:p>
    <w:p w14:paraId="151BC95A">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5.3采购人根据采购项目对投标人的特殊要求，联合体中至少应当有一方符合相关规定。</w:t>
      </w:r>
    </w:p>
    <w:p w14:paraId="6608380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5.4联合体各方应签订</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，明确约定联合体各方承担的工作和相应的责任，并将</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作为投标文件</w:t>
      </w:r>
      <w:r>
        <w:rPr>
          <w:rFonts w:hint="eastAsia" w:ascii="宋体" w:hAnsi="宋体" w:eastAsia="宋体"/>
          <w:color w:val="000000" w:themeColor="text1"/>
          <w:sz w:val="24"/>
          <w14:textFill>
            <w14:solidFill>
              <w14:schemeClr w14:val="tx1"/>
            </w14:solidFill>
          </w14:textFill>
        </w:rPr>
        <w:t>的</w:t>
      </w:r>
      <w:r>
        <w:rPr>
          <w:rFonts w:ascii="宋体" w:hAnsi="宋体" w:eastAsia="宋体"/>
          <w:color w:val="000000" w:themeColor="text1"/>
          <w:sz w:val="24"/>
          <w14:textFill>
            <w14:solidFill>
              <w14:schemeClr w14:val="tx1"/>
            </w14:solidFill>
          </w14:textFill>
        </w:rPr>
        <w:t>一部分提交。</w:t>
      </w:r>
    </w:p>
    <w:p w14:paraId="6459E5B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5.5大中型企业、其他自然人、法人或者非法人组织与小型、微型企业组成联合体共同参加投标，</w:t>
      </w:r>
      <w:r>
        <w:rPr>
          <w:rFonts w:hint="eastAsia" w:ascii="宋体" w:hAnsi="宋体" w:eastAsia="宋体"/>
          <w:color w:val="000000" w:themeColor="text1"/>
          <w:sz w:val="24"/>
          <w14:textFill>
            <w14:solidFill>
              <w14:schemeClr w14:val="tx1"/>
            </w14:solidFill>
          </w14:textFill>
        </w:rPr>
        <w:t>联合协议中</w:t>
      </w:r>
      <w:r>
        <w:rPr>
          <w:rFonts w:ascii="宋体" w:hAnsi="宋体" w:eastAsia="宋体"/>
          <w:color w:val="000000" w:themeColor="text1"/>
          <w:sz w:val="24"/>
          <w14:textFill>
            <w14:solidFill>
              <w14:schemeClr w14:val="tx1"/>
            </w14:solidFill>
          </w14:textFill>
        </w:rPr>
        <w:t>应写明小型、微型企业的协议合同金额占到</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投标总金额的比例。</w:t>
      </w:r>
    </w:p>
    <w:p w14:paraId="67CF804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5.6</w:t>
      </w:r>
      <w:r>
        <w:rPr>
          <w:rFonts w:hint="eastAsia" w:ascii="宋体" w:hAnsi="宋体" w:eastAsia="宋体"/>
          <w:color w:val="000000" w:themeColor="text1"/>
          <w:sz w:val="24"/>
          <w14:textFill>
            <w14:solidFill>
              <w14:schemeClr w14:val="tx1"/>
            </w14:solidFill>
          </w14:textFill>
        </w:rPr>
        <w:t>联合体中有同类资质的供应商按照联合体分工承担相同工作的，</w:t>
      </w:r>
      <w:r>
        <w:rPr>
          <w:rFonts w:ascii="宋体" w:hAnsi="宋体" w:eastAsia="宋体"/>
          <w:color w:val="000000" w:themeColor="text1"/>
          <w:sz w:val="24"/>
          <w14:textFill>
            <w14:solidFill>
              <w14:schemeClr w14:val="tx1"/>
            </w14:solidFill>
          </w14:textFill>
        </w:rPr>
        <w:t>应当按照</w:t>
      </w:r>
      <w:r>
        <w:rPr>
          <w:rFonts w:hint="eastAsia" w:ascii="宋体" w:hAnsi="宋体" w:eastAsia="宋体"/>
          <w:color w:val="000000" w:themeColor="text1"/>
          <w:sz w:val="24"/>
          <w14:textFill>
            <w14:solidFill>
              <w14:schemeClr w14:val="tx1"/>
            </w14:solidFill>
          </w14:textFill>
        </w:rPr>
        <w:t>资质等级较低的供应商确定资质等级。</w:t>
      </w:r>
    </w:p>
    <w:p w14:paraId="1E788D2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5.7以联合体形式参加政府采购活动的，联合体各方不得再单独参加或者与其他供应商另外组成联合体参加本项目投标，否则相关投标将被认定为</w:t>
      </w:r>
      <w:r>
        <w:rPr>
          <w:rFonts w:ascii="宋体" w:hAnsi="宋体" w:eastAsia="宋体"/>
          <w:b/>
          <w:color w:val="000000" w:themeColor="text1"/>
          <w:sz w:val="24"/>
          <w14:textFill>
            <w14:solidFill>
              <w14:schemeClr w14:val="tx1"/>
            </w14:solidFill>
          </w14:textFill>
        </w:rPr>
        <w:t>投标无效</w:t>
      </w:r>
      <w:r>
        <w:rPr>
          <w:rFonts w:ascii="宋体" w:hAnsi="宋体" w:eastAsia="宋体"/>
          <w:color w:val="000000" w:themeColor="text1"/>
          <w:sz w:val="24"/>
          <w14:textFill>
            <w14:solidFill>
              <w14:schemeClr w14:val="tx1"/>
            </w14:solidFill>
          </w14:textFill>
        </w:rPr>
        <w:t>。</w:t>
      </w:r>
    </w:p>
    <w:p w14:paraId="11CC63A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5.8对联合体投标的其他资格要求见</w:t>
      </w:r>
      <w:r>
        <w:rPr>
          <w:rFonts w:hint="eastAsia" w:ascii="宋体" w:hAnsi="宋体" w:eastAsia="宋体"/>
          <w:color w:val="000000" w:themeColor="text1"/>
          <w:sz w:val="24"/>
          <w14:textFill>
            <w14:solidFill>
              <w14:schemeClr w14:val="tx1"/>
            </w14:solidFill>
          </w14:textFill>
        </w:rPr>
        <w:t>申请人的资格要求</w:t>
      </w:r>
      <w:r>
        <w:rPr>
          <w:rFonts w:ascii="宋体" w:hAnsi="宋体" w:eastAsia="宋体"/>
          <w:color w:val="000000" w:themeColor="text1"/>
          <w:sz w:val="24"/>
          <w14:textFill>
            <w14:solidFill>
              <w14:schemeClr w14:val="tx1"/>
            </w14:solidFill>
          </w14:textFill>
        </w:rPr>
        <w:t>。</w:t>
      </w:r>
    </w:p>
    <w:p w14:paraId="69176D2E">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2.资金落实情况</w:t>
      </w:r>
    </w:p>
    <w:p w14:paraId="42C47F6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本</w:t>
      </w:r>
      <w:r>
        <w:rPr>
          <w:rFonts w:hint="eastAsia" w:ascii="宋体" w:hAnsi="宋体" w:eastAsia="宋体"/>
          <w:color w:val="000000" w:themeColor="text1"/>
          <w:sz w:val="24"/>
          <w14:textFill>
            <w14:solidFill>
              <w14:schemeClr w14:val="tx1"/>
            </w14:solidFill>
          </w14:textFill>
        </w:rPr>
        <w:t>项目</w:t>
      </w:r>
      <w:r>
        <w:rPr>
          <w:rFonts w:hint="eastAsia" w:asciiTheme="minorEastAsia" w:hAnsiTheme="minorEastAsia" w:eastAsiaTheme="minorEastAsia"/>
          <w:color w:val="000000" w:themeColor="text1"/>
          <w:sz w:val="24"/>
          <w14:textFill>
            <w14:solidFill>
              <w14:schemeClr w14:val="tx1"/>
            </w14:solidFill>
          </w14:textFill>
        </w:rPr>
        <w:t>的采购人已获得足以支付本次招标后所签订的合同项下的资金。</w:t>
      </w:r>
    </w:p>
    <w:p w14:paraId="0758C919">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3.投标费用</w:t>
      </w:r>
    </w:p>
    <w:p w14:paraId="7427716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不论投标的结果如何，投标人应承担所有与准备和参加投标有关的费用。</w:t>
      </w:r>
    </w:p>
    <w:p w14:paraId="2836C53A">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4.适用法律</w:t>
      </w:r>
    </w:p>
    <w:p w14:paraId="5839141E">
      <w:pPr>
        <w:spacing w:line="360" w:lineRule="auto"/>
        <w:ind w:firstLine="435"/>
        <w:rPr>
          <w:rFonts w:hint="eastAsia" w:asciiTheme="minorEastAsia" w:hAnsiTheme="minorEastAsia" w:eastAsiaTheme="minorEastAsia"/>
          <w:b/>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0C598C5">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5.招标文件构成</w:t>
      </w:r>
    </w:p>
    <w:p w14:paraId="5782772F">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5.1招标文件包括下列内容：</w:t>
      </w:r>
    </w:p>
    <w:p w14:paraId="43233A10">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第一章</w:t>
      </w:r>
      <w:r>
        <w:rPr>
          <w:rFonts w:asciiTheme="minorEastAsia" w:hAnsiTheme="minorEastAsia" w:eastAsiaTheme="minorEastAsia"/>
          <w:color w:val="000000" w:themeColor="text1"/>
          <w:sz w:val="24"/>
          <w14:textFill>
            <w14:solidFill>
              <w14:schemeClr w14:val="tx1"/>
            </w14:solidFill>
          </w14:textFill>
        </w:rPr>
        <w:t xml:space="preserve">  投标邀请</w:t>
      </w:r>
    </w:p>
    <w:p w14:paraId="3977588C">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第二章</w:t>
      </w:r>
      <w:r>
        <w:rPr>
          <w:rFonts w:asciiTheme="minorEastAsia" w:hAnsiTheme="minorEastAsia" w:eastAsiaTheme="minorEastAsia"/>
          <w:color w:val="000000" w:themeColor="text1"/>
          <w:sz w:val="24"/>
          <w14:textFill>
            <w14:solidFill>
              <w14:schemeClr w14:val="tx1"/>
            </w14:solidFill>
          </w14:textFill>
        </w:rPr>
        <w:t xml:space="preserve">  投标人须知</w:t>
      </w:r>
    </w:p>
    <w:p w14:paraId="328CB971">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第三章</w:t>
      </w:r>
      <w:r>
        <w:rPr>
          <w:rFonts w:asciiTheme="minorEastAsia" w:hAnsiTheme="minorEastAsia" w:eastAsiaTheme="minorEastAsia"/>
          <w:color w:val="000000" w:themeColor="text1"/>
          <w:sz w:val="24"/>
          <w14:textFill>
            <w14:solidFill>
              <w14:schemeClr w14:val="tx1"/>
            </w14:solidFill>
          </w14:textFill>
        </w:rPr>
        <w:t xml:space="preserve">  采购需求</w:t>
      </w:r>
    </w:p>
    <w:p w14:paraId="5BB301EF">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第四章</w:t>
      </w:r>
      <w:r>
        <w:rPr>
          <w:rFonts w:asciiTheme="minorEastAsia" w:hAnsiTheme="minorEastAsia" w:eastAsiaTheme="minorEastAsia"/>
          <w:color w:val="000000" w:themeColor="text1"/>
          <w:sz w:val="24"/>
          <w14:textFill>
            <w14:solidFill>
              <w14:schemeClr w14:val="tx1"/>
            </w14:solidFill>
          </w14:textFill>
        </w:rPr>
        <w:t xml:space="preserve">  评标</w:t>
      </w:r>
      <w:r>
        <w:rPr>
          <w:rFonts w:hint="eastAsia" w:asciiTheme="minorEastAsia" w:hAnsiTheme="minorEastAsia" w:eastAsiaTheme="minorEastAsia"/>
          <w:color w:val="000000" w:themeColor="text1"/>
          <w:sz w:val="24"/>
          <w14:textFill>
            <w14:solidFill>
              <w14:schemeClr w14:val="tx1"/>
            </w14:solidFill>
          </w14:textFill>
        </w:rPr>
        <w:t>方法</w:t>
      </w:r>
      <w:r>
        <w:rPr>
          <w:rFonts w:asciiTheme="minorEastAsia" w:hAnsiTheme="minorEastAsia" w:eastAsiaTheme="minorEastAsia"/>
          <w:color w:val="000000" w:themeColor="text1"/>
          <w:sz w:val="24"/>
          <w14:textFill>
            <w14:solidFill>
              <w14:schemeClr w14:val="tx1"/>
            </w14:solidFill>
          </w14:textFill>
        </w:rPr>
        <w:t>和标准</w:t>
      </w:r>
    </w:p>
    <w:p w14:paraId="7D5E1E83">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第五章</w:t>
      </w:r>
      <w:r>
        <w:rPr>
          <w:rFonts w:asciiTheme="minorEastAsia" w:hAnsiTheme="minorEastAsia" w:eastAsiaTheme="minorEastAsia"/>
          <w:color w:val="000000" w:themeColor="text1"/>
          <w:sz w:val="24"/>
          <w14:textFill>
            <w14:solidFill>
              <w14:schemeClr w14:val="tx1"/>
            </w14:solidFill>
          </w14:textFill>
        </w:rPr>
        <w:t xml:space="preserve">  政府采购合同</w:t>
      </w:r>
    </w:p>
    <w:p w14:paraId="1EC58EFD">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第六章</w:t>
      </w:r>
      <w:r>
        <w:rPr>
          <w:rFonts w:asciiTheme="minorEastAsia" w:hAnsiTheme="minorEastAsia" w:eastAsiaTheme="minorEastAsia"/>
          <w:color w:val="000000" w:themeColor="text1"/>
          <w:sz w:val="24"/>
          <w14:textFill>
            <w14:solidFill>
              <w14:schemeClr w14:val="tx1"/>
            </w14:solidFill>
          </w14:textFill>
        </w:rPr>
        <w:t xml:space="preserve">  投标文件格式</w:t>
      </w:r>
    </w:p>
    <w:p w14:paraId="1C0B3C15">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第七章</w:t>
      </w:r>
      <w:r>
        <w:rPr>
          <w:rFonts w:asciiTheme="minorEastAsia" w:hAnsiTheme="minorEastAsia" w:eastAsiaTheme="minorEastAsia"/>
          <w:color w:val="000000" w:themeColor="text1"/>
          <w:sz w:val="24"/>
          <w14:textFill>
            <w14:solidFill>
              <w14:schemeClr w14:val="tx1"/>
            </w14:solidFill>
          </w14:textFill>
        </w:rPr>
        <w:t xml:space="preserve">  政府采购</w:t>
      </w:r>
      <w:r>
        <w:rPr>
          <w:rFonts w:hint="eastAsia" w:asciiTheme="minorEastAsia" w:hAnsiTheme="minorEastAsia" w:eastAsiaTheme="minorEastAsia"/>
          <w:color w:val="000000" w:themeColor="text1"/>
          <w:sz w:val="24"/>
          <w14:textFill>
            <w14:solidFill>
              <w14:schemeClr w14:val="tx1"/>
            </w14:solidFill>
          </w14:textFill>
        </w:rPr>
        <w:t>询问函和</w:t>
      </w:r>
      <w:r>
        <w:rPr>
          <w:rFonts w:asciiTheme="minorEastAsia" w:hAnsiTheme="minorEastAsia" w:eastAsiaTheme="minorEastAsia"/>
          <w:color w:val="000000" w:themeColor="text1"/>
          <w:sz w:val="24"/>
          <w14:textFill>
            <w14:solidFill>
              <w14:schemeClr w14:val="tx1"/>
            </w14:solidFill>
          </w14:textFill>
        </w:rPr>
        <w:t>质疑函范本</w:t>
      </w:r>
    </w:p>
    <w:p w14:paraId="760C9FA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现场</w:t>
      </w:r>
      <w:r>
        <w:rPr>
          <w:rFonts w:hint="eastAsia" w:asciiTheme="minorEastAsia" w:hAnsiTheme="minorEastAsia" w:eastAsiaTheme="minorEastAsia"/>
          <w:color w:val="000000" w:themeColor="text1"/>
          <w:sz w:val="24"/>
          <w14:textFill>
            <w14:solidFill>
              <w14:schemeClr w14:val="tx1"/>
            </w14:solidFill>
          </w14:textFill>
        </w:rPr>
        <w:t>考察（标前答疑会）</w:t>
      </w:r>
      <w:r>
        <w:rPr>
          <w:rFonts w:asciiTheme="minorEastAsia" w:hAnsiTheme="minorEastAsia" w:eastAsiaTheme="minorEastAsia"/>
          <w:color w:val="000000" w:themeColor="text1"/>
          <w:sz w:val="24"/>
          <w14:textFill>
            <w14:solidFill>
              <w14:schemeClr w14:val="tx1"/>
            </w14:solidFill>
          </w14:textFill>
        </w:rPr>
        <w:t>及相关事项见</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w:t>
      </w:r>
    </w:p>
    <w:p w14:paraId="5D54F7E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原则上采购人、采购代理机构不要求投标人提供样品。仅凭书面方式不能准确描述采购需求，或者需要对样品进行主观判断以确认是否满足采购需求等特殊情况除外。</w:t>
      </w:r>
    </w:p>
    <w:p w14:paraId="1FB7EC2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如需提供样品，对样品相关要求见</w:t>
      </w:r>
      <w:r>
        <w:rPr>
          <w:rFonts w:hint="eastAsia" w:asciiTheme="minorEastAsia" w:hAnsiTheme="minorEastAsia" w:eastAsiaTheme="minorEastAsia"/>
          <w:color w:val="000000" w:themeColor="text1"/>
          <w:sz w:val="24"/>
          <w14:textFill>
            <w14:solidFill>
              <w14:schemeClr w14:val="tx1"/>
            </w14:solidFill>
          </w14:textFill>
        </w:rPr>
        <w:t>采购需求</w:t>
      </w:r>
      <w:r>
        <w:rPr>
          <w:rFonts w:asciiTheme="minorEastAsia" w:hAnsiTheme="minorEastAsia" w:eastAsiaTheme="minorEastAsia"/>
          <w:color w:val="000000" w:themeColor="text1"/>
          <w:sz w:val="24"/>
          <w14:textFill>
            <w14:solidFill>
              <w14:schemeClr w14:val="tx1"/>
            </w14:solidFill>
          </w14:textFill>
        </w:rPr>
        <w:t>，对样品的评审方法及评审标准见招标文件第</w:t>
      </w:r>
      <w:r>
        <w:rPr>
          <w:rFonts w:hint="eastAsia" w:asciiTheme="minorEastAsia" w:hAnsiTheme="minorEastAsia" w:eastAsiaTheme="minorEastAsia"/>
          <w:color w:val="000000" w:themeColor="text1"/>
          <w:sz w:val="24"/>
          <w14:textFill>
            <w14:solidFill>
              <w14:schemeClr w14:val="tx1"/>
            </w14:solidFill>
          </w14:textFill>
        </w:rPr>
        <w:t>四</w:t>
      </w:r>
      <w:r>
        <w:rPr>
          <w:rFonts w:asciiTheme="minorEastAsia" w:hAnsiTheme="minorEastAsia" w:eastAsiaTheme="minorEastAsia"/>
          <w:color w:val="000000" w:themeColor="text1"/>
          <w:sz w:val="24"/>
          <w14:textFill>
            <w14:solidFill>
              <w14:schemeClr w14:val="tx1"/>
            </w14:solidFill>
          </w14:textFill>
        </w:rPr>
        <w:t>章。</w:t>
      </w:r>
    </w:p>
    <w:p w14:paraId="6DEA8E3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投标人应认真阅读招标文件所有的事项、格式、条款和技术规范等。</w:t>
      </w:r>
    </w:p>
    <w:p w14:paraId="5A5DF6B2">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6.招标文件的澄清与修改</w:t>
      </w:r>
    </w:p>
    <w:p w14:paraId="61CDDF1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投标人如对招标文件内容有疑问，</w:t>
      </w:r>
      <w:r>
        <w:rPr>
          <w:rFonts w:hint="eastAsia" w:asciiTheme="minorEastAsia" w:hAnsiTheme="minorEastAsia" w:eastAsiaTheme="minorEastAsia"/>
          <w:color w:val="000000" w:themeColor="text1"/>
          <w:sz w:val="24"/>
          <w14:textFill>
            <w14:solidFill>
              <w14:schemeClr w14:val="tx1"/>
            </w14:solidFill>
          </w14:textFill>
        </w:rPr>
        <w:t>可</w:t>
      </w:r>
      <w:r>
        <w:rPr>
          <w:rFonts w:asciiTheme="minorEastAsia" w:hAnsiTheme="minorEastAsia" w:eastAsiaTheme="minorEastAsia"/>
          <w:color w:val="000000" w:themeColor="text1"/>
          <w:sz w:val="24"/>
          <w14:textFill>
            <w14:solidFill>
              <w14:schemeClr w14:val="tx1"/>
            </w14:solidFill>
          </w14:textFill>
        </w:rPr>
        <w:t>在</w:t>
      </w:r>
      <w:r>
        <w:rPr>
          <w:rFonts w:ascii="宋体" w:hAnsi="宋体" w:eastAsia="宋体"/>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规定的</w:t>
      </w:r>
      <w:r>
        <w:rPr>
          <w:rFonts w:hint="eastAsia" w:asciiTheme="minorEastAsia" w:hAnsiTheme="minorEastAsia" w:eastAsiaTheme="minorEastAsia"/>
          <w:color w:val="000000" w:themeColor="text1"/>
          <w:sz w:val="24"/>
          <w14:textFill>
            <w14:solidFill>
              <w14:schemeClr w14:val="tx1"/>
            </w14:solidFill>
          </w14:textFill>
        </w:rPr>
        <w:t>网上询问</w:t>
      </w:r>
      <w:r>
        <w:rPr>
          <w:rFonts w:asciiTheme="minorEastAsia" w:hAnsiTheme="minorEastAsia" w:eastAsiaTheme="minorEastAsia"/>
          <w:color w:val="000000" w:themeColor="text1"/>
          <w:sz w:val="24"/>
          <w14:textFill>
            <w14:solidFill>
              <w14:schemeClr w14:val="tx1"/>
            </w14:solidFill>
          </w14:textFill>
        </w:rPr>
        <w:t>截止时间前以</w:t>
      </w:r>
      <w:r>
        <w:rPr>
          <w:rFonts w:hint="eastAsia" w:ascii="宋体" w:hAnsi="宋体" w:eastAsia="宋体" w:cs="宋体"/>
          <w:color w:val="000000" w:themeColor="text1"/>
          <w:sz w:val="24"/>
          <w:szCs w:val="24"/>
          <w14:textFill>
            <w14:solidFill>
              <w14:schemeClr w14:val="tx1"/>
            </w14:solidFill>
          </w14:textFill>
        </w:rPr>
        <w:t>电子邮件形式向采购代理机构（采购代理机构邮箱：82358483@qq.com）提交疑问</w:t>
      </w:r>
      <w:r>
        <w:rPr>
          <w:rFonts w:asciiTheme="minorEastAsia" w:hAnsiTheme="minorEastAsia" w:eastAsiaTheme="minorEastAsia"/>
          <w:color w:val="000000" w:themeColor="text1"/>
          <w:sz w:val="24"/>
          <w14:textFill>
            <w14:solidFill>
              <w14:schemeClr w14:val="tx1"/>
            </w14:solidFill>
          </w14:textFill>
        </w:rPr>
        <w:t>。</w:t>
      </w:r>
    </w:p>
    <w:p w14:paraId="31F503D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2采购人可主动地或在答复投标人提出的询问时对招标文件进行澄清与修改。</w:t>
      </w:r>
      <w:r>
        <w:rPr>
          <w:rFonts w:asciiTheme="minorEastAsia" w:hAnsiTheme="minorEastAsia" w:eastAsiaTheme="minorEastAsia"/>
          <w:color w:val="000000" w:themeColor="text1"/>
          <w:sz w:val="24"/>
          <w14:textFill>
            <w14:solidFill>
              <w14:schemeClr w14:val="tx1"/>
            </w14:solidFill>
          </w14:textFill>
        </w:rPr>
        <w:t>采购代理机构将</w:t>
      </w:r>
      <w:r>
        <w:rPr>
          <w:rFonts w:hint="eastAsia" w:asciiTheme="minorEastAsia" w:hAnsiTheme="minorEastAsia" w:eastAsiaTheme="minorEastAsia"/>
          <w:color w:val="000000" w:themeColor="text1"/>
          <w:sz w:val="24"/>
          <w14:textFill>
            <w14:solidFill>
              <w14:schemeClr w14:val="tx1"/>
            </w14:solidFill>
          </w14:textFill>
        </w:rPr>
        <w:t>在滁州市第一人民医院网以发布更正公告的方式</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澄清或修改招标文件，更正公告的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color w:val="000000" w:themeColor="text1"/>
          <w:sz w:val="24"/>
          <w14:textFill>
            <w14:solidFill>
              <w14:schemeClr w14:val="tx1"/>
            </w14:solidFill>
          </w14:textFill>
        </w:rPr>
        <w:t>作</w:t>
      </w:r>
      <w:r>
        <w:rPr>
          <w:rFonts w:asciiTheme="minorEastAsia" w:hAnsiTheme="minorEastAsia" w:eastAsiaTheme="minorEastAsia"/>
          <w:color w:val="000000" w:themeColor="text1"/>
          <w:sz w:val="24"/>
          <w14:textFill>
            <w14:solidFill>
              <w14:schemeClr w14:val="tx1"/>
            </w14:solidFill>
          </w14:textFill>
        </w:rPr>
        <w:t>为招标文件</w:t>
      </w:r>
      <w:r>
        <w:rPr>
          <w:rFonts w:hint="eastAsia" w:asciiTheme="minorEastAsia" w:hAnsiTheme="minorEastAsia" w:eastAsiaTheme="minorEastAsia"/>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组成部分，对投标人起约束作用</w:t>
      </w:r>
      <w:r>
        <w:rPr>
          <w:rFonts w:hint="eastAsia" w:asciiTheme="minorEastAsia" w:hAnsiTheme="minorEastAsia" w:eastAsiaTheme="minorEastAsia"/>
          <w:color w:val="000000" w:themeColor="text1"/>
          <w:sz w:val="24"/>
          <w14:textFill>
            <w14:solidFill>
              <w14:schemeClr w14:val="tx1"/>
            </w14:solidFill>
          </w14:textFill>
        </w:rPr>
        <w:t>。投标人应主动上网查询。采购代理机构不承担投标人未及时关注相关信息引发的相关责任。</w:t>
      </w:r>
    </w:p>
    <w:p w14:paraId="1FA16B0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E93EB86">
      <w:pPr>
        <w:spacing w:line="360" w:lineRule="auto"/>
        <w:ind w:firstLine="435"/>
        <w:rPr>
          <w:rFonts w:hint="eastAsia" w:asciiTheme="minorEastAsia" w:hAnsiTheme="minorEastAsia" w:eastAsiaTheme="minorEastAsia"/>
          <w:i/>
          <w:i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对于</w:t>
      </w:r>
      <w:r>
        <w:rPr>
          <w:rFonts w:ascii="宋体" w:hAnsi="宋体" w:eastAsia="宋体"/>
          <w:color w:val="000000" w:themeColor="text1"/>
          <w:sz w:val="24"/>
          <w14:textFill>
            <w14:solidFill>
              <w14:schemeClr w14:val="tx1"/>
            </w14:solidFill>
          </w14:textFill>
        </w:rPr>
        <w:t>没有</w:t>
      </w:r>
      <w:r>
        <w:rPr>
          <w:rFonts w:asciiTheme="minorEastAsia" w:hAnsiTheme="minorEastAsia" w:eastAsiaTheme="minorEastAsia"/>
          <w:color w:val="000000" w:themeColor="text1"/>
          <w:sz w:val="24"/>
          <w14:textFill>
            <w14:solidFill>
              <w14:schemeClr w14:val="tx1"/>
            </w14:solidFill>
          </w14:textFill>
        </w:rPr>
        <w:t>提出</w:t>
      </w:r>
      <w:r>
        <w:rPr>
          <w:rFonts w:hint="eastAsia" w:asciiTheme="minorEastAsia" w:hAnsiTheme="minorEastAsia" w:eastAsiaTheme="minorEastAsia"/>
          <w:color w:val="000000" w:themeColor="text1"/>
          <w:sz w:val="24"/>
          <w14:textFill>
            <w14:solidFill>
              <w14:schemeClr w14:val="tx1"/>
            </w14:solidFill>
          </w14:textFill>
        </w:rPr>
        <w:t>疑问</w:t>
      </w:r>
      <w:r>
        <w:rPr>
          <w:rFonts w:asciiTheme="minorEastAsia" w:hAnsiTheme="minorEastAsia" w:eastAsiaTheme="minorEastAsia"/>
          <w:color w:val="000000" w:themeColor="text1"/>
          <w:sz w:val="24"/>
          <w14:textFill>
            <w14:solidFill>
              <w14:schemeClr w14:val="tx1"/>
            </w14:solidFill>
          </w14:textFill>
        </w:rPr>
        <w:t>又参与了</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项目投标的</w:t>
      </w:r>
      <w:r>
        <w:rPr>
          <w:rFonts w:hint="eastAsia" w:asciiTheme="minorEastAsia" w:hAnsiTheme="minorEastAsia" w:eastAsiaTheme="minorEastAsia"/>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将被视为完全认同</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招标文件（含</w:t>
      </w:r>
      <w:r>
        <w:rPr>
          <w:rFonts w:hint="eastAsia" w:asciiTheme="minorEastAsia" w:hAnsiTheme="minorEastAsia" w:eastAsiaTheme="minorEastAsia"/>
          <w:color w:val="000000" w:themeColor="text1"/>
          <w:sz w:val="24"/>
          <w14:textFill>
            <w14:solidFill>
              <w14:schemeClr w14:val="tx1"/>
            </w14:solidFill>
          </w14:textFill>
        </w:rPr>
        <w:t>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i/>
          <w:color w:val="000000" w:themeColor="text1"/>
          <w:sz w:val="24"/>
          <w14:textFill>
            <w14:solidFill>
              <w14:schemeClr w14:val="tx1"/>
            </w14:solidFill>
          </w14:textFill>
        </w:rPr>
        <w:t>。</w:t>
      </w:r>
    </w:p>
    <w:p w14:paraId="5BBF3072">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7.投标范围及投标文件中标准和计量单位的使用</w:t>
      </w:r>
    </w:p>
    <w:p w14:paraId="50B26B2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项目</w:t>
      </w:r>
      <w:r>
        <w:rPr>
          <w:rFonts w:asciiTheme="minorEastAsia" w:hAnsiTheme="minorEastAsia" w:eastAsiaTheme="minorEastAsia"/>
          <w:color w:val="000000" w:themeColor="text1"/>
          <w:sz w:val="24"/>
          <w14:textFill>
            <w14:solidFill>
              <w14:schemeClr w14:val="tx1"/>
            </w14:solidFill>
          </w14:textFill>
        </w:rPr>
        <w:t>有分包的，投标人可对招标文件其中某一个或几个分包进行投标，除非在</w:t>
      </w:r>
      <w:r>
        <w:rPr>
          <w:rFonts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中另有规定。</w:t>
      </w:r>
    </w:p>
    <w:p w14:paraId="67C61DB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.2投标人应当对所投分包招标文件中“</w:t>
      </w:r>
      <w:r>
        <w:rPr>
          <w:rFonts w:hint="eastAsia" w:asciiTheme="minorEastAsia" w:hAnsiTheme="minorEastAsia" w:eastAsiaTheme="minorEastAsia"/>
          <w:color w:val="000000" w:themeColor="text1"/>
          <w:sz w:val="24"/>
          <w14:textFill>
            <w14:solidFill>
              <w14:schemeClr w14:val="tx1"/>
            </w14:solidFill>
          </w14:textFill>
        </w:rPr>
        <w:t>采购</w:t>
      </w:r>
      <w:r>
        <w:rPr>
          <w:rFonts w:asciiTheme="minorEastAsia" w:hAnsiTheme="minorEastAsia" w:eastAsiaTheme="minorEastAsia"/>
          <w:color w:val="000000" w:themeColor="text1"/>
          <w:sz w:val="24"/>
          <w14:textFill>
            <w14:solidFill>
              <w14:schemeClr w14:val="tx1"/>
            </w14:solidFill>
          </w14:textFill>
        </w:rPr>
        <w:t>需求”所列的所有内容进行投标，如仅响应</w:t>
      </w:r>
      <w:r>
        <w:rPr>
          <w:rFonts w:hint="eastAsia" w:asciiTheme="minorEastAsia" w:hAnsiTheme="minorEastAsia" w:eastAsiaTheme="minorEastAsia"/>
          <w:color w:val="000000" w:themeColor="text1"/>
          <w:sz w:val="24"/>
          <w14:textFill>
            <w14:solidFill>
              <w14:schemeClr w14:val="tx1"/>
            </w14:solidFill>
          </w14:textFill>
        </w:rPr>
        <w:t>所投包别</w:t>
      </w:r>
      <w:r>
        <w:rPr>
          <w:rFonts w:asciiTheme="minorEastAsia" w:hAnsiTheme="minorEastAsia" w:eastAsiaTheme="minorEastAsia"/>
          <w:color w:val="000000" w:themeColor="text1"/>
          <w:sz w:val="24"/>
          <w14:textFill>
            <w14:solidFill>
              <w14:schemeClr w14:val="tx1"/>
            </w14:solidFill>
          </w14:textFill>
        </w:rPr>
        <w:t>中的部分内容，其</w:t>
      </w:r>
      <w:r>
        <w:rPr>
          <w:rFonts w:hint="eastAsia" w:asciiTheme="minorEastAsia" w:hAnsiTheme="minorEastAsia" w:eastAsiaTheme="minorEastAsia"/>
          <w:color w:val="000000" w:themeColor="text1"/>
          <w:sz w:val="24"/>
          <w14:textFill>
            <w14:solidFill>
              <w14:schemeClr w14:val="tx1"/>
            </w14:solidFill>
          </w14:textFill>
        </w:rPr>
        <w:t>所投包别的</w:t>
      </w:r>
      <w:r>
        <w:rPr>
          <w:rFonts w:asciiTheme="minorEastAsia" w:hAnsiTheme="minorEastAsia" w:eastAsiaTheme="minorEastAsia"/>
          <w:color w:val="000000" w:themeColor="text1"/>
          <w:sz w:val="24"/>
          <w14:textFill>
            <w14:solidFill>
              <w14:schemeClr w14:val="tx1"/>
            </w14:solidFill>
          </w14:textFill>
        </w:rPr>
        <w:t>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366F188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bookmarkStart w:id="37" w:name="_Hlk16458980"/>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.3无论招标文件中是否要求，</w:t>
      </w:r>
      <w:r>
        <w:rPr>
          <w:rFonts w:hint="eastAsia" w:asciiTheme="minorEastAsia" w:hAnsiTheme="minorEastAsia" w:eastAsiaTheme="minorEastAsia"/>
          <w:color w:val="000000" w:themeColor="text1"/>
          <w:sz w:val="24"/>
          <w14:textFill>
            <w14:solidFill>
              <w14:schemeClr w14:val="tx1"/>
            </w14:solidFill>
          </w14:textFill>
        </w:rPr>
        <w:t>投标人所投货物、服务和工程均应符合国家强制性标准。</w:t>
      </w:r>
    </w:p>
    <w:bookmarkEnd w:id="37"/>
    <w:p w14:paraId="5F0CB01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投标人与采购</w:t>
      </w:r>
      <w:r>
        <w:rPr>
          <w:rFonts w:hint="eastAsia" w:asciiTheme="minorEastAsia" w:hAnsiTheme="minorEastAsia" w:eastAsiaTheme="minorEastAsia"/>
          <w:color w:val="000000" w:themeColor="text1"/>
          <w:sz w:val="24"/>
          <w14:textFill>
            <w14:solidFill>
              <w14:schemeClr w14:val="tx1"/>
            </w14:solidFill>
          </w14:textFill>
        </w:rPr>
        <w:t>代理</w:t>
      </w:r>
      <w:r>
        <w:rPr>
          <w:rFonts w:asciiTheme="minorEastAsia" w:hAnsiTheme="minorEastAsia" w:eastAsiaTheme="minorEastAsia"/>
          <w:color w:val="000000" w:themeColor="text1"/>
          <w:sz w:val="24"/>
          <w14:textFill>
            <w14:solidFill>
              <w14:schemeClr w14:val="tx1"/>
            </w14:solidFill>
          </w14:textFill>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4CCFD7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除</w:t>
      </w:r>
      <w:r>
        <w:rPr>
          <w:rFonts w:ascii="宋体" w:hAnsi="宋体" w:eastAsia="宋体"/>
          <w:color w:val="000000" w:themeColor="text1"/>
          <w:sz w:val="24"/>
          <w14:textFill>
            <w14:solidFill>
              <w14:schemeClr w14:val="tx1"/>
            </w14:solidFill>
          </w14:textFill>
        </w:rPr>
        <w:t>招标文件</w:t>
      </w:r>
      <w:r>
        <w:rPr>
          <w:rFonts w:asciiTheme="minorEastAsia" w:hAnsiTheme="minorEastAsia" w:eastAsiaTheme="minorEastAsia"/>
          <w:color w:val="000000" w:themeColor="text1"/>
          <w:sz w:val="24"/>
          <w14:textFill>
            <w14:solidFill>
              <w14:schemeClr w14:val="tx1"/>
            </w14:solidFill>
          </w14:textFill>
        </w:rPr>
        <w:t>中有特殊要求外，投标文件中所使用的计量单位，应采用中华人民共和国法定计量单位。</w:t>
      </w:r>
    </w:p>
    <w:p w14:paraId="47236E4E">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投标文件构成</w:t>
      </w:r>
    </w:p>
    <w:p w14:paraId="354B7E2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应完整地按招标文件提供的投标文件格式及要求</w:t>
      </w:r>
      <w:r>
        <w:rPr>
          <w:rFonts w:hint="eastAsia" w:asciiTheme="minorEastAsia" w:hAnsiTheme="minorEastAsia" w:eastAsiaTheme="minorEastAsia"/>
          <w:color w:val="000000" w:themeColor="text1"/>
          <w:sz w:val="24"/>
          <w14:textFill>
            <w14:solidFill>
              <w14:schemeClr w14:val="tx1"/>
            </w14:solidFill>
          </w14:textFill>
        </w:rPr>
        <w:t>编</w:t>
      </w:r>
      <w:r>
        <w:rPr>
          <w:rFonts w:asciiTheme="minorEastAsia" w:hAnsiTheme="minorEastAsia" w:eastAsiaTheme="minorEastAsia"/>
          <w:color w:val="000000" w:themeColor="text1"/>
          <w:sz w:val="24"/>
          <w14:textFill>
            <w14:solidFill>
              <w14:schemeClr w14:val="tx1"/>
            </w14:solidFill>
          </w14:textFill>
        </w:rPr>
        <w:t>写投标文件，</w:t>
      </w:r>
      <w:r>
        <w:rPr>
          <w:rFonts w:hint="eastAsia" w:asciiTheme="minorEastAsia" w:hAnsiTheme="minorEastAsia" w:eastAsiaTheme="minorEastAsia"/>
          <w:color w:val="000000" w:themeColor="text1"/>
          <w:sz w:val="24"/>
          <w14:textFill>
            <w14:solidFill>
              <w14:schemeClr w14:val="tx1"/>
            </w14:solidFill>
          </w14:textFill>
        </w:rPr>
        <w:t>具体内容详见本项目投标文件格式的相关内容。</w:t>
      </w:r>
    </w:p>
    <w:p w14:paraId="2C33738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8.2</w:t>
      </w:r>
      <w:r>
        <w:rPr>
          <w:rFonts w:ascii="宋体" w:hAnsi="宋体" w:eastAsia="宋体"/>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应提交</w:t>
      </w:r>
      <w:r>
        <w:rPr>
          <w:rFonts w:hint="eastAsia" w:asciiTheme="minorEastAsia" w:hAnsiTheme="minorEastAsia" w:eastAsiaTheme="minorEastAsia"/>
          <w:color w:val="000000" w:themeColor="text1"/>
          <w:sz w:val="24"/>
          <w14:textFill>
            <w14:solidFill>
              <w14:schemeClr w14:val="tx1"/>
            </w14:solidFill>
          </w14:textFill>
        </w:rPr>
        <w:t>招标文件要求的</w:t>
      </w:r>
      <w:r>
        <w:rPr>
          <w:rFonts w:asciiTheme="minorEastAsia" w:hAnsiTheme="minorEastAsia" w:eastAsiaTheme="minorEastAsia"/>
          <w:color w:val="000000" w:themeColor="text1"/>
          <w:sz w:val="24"/>
          <w14:textFill>
            <w14:solidFill>
              <w14:schemeClr w14:val="tx1"/>
            </w14:solidFill>
          </w14:textFill>
        </w:rPr>
        <w:t>证明文件，证明其投标内容符合招标文件规定</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该证明文件是投标文件的一部分</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证明文件</w:t>
      </w:r>
      <w:r>
        <w:rPr>
          <w:rFonts w:hint="eastAsia" w:asciiTheme="minorEastAsia" w:hAnsiTheme="minorEastAsia" w:eastAsiaTheme="minorEastAsia"/>
          <w:color w:val="000000" w:themeColor="text1"/>
          <w:sz w:val="24"/>
          <w14:textFill>
            <w14:solidFill>
              <w14:schemeClr w14:val="tx1"/>
            </w14:solidFill>
          </w14:textFill>
        </w:rPr>
        <w:t>形式</w:t>
      </w:r>
      <w:r>
        <w:rPr>
          <w:rFonts w:asciiTheme="minorEastAsia" w:hAnsiTheme="minorEastAsia" w:eastAsiaTheme="minorEastAsia"/>
          <w:color w:val="000000" w:themeColor="text1"/>
          <w:sz w:val="24"/>
          <w14:textFill>
            <w14:solidFill>
              <w14:schemeClr w14:val="tx1"/>
            </w14:solidFill>
          </w14:textFill>
        </w:rPr>
        <w:t>可以是文字资料、图纸和数据</w:t>
      </w:r>
      <w:bookmarkStart w:id="38" w:name="_Hlk11703583"/>
      <w:r>
        <w:rPr>
          <w:rFonts w:hint="eastAsia" w:asciiTheme="minorEastAsia" w:hAnsiTheme="minorEastAsia" w:eastAsiaTheme="minorEastAsia"/>
          <w:color w:val="000000" w:themeColor="text1"/>
          <w:sz w:val="24"/>
          <w14:textFill>
            <w14:solidFill>
              <w14:schemeClr w14:val="tx1"/>
            </w14:solidFill>
          </w14:textFill>
        </w:rPr>
        <w:t>等。</w:t>
      </w:r>
    </w:p>
    <w:bookmarkEnd w:id="38"/>
    <w:p w14:paraId="4CE33E2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8.3</w:t>
      </w:r>
      <w:r>
        <w:rPr>
          <w:rFonts w:asciiTheme="minorEastAsia" w:hAnsiTheme="minorEastAsia" w:eastAsiaTheme="minorEastAsia"/>
          <w:color w:val="000000" w:themeColor="text1"/>
          <w:sz w:val="24"/>
          <w14:textFill>
            <w14:solidFill>
              <w14:schemeClr w14:val="tx1"/>
            </w14:solidFill>
          </w14:textFill>
        </w:rPr>
        <w:t>为保证</w:t>
      </w:r>
      <w:r>
        <w:rPr>
          <w:rFonts w:ascii="宋体" w:hAnsi="宋体" w:eastAsia="宋体"/>
          <w:color w:val="000000" w:themeColor="text1"/>
          <w:sz w:val="24"/>
          <w14:textFill>
            <w14:solidFill>
              <w14:schemeClr w14:val="tx1"/>
            </w14:solidFill>
          </w14:textFill>
        </w:rPr>
        <w:t>公平</w:t>
      </w:r>
      <w:r>
        <w:rPr>
          <w:rFonts w:asciiTheme="minorEastAsia" w:hAnsiTheme="minorEastAsia" w:eastAsiaTheme="minorEastAsia"/>
          <w:color w:val="000000" w:themeColor="text1"/>
          <w:sz w:val="24"/>
          <w14:textFill>
            <w14:solidFill>
              <w14:schemeClr w14:val="tx1"/>
            </w14:solidFill>
          </w14:textFill>
        </w:rPr>
        <w:t>公正，除非另有规定或说明，投标人对同一项目投标时，不得同时提供</w:t>
      </w:r>
      <w:r>
        <w:rPr>
          <w:rFonts w:hint="eastAsia" w:asciiTheme="minorEastAsia" w:hAnsiTheme="minorEastAsia" w:eastAsiaTheme="minorEastAsia"/>
          <w:color w:val="000000" w:themeColor="text1"/>
          <w:sz w:val="24"/>
          <w14:textFill>
            <w14:solidFill>
              <w14:schemeClr w14:val="tx1"/>
            </w14:solidFill>
          </w14:textFill>
        </w:rPr>
        <w:t>备选</w:t>
      </w:r>
      <w:r>
        <w:rPr>
          <w:rFonts w:asciiTheme="minorEastAsia" w:hAnsiTheme="minorEastAsia" w:eastAsiaTheme="minorEastAsia"/>
          <w:color w:val="000000" w:themeColor="text1"/>
          <w:sz w:val="24"/>
          <w14:textFill>
            <w14:solidFill>
              <w14:schemeClr w14:val="tx1"/>
            </w14:solidFill>
          </w14:textFill>
        </w:rPr>
        <w:t>投标方案。</w:t>
      </w:r>
    </w:p>
    <w:p w14:paraId="44D46F01">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投标报价</w:t>
      </w:r>
    </w:p>
    <w:p w14:paraId="24B3577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.1投标人的报价应当包括满足本次招标全部采购需求</w:t>
      </w:r>
      <w:r>
        <w:rPr>
          <w:rFonts w:hint="eastAsia" w:asciiTheme="minorEastAsia" w:hAnsiTheme="minorEastAsia" w:eastAsiaTheme="minorEastAsia"/>
          <w:color w:val="000000" w:themeColor="text1"/>
          <w:sz w:val="24"/>
          <w14:textFill>
            <w14:solidFill>
              <w14:schemeClr w14:val="tx1"/>
            </w14:solidFill>
          </w14:textFill>
        </w:rPr>
        <w:t>。除招标文件另有规定外，所有投标均应以人民币报价。投标人的投标报价应遵守《中华人民共和国价格法》。</w:t>
      </w:r>
    </w:p>
    <w:p w14:paraId="0F2F9C3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.2投标人报价超过招标文件规定的预算金额或者分项、分包最高限价，其投标将被认定为</w:t>
      </w:r>
      <w:r>
        <w:rPr>
          <w:rFonts w:asciiTheme="minorEastAsia" w:hAnsiTheme="minorEastAsia" w:eastAsiaTheme="minorEastAsia"/>
          <w:b/>
          <w:bCs/>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3087D87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3投标报价</w:t>
      </w:r>
      <w:r>
        <w:rPr>
          <w:rFonts w:asciiTheme="minorEastAsia" w:hAnsiTheme="minorEastAsia" w:eastAsiaTheme="minorEastAsia"/>
          <w:color w:val="000000" w:themeColor="text1"/>
          <w:sz w:val="24"/>
          <w14:textFill>
            <w14:solidFill>
              <w14:schemeClr w14:val="tx1"/>
            </w14:solidFill>
          </w14:textFill>
        </w:rPr>
        <w:t>在合同履行过程中是固定不变的，不得以任何理由予以变更。任何包含价格调整要求的投标，其投标将被认定为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6688572C">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000000" w:themeColor="text1"/>
          <w:sz w:val="24"/>
          <w14:textFill>
            <w14:solidFill>
              <w14:schemeClr w14:val="tx1"/>
            </w14:solidFill>
          </w14:textFill>
        </w:rPr>
        <w:t>必要时提交相关证明材料；投标人不能证明其报价合理性的，其投标将被认定为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hint="eastAsia" w:asciiTheme="minorEastAsia" w:hAnsiTheme="minorEastAsia" w:eastAsiaTheme="minorEastAsia"/>
          <w:color w:val="000000" w:themeColor="text1"/>
          <w:sz w:val="24"/>
          <w14:textFill>
            <w14:solidFill>
              <w14:schemeClr w14:val="tx1"/>
            </w14:solidFill>
          </w14:textFill>
        </w:rPr>
        <w:t>。</w:t>
      </w:r>
    </w:p>
    <w:p w14:paraId="17851C3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采购人不接受具有附加条件的报价。</w:t>
      </w:r>
    </w:p>
    <w:p w14:paraId="689711CF">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投标保证金</w:t>
      </w:r>
    </w:p>
    <w:p w14:paraId="0693312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10.1本项目不收取投标保证金。</w:t>
      </w:r>
    </w:p>
    <w:p w14:paraId="57D08D4A">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投标有效期</w:t>
      </w:r>
    </w:p>
    <w:p w14:paraId="76C9229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11.1投标有效期为从投标截止之日算起的日历天数，投标有效期详见</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w:t>
      </w:r>
    </w:p>
    <w:p w14:paraId="1D415C2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000000" w:themeColor="text1"/>
          <w:sz w:val="24"/>
          <w14:textFill>
            <w14:solidFill>
              <w14:schemeClr w14:val="tx1"/>
            </w14:solidFill>
          </w14:textFill>
        </w:rPr>
        <w:t>投标无效</w:t>
      </w:r>
      <w:r>
        <w:rPr>
          <w:rFonts w:hint="eastAsia" w:asciiTheme="minorEastAsia" w:hAnsiTheme="minorEastAsia" w:eastAsiaTheme="minorEastAsia"/>
          <w:color w:val="000000" w:themeColor="text1"/>
          <w:sz w:val="24"/>
          <w14:textFill>
            <w14:solidFill>
              <w14:schemeClr w14:val="tx1"/>
            </w14:solidFill>
          </w14:textFill>
        </w:rPr>
        <w:t>。</w:t>
      </w:r>
    </w:p>
    <w:p w14:paraId="6F79989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6DFB0D3">
      <w:pPr>
        <w:spacing w:line="360" w:lineRule="auto"/>
        <w:ind w:firstLine="437"/>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投标文件的密封、递交、修改与撤回</w:t>
      </w:r>
    </w:p>
    <w:p w14:paraId="6E8F4BB7">
      <w:pPr>
        <w:spacing w:line="360" w:lineRule="auto"/>
        <w:ind w:firstLine="435"/>
        <w:rPr>
          <w:rFonts w:hint="eastAsia" w:ascii="宋体" w:hAnsi="宋体" w:cs="宋体"/>
          <w:color w:val="000000" w:themeColor="text1"/>
          <w:szCs w:val="21"/>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2.1投标文件的份数和签署</w:t>
      </w:r>
    </w:p>
    <w:p w14:paraId="0A58AD1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（1）投标文件份数：一式三份，正本一份，副本二份。</w:t>
      </w:r>
    </w:p>
    <w:p w14:paraId="06F5C7F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（1）投标文件的正本和副本均需打印或使用不褪色的蓝、黑墨水笔书写，字迹应清晰易于辩认，并应在投标文件封面的右上角清楚地注明“正本”或“副本”。正本和副本如有不一致之处，以正本为准。</w:t>
      </w:r>
    </w:p>
    <w:p w14:paraId="1E0427F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12．2投标文件的密封和标记</w:t>
      </w:r>
    </w:p>
    <w:p w14:paraId="207D15A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（1）供应商应当将投标文件正本、副本密封在一个档案袋内。</w:t>
      </w:r>
    </w:p>
    <w:p w14:paraId="79B47DF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注：样品按评分标准中的要求进行密封和标记。</w:t>
      </w:r>
    </w:p>
    <w:p w14:paraId="1C520FF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12.3投标文件的提交</w:t>
      </w:r>
    </w:p>
    <w:p w14:paraId="133BC52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 供应商应在供应商须知前附表规定的提交截止时间前递交投标文件。</w:t>
      </w:r>
    </w:p>
    <w:p w14:paraId="7707797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（2）供应商提交投标文件的地点：见供应商须知前附表。</w:t>
      </w:r>
    </w:p>
    <w:p w14:paraId="74CC376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（3）除供应商须知前附表另有规定外，供应商所递交的投标文件不予退还。</w:t>
      </w:r>
    </w:p>
    <w:p w14:paraId="59755A0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（4）逾期送达的或者未送达指定地点的投标文件，采购人不予受理。</w:t>
      </w:r>
    </w:p>
    <w:p w14:paraId="060BBE0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12.4投标文件的补充、修改与撤回</w:t>
      </w:r>
    </w:p>
    <w:p w14:paraId="0B84B85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（1）供应商在本章规定的投标文件投标截止时间前，供应商可以修改或撤回已递交的投标文件，但应以书面形式通知采购人。</w:t>
      </w:r>
    </w:p>
    <w:p w14:paraId="7DA130E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（2）供应商修改或撤回已递交投标文件的书面通知应按照本章的要求签字或盖章。</w:t>
      </w:r>
    </w:p>
    <w:p w14:paraId="2BDF0B4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（3）供应商撤回投标文件的，采购人自收到供应商书面撤回通知之日起5日内退还已收取的投标保证金。</w:t>
      </w:r>
    </w:p>
    <w:p w14:paraId="26C1781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（4）修改的内容为投标文件的组成部分。</w:t>
      </w:r>
    </w:p>
    <w:p w14:paraId="6728F281">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开标</w:t>
      </w:r>
    </w:p>
    <w:p w14:paraId="28EC2B2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开标时，</w:t>
      </w:r>
      <w:r>
        <w:rPr>
          <w:rFonts w:ascii="宋体" w:hAnsi="宋体" w:eastAsia="宋体" w:cs="宋体"/>
          <w:color w:val="000000" w:themeColor="text1"/>
          <w:sz w:val="24"/>
          <w:szCs w:val="24"/>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对</w:t>
      </w:r>
      <w:r>
        <w:rPr>
          <w:rFonts w:ascii="宋体" w:hAnsi="宋体" w:eastAsia="宋体" w:cs="宋体"/>
          <w:color w:val="000000" w:themeColor="text1"/>
          <w:sz w:val="24"/>
          <w:szCs w:val="24"/>
          <w14:textFill>
            <w14:solidFill>
              <w14:schemeClr w14:val="tx1"/>
            </w14:solidFill>
          </w14:textFill>
        </w:rPr>
        <w:t>各投标人</w:t>
      </w:r>
      <w:r>
        <w:rPr>
          <w:rFonts w:hint="eastAsia" w:ascii="宋体" w:hAnsi="宋体" w:eastAsia="宋体" w:cs="宋体"/>
          <w:color w:val="000000" w:themeColor="text1"/>
          <w:sz w:val="24"/>
          <w:szCs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投标文件</w:t>
      </w:r>
      <w:r>
        <w:rPr>
          <w:rFonts w:hint="eastAsia" w:asciiTheme="minorEastAsia" w:hAnsiTheme="minorEastAsia" w:eastAsiaTheme="minorEastAsia"/>
          <w:color w:val="000000" w:themeColor="text1"/>
          <w:sz w:val="24"/>
          <w14:textFill>
            <w14:solidFill>
              <w14:schemeClr w14:val="tx1"/>
            </w14:solidFill>
          </w14:textFill>
        </w:rPr>
        <w:t>密封情况进行检查</w:t>
      </w:r>
      <w:r>
        <w:rPr>
          <w:rFonts w:asciiTheme="minorEastAsia" w:hAnsiTheme="minorEastAsia" w:eastAsiaTheme="minorEastAsia"/>
          <w:color w:val="000000" w:themeColor="text1"/>
          <w:sz w:val="24"/>
          <w14:textFill>
            <w14:solidFill>
              <w14:schemeClr w14:val="tx1"/>
            </w14:solidFill>
          </w14:textFill>
        </w:rPr>
        <w:t>。</w:t>
      </w:r>
    </w:p>
    <w:p w14:paraId="073FA34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开标时，采购代理机构将公布</w:t>
      </w:r>
      <w:r>
        <w:rPr>
          <w:rFonts w:hint="eastAsia" w:asciiTheme="minorEastAsia" w:hAnsiTheme="minorEastAsia" w:eastAsiaTheme="minorEastAsia"/>
          <w:color w:val="000000" w:themeColor="text1"/>
          <w:sz w:val="24"/>
          <w14:textFill>
            <w14:solidFill>
              <w14:schemeClr w14:val="tx1"/>
            </w14:solidFill>
          </w14:textFill>
        </w:rPr>
        <w:t>开标结果，公布内容包括投标人名称、投标价格及招标文件规定的内容。</w:t>
      </w:r>
    </w:p>
    <w:p w14:paraId="2F66974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13.3采购人或采购代理机构将对开标过程进行记录，并存档备查。</w:t>
      </w:r>
    </w:p>
    <w:p w14:paraId="0DC76900">
      <w:pPr>
        <w:spacing w:line="360" w:lineRule="auto"/>
        <w:ind w:firstLine="435"/>
        <w:rPr>
          <w:rFonts w:hint="eastAsia"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13.4投标人代表对开标过程和开标记录有疑义，以及认为采购人、采购代理机构相关工作人员有需要回避的情形的，应当场提出询问或者回避申请。</w:t>
      </w:r>
    </w:p>
    <w:p w14:paraId="3613DA6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资格审查及组建评标委员会</w:t>
      </w:r>
    </w:p>
    <w:p w14:paraId="32AF4EA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14.1采购人或采购代理机构依据法律法规和招标文件中规定的内</w:t>
      </w:r>
      <w:r>
        <w:rPr>
          <w:rFonts w:asciiTheme="minorEastAsia" w:hAnsiTheme="minorEastAsia" w:eastAsiaTheme="minorEastAsia"/>
          <w:color w:val="000000" w:themeColor="text1"/>
          <w:sz w:val="24"/>
          <w14:textFill>
            <w14:solidFill>
              <w14:schemeClr w14:val="tx1"/>
            </w14:solidFill>
          </w14:textFill>
        </w:rPr>
        <w:t>容</w:t>
      </w:r>
      <w:r>
        <w:rPr>
          <w:rFonts w:hint="eastAsia" w:asciiTheme="minorEastAsia" w:hAnsiTheme="minorEastAsia" w:eastAsiaTheme="minorEastAsia"/>
          <w:color w:val="000000" w:themeColor="text1"/>
          <w:sz w:val="24"/>
          <w14:textFill>
            <w14:solidFill>
              <w14:schemeClr w14:val="tx1"/>
            </w14:solidFill>
          </w14:textFill>
        </w:rPr>
        <w:t>，对投标人资格进行审查，未</w:t>
      </w:r>
      <w:r>
        <w:rPr>
          <w:rFonts w:asciiTheme="minorEastAsia" w:hAnsiTheme="minorEastAsia" w:eastAsiaTheme="minorEastAsia"/>
          <w:color w:val="000000" w:themeColor="text1"/>
          <w:sz w:val="24"/>
          <w14:textFill>
            <w14:solidFill>
              <w14:schemeClr w14:val="tx1"/>
            </w14:solidFill>
          </w14:textFill>
        </w:rPr>
        <w:t>通过资格审查的投标人</w:t>
      </w:r>
      <w:r>
        <w:rPr>
          <w:rFonts w:hint="eastAsia" w:asciiTheme="minorEastAsia" w:hAnsiTheme="minorEastAsia" w:eastAsiaTheme="minorEastAsia"/>
          <w:color w:val="000000" w:themeColor="text1"/>
          <w:sz w:val="24"/>
          <w14:textFill>
            <w14:solidFill>
              <w14:schemeClr w14:val="tx1"/>
            </w14:solidFill>
          </w14:textFill>
        </w:rPr>
        <w:t>不</w:t>
      </w:r>
      <w:r>
        <w:rPr>
          <w:rFonts w:asciiTheme="minorEastAsia" w:hAnsiTheme="minorEastAsia" w:eastAsiaTheme="minorEastAsia"/>
          <w:color w:val="000000" w:themeColor="text1"/>
          <w:sz w:val="24"/>
          <w14:textFill>
            <w14:solidFill>
              <w14:schemeClr w14:val="tx1"/>
            </w14:solidFill>
          </w14:textFill>
        </w:rPr>
        <w:t>进入评标</w:t>
      </w:r>
      <w:r>
        <w:rPr>
          <w:rFonts w:hint="eastAsia" w:asciiTheme="minorEastAsia" w:hAnsiTheme="minorEastAsia" w:eastAsiaTheme="minorEastAsia"/>
          <w:color w:val="000000" w:themeColor="text1"/>
          <w:sz w:val="24"/>
          <w14:textFill>
            <w14:solidFill>
              <w14:schemeClr w14:val="tx1"/>
            </w14:solidFill>
          </w14:textFill>
        </w:rPr>
        <w:t>。</w:t>
      </w:r>
    </w:p>
    <w:p w14:paraId="0A6857D3">
      <w:pPr>
        <w:spacing w:line="360" w:lineRule="auto"/>
        <w:ind w:firstLine="435"/>
        <w:rPr>
          <w:rFonts w:hint="eastAsia" w:ascii="宋体" w:hAnsi="宋体" w:eastAsia="宋体" w:cs="宋体"/>
          <w:color w:val="000000" w:themeColor="text1"/>
          <w:sz w:val="24"/>
          <w:szCs w:val="24"/>
          <w14:textFill>
            <w14:solidFill>
              <w14:schemeClr w14:val="tx1"/>
            </w14:solidFill>
          </w14:textFill>
        </w:rPr>
      </w:pPr>
      <w:bookmarkStart w:id="39" w:name="_Hlk24663244"/>
      <w:r>
        <w:rPr>
          <w:rFonts w:hint="eastAsia" w:ascii="宋体" w:hAnsi="宋体" w:eastAsia="宋体" w:cs="宋体"/>
          <w:color w:val="000000" w:themeColor="text1"/>
          <w:sz w:val="24"/>
          <w:szCs w:val="24"/>
          <w14:textFill>
            <w14:solidFill>
              <w14:schemeClr w14:val="tx1"/>
            </w14:solidFill>
          </w14:textFill>
        </w:rPr>
        <w:t>以联合体形式参加投标的，联合体成员存在以上不良信用记录的，联合体投标将被认定为</w:t>
      </w:r>
      <w:r>
        <w:rPr>
          <w:rFonts w:hint="eastAsia" w:ascii="宋体" w:hAnsi="宋体" w:eastAsia="宋体" w:cs="宋体"/>
          <w:b/>
          <w:color w:val="000000" w:themeColor="text1"/>
          <w:sz w:val="24"/>
          <w:szCs w:val="24"/>
          <w14:textFill>
            <w14:solidFill>
              <w14:schemeClr w14:val="tx1"/>
            </w14:solidFill>
          </w14:textFill>
        </w:rPr>
        <w:t>投标无效</w:t>
      </w:r>
      <w:r>
        <w:rPr>
          <w:rFonts w:hint="eastAsia" w:ascii="宋体" w:hAnsi="宋体" w:eastAsia="宋体" w:cs="宋体"/>
          <w:color w:val="000000" w:themeColor="text1"/>
          <w:sz w:val="24"/>
          <w:szCs w:val="24"/>
          <w14:textFill>
            <w14:solidFill>
              <w14:schemeClr w14:val="tx1"/>
            </w14:solidFill>
          </w14:textFill>
        </w:rPr>
        <w:t>。</w:t>
      </w:r>
    </w:p>
    <w:bookmarkEnd w:id="39"/>
    <w:p w14:paraId="5FFDEB41">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投标文件符合性审查与澄清</w:t>
      </w:r>
    </w:p>
    <w:p w14:paraId="2B36FFE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w:t>
      </w:r>
      <w:r>
        <w:rPr>
          <w:rFonts w:asciiTheme="minorEastAsia" w:hAnsiTheme="minorEastAsia" w:eastAsiaTheme="minorEastAsia"/>
          <w:color w:val="000000" w:themeColor="text1"/>
          <w:sz w:val="24"/>
          <w14:textFill>
            <w14:solidFill>
              <w14:schemeClr w14:val="tx1"/>
            </w14:solidFill>
          </w14:textFill>
        </w:rPr>
        <w:t>.1符合性审查是指依据招标文件的规定，从投标文件的有效性和完整性对招标文件的响应程度</w:t>
      </w:r>
      <w:r>
        <w:rPr>
          <w:rFonts w:ascii="宋体" w:hAnsi="宋体" w:eastAsia="宋体"/>
          <w:color w:val="000000" w:themeColor="text1"/>
          <w:sz w:val="24"/>
          <w14:textFill>
            <w14:solidFill>
              <w14:schemeClr w14:val="tx1"/>
            </w14:solidFill>
          </w14:textFill>
        </w:rPr>
        <w:t>进行</w:t>
      </w:r>
      <w:r>
        <w:rPr>
          <w:rFonts w:asciiTheme="minorEastAsia" w:hAnsiTheme="minorEastAsia" w:eastAsiaTheme="minorEastAsia"/>
          <w:color w:val="000000" w:themeColor="text1"/>
          <w:sz w:val="24"/>
          <w14:textFill>
            <w14:solidFill>
              <w14:schemeClr w14:val="tx1"/>
            </w14:solidFill>
          </w14:textFill>
        </w:rPr>
        <w:t>审查，以确定是否对招标文件的实质性要求做出响应。</w:t>
      </w:r>
    </w:p>
    <w:p w14:paraId="7803C18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15.2如一个分包内只有一种产品，不同投标人所投产品为同一品牌的，按如下方式处理：</w:t>
      </w:r>
    </w:p>
    <w:p w14:paraId="4323D02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4FF6257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15.3如一个分包内包含多种产品的，采购人或采购代理机构将在采购需求中载明核心产品，多家投标人提供的核心产品品牌相同的，按第15.2款规定处理。</w:t>
      </w:r>
    </w:p>
    <w:p w14:paraId="31090FC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4投标文件的澄清</w:t>
      </w:r>
    </w:p>
    <w:p w14:paraId="43AEA67F">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w:t>
      </w:r>
      <w:r>
        <w:rPr>
          <w:rFonts w:ascii="宋体" w:hAnsi="宋体" w:eastAsia="宋体"/>
          <w:color w:val="000000" w:themeColor="text1"/>
          <w:sz w:val="24"/>
          <w14:textFill>
            <w14:solidFill>
              <w14:schemeClr w14:val="tx1"/>
            </w14:solidFill>
          </w14:textFill>
        </w:rPr>
        <w:t>.1为有助于投标</w:t>
      </w:r>
      <w:r>
        <w:rPr>
          <w:rFonts w:hint="eastAsia" w:ascii="宋体" w:hAnsi="宋体" w:eastAsia="宋体"/>
          <w:color w:val="000000" w:themeColor="text1"/>
          <w:sz w:val="24"/>
          <w14:textFill>
            <w14:solidFill>
              <w14:schemeClr w14:val="tx1"/>
            </w14:solidFill>
          </w14:textFill>
        </w:rPr>
        <w:t>文件</w:t>
      </w:r>
      <w:r>
        <w:rPr>
          <w:rFonts w:ascii="宋体" w:hAnsi="宋体" w:eastAsia="宋体"/>
          <w:color w:val="000000" w:themeColor="text1"/>
          <w:sz w:val="24"/>
          <w14:textFill>
            <w14:solidFill>
              <w14:schemeClr w14:val="tx1"/>
            </w14:solidFill>
          </w14:textFill>
        </w:rPr>
        <w:t>的审查、评价和比较，在评标期间，评标委员会将以书面</w:t>
      </w:r>
      <w:r>
        <w:rPr>
          <w:rFonts w:hint="eastAsia" w:ascii="宋体" w:hAnsi="宋体" w:eastAsia="宋体"/>
          <w:color w:val="000000" w:themeColor="text1"/>
          <w:sz w:val="24"/>
          <w14:textFill>
            <w14:solidFill>
              <w14:schemeClr w14:val="tx1"/>
            </w14:solidFill>
          </w14:textFill>
        </w:rPr>
        <w:t>方式（询标）</w:t>
      </w:r>
      <w:r>
        <w:rPr>
          <w:rFonts w:ascii="宋体" w:hAnsi="宋体" w:eastAsia="宋体"/>
          <w:color w:val="000000" w:themeColor="text1"/>
          <w:sz w:val="24"/>
          <w14:textFill>
            <w14:solidFill>
              <w14:schemeClr w14:val="tx1"/>
            </w14:solidFill>
          </w14:textFill>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000000" w:themeColor="text1"/>
          <w:sz w:val="24"/>
          <w14:textFill>
            <w14:solidFill>
              <w14:schemeClr w14:val="tx1"/>
            </w14:solidFill>
          </w14:textFill>
        </w:rPr>
        <w:t>审</w:t>
      </w:r>
      <w:r>
        <w:rPr>
          <w:rFonts w:ascii="宋体" w:hAnsi="宋体" w:eastAsia="宋体"/>
          <w:color w:val="000000" w:themeColor="text1"/>
          <w:sz w:val="24"/>
          <w14:textFill>
            <w14:solidFill>
              <w14:schemeClr w14:val="tx1"/>
            </w14:solidFill>
          </w14:textFill>
        </w:rPr>
        <w:t>查投标人的报价，有可能影响履约的情况作必要的澄清、说明或补正。投标人的澄清、说明或补正应在评标委员会规定的时间内以书面</w:t>
      </w:r>
      <w:r>
        <w:rPr>
          <w:rFonts w:hint="eastAsia" w:ascii="宋体" w:hAnsi="宋体" w:eastAsia="宋体"/>
          <w:color w:val="000000" w:themeColor="text1"/>
          <w:sz w:val="24"/>
          <w14:textFill>
            <w14:solidFill>
              <w14:schemeClr w14:val="tx1"/>
            </w14:solidFill>
          </w14:textFill>
        </w:rPr>
        <w:t>方式或通过电子邮箱（82358483@qq.com）方式</w:t>
      </w:r>
      <w:r>
        <w:rPr>
          <w:rFonts w:ascii="宋体" w:hAnsi="宋体" w:eastAsia="宋体"/>
          <w:color w:val="000000" w:themeColor="text1"/>
          <w:sz w:val="24"/>
          <w14:textFill>
            <w14:solidFill>
              <w14:schemeClr w14:val="tx1"/>
            </w14:solidFill>
          </w14:textFill>
        </w:rPr>
        <w:t>进行，并不得超出投标文件范围或者改变投标文件的实质性内容。</w:t>
      </w:r>
    </w:p>
    <w:p w14:paraId="1E363D3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15.2</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投标人的澄清、说明或补正将作为投标文件的一部分。</w:t>
      </w:r>
    </w:p>
    <w:p w14:paraId="21D8249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w:t>
      </w:r>
      <w:r>
        <w:rPr>
          <w:rFonts w:ascii="宋体" w:hAnsi="宋体" w:eastAsia="宋体"/>
          <w:color w:val="000000" w:themeColor="text1"/>
          <w:sz w:val="24"/>
          <w14:textFill>
            <w14:solidFill>
              <w14:schemeClr w14:val="tx1"/>
            </w14:solidFill>
          </w14:textFill>
        </w:rPr>
        <w:t>.3评标委员会对投标人提交的澄清、说明或补正有疑问的，可以要求投标人进一步澄清、说明或补正，直至满足评标委员会的要求。</w:t>
      </w:r>
    </w:p>
    <w:p w14:paraId="7C0100CF">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15.3</w:t>
      </w:r>
      <w:r>
        <w:rPr>
          <w:rFonts w:ascii="宋体" w:hAnsi="宋体" w:eastAsia="宋体"/>
          <w:color w:val="000000" w:themeColor="text1"/>
          <w:sz w:val="24"/>
          <w14:textFill>
            <w14:solidFill>
              <w14:schemeClr w14:val="tx1"/>
            </w14:solidFill>
          </w14:textFill>
        </w:rPr>
        <w:t>投标文件报价出现前后不一致的，按照下列规定修正：</w:t>
      </w:r>
    </w:p>
    <w:p w14:paraId="4D88EF5F">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）投标文件中开标一览表内容与投标文件中相应内容不一致的，以开标一览表为准；</w:t>
      </w:r>
    </w:p>
    <w:p w14:paraId="1953F830">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）大写金额和小写金额不一致的，以大写金额为准；</w:t>
      </w:r>
    </w:p>
    <w:p w14:paraId="456519C3">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3</w:t>
      </w:r>
      <w:r>
        <w:rPr>
          <w:rFonts w:ascii="宋体" w:hAnsi="宋体" w:eastAsia="宋体"/>
          <w:color w:val="000000" w:themeColor="text1"/>
          <w:sz w:val="24"/>
          <w14:textFill>
            <w14:solidFill>
              <w14:schemeClr w14:val="tx1"/>
            </w14:solidFill>
          </w14:textFill>
        </w:rPr>
        <w:t>）单价金额小数点或者百分比有明显错位的，以开标一览表的总价为准，并修改单价；</w:t>
      </w:r>
    </w:p>
    <w:p w14:paraId="529A1CE3">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w:t>
      </w:r>
      <w:r>
        <w:rPr>
          <w:rFonts w:ascii="宋体" w:hAnsi="宋体" w:eastAsia="宋体"/>
          <w:color w:val="000000" w:themeColor="text1"/>
          <w:sz w:val="24"/>
          <w14:textFill>
            <w14:solidFill>
              <w14:schemeClr w14:val="tx1"/>
            </w14:solidFill>
          </w14:textFill>
        </w:rPr>
        <w:t>）总价金额与按单价汇总金额不一致的，以单价金额计算结果为准。</w:t>
      </w:r>
    </w:p>
    <w:p w14:paraId="7D532281">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同时出现两种以上不一致的，按照前款规定的顺序修正。修正后的报价按照第</w:t>
      </w: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4条的规定经投标人确认后产生约束力，</w:t>
      </w:r>
      <w:r>
        <w:rPr>
          <w:rFonts w:hint="eastAsia" w:ascii="宋体" w:hAnsi="宋体" w:eastAsia="宋体"/>
          <w:color w:val="000000" w:themeColor="text1"/>
          <w:sz w:val="24"/>
          <w14:textFill>
            <w14:solidFill>
              <w14:schemeClr w14:val="tx1"/>
            </w14:solidFill>
          </w14:textFill>
        </w:rPr>
        <w:t>无论投标人是接受或是拒绝调整后的价格，都应当由投标人在系统中确认。投标人拒绝对投标文件出现的错漏按上述原则进行修正、澄清、说明，其投标将被认定为投标无效。</w:t>
      </w:r>
    </w:p>
    <w:p w14:paraId="795F9A3B">
      <w:pPr>
        <w:spacing w:line="360" w:lineRule="auto"/>
        <w:ind w:firstLine="435"/>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对不同文字文本投标文件的解释发生异议的，以中文文本为准。</w:t>
      </w:r>
    </w:p>
    <w:p w14:paraId="63ACD4E0">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16.投标无效</w:t>
      </w:r>
    </w:p>
    <w:p w14:paraId="786F708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1根据本</w:t>
      </w:r>
      <w:r>
        <w:rPr>
          <w:rFonts w:hint="eastAsia" w:asciiTheme="minorEastAsia" w:hAnsiTheme="minorEastAsia" w:eastAsiaTheme="minorEastAsia"/>
          <w:color w:val="000000" w:themeColor="text1"/>
          <w:sz w:val="24"/>
          <w14:textFill>
            <w14:solidFill>
              <w14:schemeClr w14:val="tx1"/>
            </w14:solidFill>
          </w14:textFill>
        </w:rPr>
        <w:t>招标文件</w:t>
      </w:r>
      <w:r>
        <w:rPr>
          <w:rFonts w:asciiTheme="minorEastAsia" w:hAnsiTheme="minorEastAsia" w:eastAsiaTheme="minorEastAsia"/>
          <w:color w:val="000000" w:themeColor="text1"/>
          <w:sz w:val="24"/>
          <w14:textFill>
            <w14:solidFill>
              <w14:schemeClr w14:val="tx1"/>
            </w14:solidFill>
          </w14:textFill>
        </w:rPr>
        <w:t>的规定，评标委员会要审查每份投标文件是否实质上响应了招标文件的要求。投标人不得通过修正或撤销不符合要求的偏离，从而使其投标成为实质上响应的投标。</w:t>
      </w:r>
    </w:p>
    <w:p w14:paraId="663E205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评标委员会决定投标的响应性只根据招标文件要求和投标文件内容。</w:t>
      </w:r>
    </w:p>
    <w:p w14:paraId="786AEC1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无论何种原因，即使投标人投标时携带了证书材料的原件，但投标文件中未提供与之内容完全一致的扫描件的，评标委员会视同其未提供。</w:t>
      </w:r>
    </w:p>
    <w:p w14:paraId="38F0035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2如发现下列情况之一的，其投标将被认定为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6ABC606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1）投标文件未按照招标文件规定要求签署、盖章的；</w:t>
      </w:r>
    </w:p>
    <w:p w14:paraId="57CAC2F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2）不具备招标文件中规定的资格要求的；</w:t>
      </w:r>
    </w:p>
    <w:p w14:paraId="18A6EB2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3）报价超过招标文件中规定的预算金额或者最高限价的；</w:t>
      </w:r>
    </w:p>
    <w:p w14:paraId="56990EF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4）投标文件含有采购人不能接受的附加条件的；</w:t>
      </w:r>
    </w:p>
    <w:p w14:paraId="48DEF51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5）法律、法规和招标文件规定的其他无效情形。</w:t>
      </w:r>
    </w:p>
    <w:p w14:paraId="2C6E30E7">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17.比较与评价</w:t>
      </w:r>
    </w:p>
    <w:p w14:paraId="1A56DFD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17.1经符合性审查合格的投标文件，评标委员会将根据招标文件确定的评标方法和标准，对其投标文件作进一步的比较与评价。</w:t>
      </w:r>
    </w:p>
    <w:p w14:paraId="11D51CD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17.2评标严格按照</w:t>
      </w:r>
      <w:r>
        <w:rPr>
          <w:rFonts w:hint="eastAsia" w:ascii="宋体" w:hAnsi="宋体" w:eastAsia="宋体"/>
          <w:color w:val="000000" w:themeColor="text1"/>
          <w:sz w:val="24"/>
          <w14:textFill>
            <w14:solidFill>
              <w14:schemeClr w14:val="tx1"/>
            </w14:solidFill>
          </w14:textFill>
        </w:rPr>
        <w:t>招标文件</w:t>
      </w:r>
      <w:r>
        <w:rPr>
          <w:rFonts w:hint="eastAsia" w:asciiTheme="minorEastAsia" w:hAnsiTheme="minorEastAsia" w:eastAsiaTheme="minorEastAsia"/>
          <w:color w:val="000000" w:themeColor="text1"/>
          <w:sz w:val="24"/>
          <w14:textFill>
            <w14:solidFill>
              <w14:schemeClr w14:val="tx1"/>
            </w14:solidFill>
          </w14:textFill>
        </w:rPr>
        <w:t>的要求和条件进行。根据实际情况，在</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中规定采用下列一种评标方法，详细评标方法和标准见招标文件第四章：</w:t>
      </w:r>
    </w:p>
    <w:p w14:paraId="37C0E5C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1）最低评标价法，是指</w:t>
      </w:r>
      <w:r>
        <w:rPr>
          <w:rFonts w:ascii="宋体" w:hAnsi="宋体" w:eastAsia="宋体"/>
          <w:color w:val="000000" w:themeColor="text1"/>
          <w:sz w:val="24"/>
          <w14:textFill>
            <w14:solidFill>
              <w14:schemeClr w14:val="tx1"/>
            </w14:solidFill>
          </w14:textFill>
        </w:rPr>
        <w:t>投标文件满足招标文件全部实质性要求</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且投标报价最低的</w:t>
      </w: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为中标</w:t>
      </w:r>
      <w:r>
        <w:rPr>
          <w:rFonts w:hint="eastAsia" w:ascii="宋体" w:hAnsi="宋体" w:eastAsia="宋体"/>
          <w:color w:val="000000" w:themeColor="text1"/>
          <w:sz w:val="24"/>
          <w14:textFill>
            <w14:solidFill>
              <w14:schemeClr w14:val="tx1"/>
            </w14:solidFill>
          </w14:textFill>
        </w:rPr>
        <w:t>候选</w:t>
      </w:r>
      <w:r>
        <w:rPr>
          <w:rFonts w:ascii="宋体" w:hAnsi="宋体" w:eastAsia="宋体"/>
          <w:color w:val="000000" w:themeColor="text1"/>
          <w:sz w:val="24"/>
          <w14:textFill>
            <w14:solidFill>
              <w14:schemeClr w14:val="tx1"/>
            </w14:solidFill>
          </w14:textFill>
        </w:rPr>
        <w:t>人的评标方法</w:t>
      </w:r>
      <w:r>
        <w:rPr>
          <w:rFonts w:hint="eastAsia" w:ascii="宋体" w:hAnsi="宋体" w:eastAsia="宋体"/>
          <w:color w:val="000000" w:themeColor="text1"/>
          <w:sz w:val="24"/>
          <w14:textFill>
            <w14:solidFill>
              <w14:schemeClr w14:val="tx1"/>
            </w14:solidFill>
          </w14:textFill>
        </w:rPr>
        <w:t>。</w:t>
      </w:r>
    </w:p>
    <w:p w14:paraId="7E3C1CE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（2）综合评分法</w:t>
      </w:r>
      <w:r>
        <w:rPr>
          <w:rFonts w:hint="eastAsia" w:ascii="宋体" w:hAnsi="宋体" w:eastAsia="宋体"/>
          <w:color w:val="000000" w:themeColor="text1"/>
          <w:sz w:val="24"/>
          <w14:textFill>
            <w14:solidFill>
              <w14:schemeClr w14:val="tx1"/>
            </w14:solidFill>
          </w14:textFill>
        </w:rPr>
        <w:t>，是</w:t>
      </w:r>
      <w:r>
        <w:rPr>
          <w:rFonts w:ascii="宋体" w:hAnsi="宋体" w:eastAsia="宋体"/>
          <w:color w:val="000000" w:themeColor="text1"/>
          <w:sz w:val="24"/>
          <w14:textFill>
            <w14:solidFill>
              <w14:schemeClr w14:val="tx1"/>
            </w14:solidFill>
          </w14:textFill>
        </w:rPr>
        <w:t>指投标文件满足招标</w:t>
      </w:r>
      <w:r>
        <w:rPr>
          <w:rFonts w:hint="eastAsia" w:ascii="宋体" w:hAnsi="宋体" w:eastAsia="宋体"/>
          <w:color w:val="000000" w:themeColor="text1"/>
          <w:sz w:val="24"/>
          <w14:textFill>
            <w14:solidFill>
              <w14:schemeClr w14:val="tx1"/>
            </w14:solidFill>
          </w14:textFill>
        </w:rPr>
        <w:t>文件</w:t>
      </w:r>
      <w:r>
        <w:rPr>
          <w:rFonts w:ascii="宋体" w:hAnsi="宋体" w:eastAsia="宋体"/>
          <w:color w:val="000000" w:themeColor="text1"/>
          <w:sz w:val="24"/>
          <w14:textFill>
            <w14:solidFill>
              <w14:schemeClr w14:val="tx1"/>
            </w14:solidFill>
          </w14:textFill>
        </w:rPr>
        <w:t>全部实质性要求</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且按照评审因素的</w:t>
      </w:r>
      <w:r>
        <w:rPr>
          <w:rFonts w:hint="eastAsia" w:ascii="宋体" w:hAnsi="宋体" w:eastAsia="宋体"/>
          <w:color w:val="000000" w:themeColor="text1"/>
          <w:sz w:val="24"/>
          <w14:textFill>
            <w14:solidFill>
              <w14:schemeClr w14:val="tx1"/>
            </w14:solidFill>
          </w14:textFill>
        </w:rPr>
        <w:t>量化</w:t>
      </w:r>
      <w:r>
        <w:rPr>
          <w:rFonts w:ascii="宋体" w:hAnsi="宋体" w:eastAsia="宋体"/>
          <w:color w:val="000000" w:themeColor="text1"/>
          <w:sz w:val="24"/>
          <w14:textFill>
            <w14:solidFill>
              <w14:schemeClr w14:val="tx1"/>
            </w14:solidFill>
          </w14:textFill>
        </w:rPr>
        <w:t>指标评审得分最高的</w:t>
      </w: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为中标候选人的评标方法。</w:t>
      </w:r>
    </w:p>
    <w:p w14:paraId="215EDE5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废标、重新招标与变更采购方式</w:t>
      </w:r>
    </w:p>
    <w:p w14:paraId="4F855F1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18.1出现下列情形之一，将导致项目废标：</w:t>
      </w:r>
    </w:p>
    <w:p w14:paraId="4A9CDB6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1）符合专业条件的供应商或者对招标文件做实质性响应的供应商不足规定数量的；</w:t>
      </w:r>
    </w:p>
    <w:p w14:paraId="7E98E7A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（2）出现影响采购公正的违法、违规行为的；</w:t>
      </w:r>
    </w:p>
    <w:p w14:paraId="4AFC2CEA">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（3）投标人的报价均超过了采购预算，采购人不能支付的；</w:t>
      </w:r>
    </w:p>
    <w:p w14:paraId="4753E3D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（4）因重大变故，采购任务取消的。</w:t>
      </w:r>
    </w:p>
    <w:p w14:paraId="7858E9A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18.2公开招标数额标准以上的采购项目，投标截止后投标人不足</w:t>
      </w:r>
      <w:r>
        <w:rPr>
          <w:rFonts w:asciiTheme="minorEastAsia" w:hAnsiTheme="minorEastAsia" w:eastAsiaTheme="minorEastAsia"/>
          <w:color w:val="000000" w:themeColor="text1"/>
          <w:sz w:val="24"/>
          <w14:textFill>
            <w14:solidFill>
              <w14:schemeClr w14:val="tx1"/>
            </w14:solidFill>
          </w14:textFill>
        </w:rPr>
        <w:t>3家或者通过</w:t>
      </w:r>
      <w:r>
        <w:rPr>
          <w:rFonts w:hint="eastAsia" w:asciiTheme="minorEastAsia" w:hAnsiTheme="minorEastAsia" w:eastAsiaTheme="minorEastAsia"/>
          <w:color w:val="000000" w:themeColor="text1"/>
          <w:sz w:val="24"/>
          <w14:textFill>
            <w14:solidFill>
              <w14:schemeClr w14:val="tx1"/>
            </w14:solidFill>
          </w14:textFill>
        </w:rPr>
        <w:t>资格审查或符合性审查的投标人不足</w:t>
      </w:r>
      <w:r>
        <w:rPr>
          <w:rFonts w:asciiTheme="minorEastAsia" w:hAnsiTheme="minorEastAsia" w:eastAsiaTheme="minorEastAsia"/>
          <w:color w:val="000000" w:themeColor="text1"/>
          <w:sz w:val="24"/>
          <w14:textFill>
            <w14:solidFill>
              <w14:schemeClr w14:val="tx1"/>
            </w14:solidFill>
          </w14:textFill>
        </w:rPr>
        <w:t>3家的，除采购任务取消情形外，按照以下方式处理：</w:t>
      </w:r>
    </w:p>
    <w:p w14:paraId="060976A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（1）招标文件存在不合理条款或者招标程序不符合规定的，采购人、采购代理机构改正后依法重新招标；</w:t>
      </w:r>
    </w:p>
    <w:p w14:paraId="3418BDC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（2）招标文件没有不合理条款、招标程序符合规定，需要采用其他采购方式采购的，采购人应当依法报</w:t>
      </w:r>
      <w:r>
        <w:rPr>
          <w:rFonts w:hint="eastAsia" w:ascii="宋体" w:hAnsi="宋体" w:eastAsia="宋体" w:cs="宋体"/>
          <w:color w:val="000000" w:themeColor="text1"/>
          <w:sz w:val="24"/>
          <w:szCs w:val="24"/>
          <w14:textFill>
            <w14:solidFill>
              <w14:schemeClr w14:val="tx1"/>
            </w14:solidFill>
          </w14:textFill>
        </w:rPr>
        <w:t>监督管理部门</w:t>
      </w:r>
      <w:r>
        <w:rPr>
          <w:rFonts w:hint="eastAsia" w:asciiTheme="minorEastAsia" w:hAnsiTheme="minorEastAsia" w:eastAsiaTheme="minorEastAsia"/>
          <w:color w:val="000000" w:themeColor="text1"/>
          <w:sz w:val="24"/>
          <w14:textFill>
            <w14:solidFill>
              <w14:schemeClr w14:val="tx1"/>
            </w14:solidFill>
          </w14:textFill>
        </w:rPr>
        <w:t>批准。</w:t>
      </w:r>
    </w:p>
    <w:p w14:paraId="34364DF8">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保密要求</w:t>
      </w:r>
    </w:p>
    <w:p w14:paraId="2259FD8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19.1评标将在严格保密的情况下进行。</w:t>
      </w:r>
    </w:p>
    <w:p w14:paraId="71602D7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19.2有关人员</w:t>
      </w:r>
      <w:r>
        <w:rPr>
          <w:rFonts w:ascii="宋体" w:hAnsi="宋体" w:eastAsia="宋体"/>
          <w:color w:val="000000" w:themeColor="text1"/>
          <w:sz w:val="24"/>
          <w14:textFill>
            <w14:solidFill>
              <w14:schemeClr w14:val="tx1"/>
            </w14:solidFill>
          </w14:textFill>
        </w:rPr>
        <w:t>应当</w:t>
      </w:r>
      <w:r>
        <w:rPr>
          <w:rFonts w:hint="eastAsia" w:ascii="宋体" w:hAnsi="宋体" w:eastAsia="宋体"/>
          <w:color w:val="000000" w:themeColor="text1"/>
          <w:sz w:val="24"/>
          <w14:textFill>
            <w14:solidFill>
              <w14:schemeClr w14:val="tx1"/>
            </w14:solidFill>
          </w14:textFill>
        </w:rPr>
        <w:t>遵</w:t>
      </w:r>
      <w:r>
        <w:rPr>
          <w:rFonts w:ascii="宋体" w:hAnsi="宋体" w:eastAsia="宋体"/>
          <w:color w:val="000000" w:themeColor="text1"/>
          <w:sz w:val="24"/>
          <w14:textFill>
            <w14:solidFill>
              <w14:schemeClr w14:val="tx1"/>
            </w14:solidFill>
          </w14:textFill>
        </w:rPr>
        <w:t>守评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工作纪律，不得</w:t>
      </w:r>
      <w:r>
        <w:rPr>
          <w:rFonts w:hint="eastAsia" w:ascii="宋体" w:hAnsi="宋体" w:eastAsia="宋体"/>
          <w:color w:val="000000" w:themeColor="text1"/>
          <w:sz w:val="24"/>
          <w14:textFill>
            <w14:solidFill>
              <w14:schemeClr w14:val="tx1"/>
            </w14:solidFill>
          </w14:textFill>
        </w:rPr>
        <w:t>泄露</w:t>
      </w:r>
      <w:r>
        <w:rPr>
          <w:rFonts w:ascii="宋体" w:hAnsi="宋体" w:eastAsia="宋体"/>
          <w:color w:val="000000" w:themeColor="text1"/>
          <w:sz w:val="24"/>
          <w14:textFill>
            <w14:solidFill>
              <w14:schemeClr w14:val="tx1"/>
            </w14:solidFill>
          </w14:textFill>
        </w:rPr>
        <w:t>评</w:t>
      </w:r>
      <w:r>
        <w:rPr>
          <w:rFonts w:hint="eastAsia" w:ascii="宋体" w:hAnsi="宋体" w:eastAsia="宋体"/>
          <w:color w:val="000000" w:themeColor="text1"/>
          <w:sz w:val="24"/>
          <w14:textFill>
            <w14:solidFill>
              <w14:schemeClr w14:val="tx1"/>
            </w14:solidFill>
          </w14:textFill>
        </w:rPr>
        <w:t>标文件</w:t>
      </w:r>
      <w:r>
        <w:rPr>
          <w:rFonts w:ascii="宋体" w:hAnsi="宋体" w:eastAsia="宋体"/>
          <w:color w:val="000000" w:themeColor="text1"/>
          <w:sz w:val="24"/>
          <w14:textFill>
            <w14:solidFill>
              <w14:schemeClr w14:val="tx1"/>
            </w14:solidFill>
          </w14:textFill>
        </w:rPr>
        <w:t>、评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情况和评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中获悉的</w:t>
      </w:r>
      <w:r>
        <w:rPr>
          <w:rFonts w:hint="eastAsia" w:ascii="宋体" w:hAnsi="宋体" w:eastAsia="宋体"/>
          <w:color w:val="000000" w:themeColor="text1"/>
          <w:sz w:val="24"/>
          <w14:textFill>
            <w14:solidFill>
              <w14:schemeClr w14:val="tx1"/>
            </w14:solidFill>
          </w14:textFill>
        </w:rPr>
        <w:t>国家秘密、</w:t>
      </w:r>
      <w:r>
        <w:rPr>
          <w:rFonts w:ascii="宋体" w:hAnsi="宋体" w:eastAsia="宋体"/>
          <w:color w:val="000000" w:themeColor="text1"/>
          <w:sz w:val="24"/>
          <w14:textFill>
            <w14:solidFill>
              <w14:schemeClr w14:val="tx1"/>
            </w14:solidFill>
          </w14:textFill>
        </w:rPr>
        <w:t>商业秘密。</w:t>
      </w:r>
    </w:p>
    <w:p w14:paraId="11BCE6A8">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中标候选人的确定原则及标准</w:t>
      </w:r>
    </w:p>
    <w:p w14:paraId="16E965F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.1评</w:t>
      </w:r>
      <w:r>
        <w:rPr>
          <w:rFonts w:hint="eastAsia" w:asciiTheme="minorEastAsia" w:hAnsiTheme="minorEastAsia" w:eastAsiaTheme="minorEastAsia"/>
          <w:color w:val="000000" w:themeColor="text1"/>
          <w:sz w:val="24"/>
          <w14:textFill>
            <w14:solidFill>
              <w14:schemeClr w14:val="tx1"/>
            </w14:solidFill>
          </w14:textFill>
        </w:rPr>
        <w:t>标</w:t>
      </w:r>
      <w:r>
        <w:rPr>
          <w:rFonts w:asciiTheme="minorEastAsia" w:hAnsiTheme="minorEastAsia" w:eastAsiaTheme="minorEastAsia"/>
          <w:color w:val="000000" w:themeColor="text1"/>
          <w:sz w:val="24"/>
          <w14:textFill>
            <w14:solidFill>
              <w14:schemeClr w14:val="tx1"/>
            </w14:solidFill>
          </w14:textFill>
        </w:rPr>
        <w:t>委员会依据本项目招标文件所约定的评标方法，对实质上响应招标文件的投标人按下列方法进行排序</w:t>
      </w:r>
      <w:r>
        <w:rPr>
          <w:rFonts w:hint="eastAsia" w:asciiTheme="minorEastAsia" w:hAnsiTheme="minorEastAsia" w:eastAsiaTheme="minorEastAsia"/>
          <w:color w:val="000000" w:themeColor="text1"/>
          <w:sz w:val="24"/>
          <w14:textFill>
            <w14:solidFill>
              <w14:schemeClr w14:val="tx1"/>
            </w14:solidFill>
          </w14:textFill>
        </w:rPr>
        <w:t>，确定中标候选人</w:t>
      </w:r>
      <w:r>
        <w:rPr>
          <w:rFonts w:asciiTheme="minorEastAsia" w:hAnsiTheme="minorEastAsia" w:eastAsiaTheme="minorEastAsia"/>
          <w:color w:val="000000" w:themeColor="text1"/>
          <w:sz w:val="24"/>
          <w14:textFill>
            <w14:solidFill>
              <w14:schemeClr w14:val="tx1"/>
            </w14:solidFill>
          </w14:textFill>
        </w:rPr>
        <w:t>：</w:t>
      </w:r>
    </w:p>
    <w:p w14:paraId="12F991A5">
      <w:pPr>
        <w:spacing w:line="360" w:lineRule="auto"/>
        <w:ind w:firstLine="437"/>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采用综合评分法的，评标结果按评审后得分由高到低顺序排列。得分相同的，按投标报价由低到高顺序排列。</w:t>
      </w:r>
      <w:r>
        <w:rPr>
          <w:rFonts w:ascii="宋体" w:hAnsi="宋体" w:eastAsia="宋体"/>
          <w:color w:val="000000" w:themeColor="text1"/>
          <w:sz w:val="24"/>
          <w14:textFill>
            <w14:solidFill>
              <w14:schemeClr w14:val="tx1"/>
            </w14:solidFill>
          </w14:textFill>
        </w:rPr>
        <w:t>得分与投标报价均相同的</w:t>
      </w:r>
      <w:r>
        <w:rPr>
          <w:rFonts w:hint="eastAsia" w:ascii="宋体" w:hAnsi="宋体" w:eastAsia="宋体"/>
          <w:color w:val="000000" w:themeColor="text1"/>
          <w:sz w:val="24"/>
          <w14:textFill>
            <w14:solidFill>
              <w14:schemeClr w14:val="tx1"/>
            </w14:solidFill>
          </w14:textFill>
        </w:rPr>
        <w:t>，则采取评标委员会随机抽取的方式确定中标候选顺序。</w:t>
      </w:r>
    </w:p>
    <w:p w14:paraId="0B552369">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确定中标候选人和中标人</w:t>
      </w:r>
    </w:p>
    <w:p w14:paraId="5C3C3D0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.1评标委员会将根据评标标准，按</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中规定数量推荐中标候选人。</w:t>
      </w:r>
    </w:p>
    <w:p w14:paraId="0DFDECC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21.2按</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hint="eastAsia" w:asciiTheme="minorEastAsia" w:hAnsiTheme="minorEastAsia" w:eastAsiaTheme="minorEastAsia"/>
          <w:color w:val="000000" w:themeColor="text1"/>
          <w:sz w:val="24"/>
          <w14:textFill>
            <w14:solidFill>
              <w14:schemeClr w14:val="tx1"/>
            </w14:solidFill>
          </w14:textFill>
        </w:rPr>
        <w:t>中规定，</w:t>
      </w:r>
      <w:r>
        <w:rPr>
          <w:rFonts w:asciiTheme="minorEastAsia" w:hAnsiTheme="minorEastAsia" w:eastAsiaTheme="minorEastAsia"/>
          <w:color w:val="000000" w:themeColor="text1"/>
          <w:sz w:val="24"/>
          <w14:textFill>
            <w14:solidFill>
              <w14:schemeClr w14:val="tx1"/>
            </w14:solidFill>
          </w14:textFill>
        </w:rPr>
        <w:t>由评标委员会或采购人确定中标人。</w:t>
      </w:r>
    </w:p>
    <w:p w14:paraId="6170F00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因重大变故采购任务取消时，采购人有权拒绝任何投标人中标，且对受影响的投标人不承担任何责任。</w:t>
      </w:r>
    </w:p>
    <w:p w14:paraId="44B4E155">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编写评标报告</w:t>
      </w:r>
    </w:p>
    <w:p w14:paraId="6A355AD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BEA9F3B">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中标结果公告</w:t>
      </w:r>
    </w:p>
    <w:p w14:paraId="12EB6BF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除</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规定由评标委员会直接确定中标</w:t>
      </w:r>
      <w:r>
        <w:rPr>
          <w:rFonts w:hint="eastAsia" w:asciiTheme="minorEastAsia" w:hAnsiTheme="minorEastAsia" w:eastAsiaTheme="minorEastAsia"/>
          <w:color w:val="000000" w:themeColor="text1"/>
          <w:sz w:val="24"/>
          <w14:textFill>
            <w14:solidFill>
              <w14:schemeClr w14:val="tx1"/>
            </w14:solidFill>
          </w14:textFill>
        </w:rPr>
        <w:t>人外，</w:t>
      </w:r>
      <w:r>
        <w:rPr>
          <w:rFonts w:asciiTheme="minorEastAsia" w:hAnsiTheme="minorEastAsia" w:eastAsiaTheme="minorEastAsia"/>
          <w:color w:val="000000" w:themeColor="text1"/>
          <w:sz w:val="24"/>
          <w14:textFill>
            <w14:solidFill>
              <w14:schemeClr w14:val="tx1"/>
            </w14:solidFill>
          </w14:textFill>
        </w:rPr>
        <w:t>在评标结束后2个工作日内</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采购代理机构将评标报告送采购人。采购人应当自收到评标报告之日起</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C996174">
      <w:pPr>
        <w:spacing w:line="360" w:lineRule="auto"/>
        <w:ind w:firstLine="435"/>
        <w:rPr>
          <w:rFonts w:hint="eastAsia" w:ascii="宋体" w:hAnsi="宋体" w:eastAsia="宋体"/>
          <w:color w:val="000000" w:themeColor="text1"/>
          <w:sz w:val="24"/>
          <w:szCs w:val="1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r>
        <w:rPr>
          <w:rFonts w:asciiTheme="minorEastAsia" w:hAnsiTheme="minorEastAsia" w:eastAsiaTheme="minorEastAsia"/>
          <w:color w:val="000000" w:themeColor="text1"/>
          <w:sz w:val="24"/>
          <w14:textFill>
            <w14:solidFill>
              <w14:schemeClr w14:val="tx1"/>
            </w14:solidFill>
          </w14:textFill>
        </w:rPr>
        <w:t>.2</w:t>
      </w:r>
      <w:r>
        <w:rPr>
          <w:rFonts w:hint="eastAsia" w:ascii="宋体" w:hAnsi="宋体" w:eastAsia="宋体"/>
          <w:color w:val="000000" w:themeColor="text1"/>
          <w:sz w:val="24"/>
          <w:szCs w:val="18"/>
          <w14:textFill>
            <w14:solidFill>
              <w14:schemeClr w14:val="tx1"/>
            </w14:solidFill>
          </w14:textFill>
        </w:rPr>
        <w:t>自中标人确定之日起2个工作日内，采购代理机构将在滁州市第一人民医院网</w:t>
      </w:r>
      <w:r>
        <w:rPr>
          <w:rFonts w:hint="eastAsia" w:ascii="宋体" w:hAnsi="宋体" w:eastAsia="宋体" w:cs="宋体"/>
          <w:color w:val="000000" w:themeColor="text1"/>
          <w:sz w:val="24"/>
          <w:szCs w:val="24"/>
          <w14:textFill>
            <w14:solidFill>
              <w14:schemeClr w14:val="tx1"/>
            </w14:solidFill>
          </w14:textFill>
        </w:rPr>
        <w:t>（http://www.czdyrmyy.com/index.asp）</w:t>
      </w:r>
      <w:r>
        <w:rPr>
          <w:rFonts w:hint="eastAsia" w:ascii="宋体" w:hAnsi="宋体" w:eastAsia="宋体"/>
          <w:color w:val="000000" w:themeColor="text1"/>
          <w:sz w:val="24"/>
          <w:szCs w:val="18"/>
          <w14:textFill>
            <w14:solidFill>
              <w14:schemeClr w14:val="tx1"/>
            </w14:solidFill>
          </w14:textFill>
        </w:rPr>
        <w:t>上发布中标结果公告。</w:t>
      </w:r>
    </w:p>
    <w:p w14:paraId="533C9BF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23.3</w:t>
      </w:r>
      <w:r>
        <w:rPr>
          <w:rFonts w:asciiTheme="minorEastAsia" w:hAnsiTheme="minorEastAsia" w:eastAsiaTheme="minorEastAsia"/>
          <w:color w:val="000000" w:themeColor="text1"/>
          <w:sz w:val="24"/>
          <w14:textFill>
            <w14:solidFill>
              <w14:schemeClr w14:val="tx1"/>
            </w14:solidFill>
          </w14:textFill>
        </w:rPr>
        <w:t>中标结果公告内容应当包括采购人及其委托的采购代理机构的名称、地址、联系方式，项目名称和项目编号，中标人名称、地址和中标金额，</w:t>
      </w:r>
      <w:r>
        <w:rPr>
          <w:rFonts w:ascii="宋体" w:hAnsi="宋体" w:eastAsia="宋体"/>
          <w:color w:val="000000" w:themeColor="text1"/>
          <w:sz w:val="24"/>
          <w14:textFill>
            <w14:solidFill>
              <w14:schemeClr w14:val="tx1"/>
            </w14:solidFill>
          </w14:textFill>
        </w:rPr>
        <w:t>主要中标标的的名称、</w:t>
      </w:r>
      <w:r>
        <w:rPr>
          <w:rFonts w:hint="eastAsia" w:ascii="宋体" w:hAnsi="宋体" w:eastAsia="宋体"/>
          <w:color w:val="000000" w:themeColor="text1"/>
          <w:sz w:val="24"/>
          <w14:textFill>
            <w14:solidFill>
              <w14:schemeClr w14:val="tx1"/>
            </w14:solidFill>
          </w14:textFill>
        </w:rPr>
        <w:t>服务范围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服务要求</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服务时间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服务标准</w:t>
      </w:r>
      <w:r>
        <w:rPr>
          <w:rFonts w:ascii="宋体" w:hAnsi="宋体" w:eastAsia="宋体"/>
          <w:color w:val="000000" w:themeColor="text1"/>
          <w:sz w:val="24"/>
          <w14:textFill>
            <w14:solidFill>
              <w14:schemeClr w14:val="tx1"/>
            </w14:solidFill>
          </w14:textFill>
        </w:rPr>
        <w:t>，中标公告期限</w:t>
      </w:r>
      <w:r>
        <w:rPr>
          <w:rFonts w:asciiTheme="minorEastAsia" w:hAnsiTheme="minorEastAsia" w:eastAsiaTheme="minorEastAsia"/>
          <w:color w:val="000000" w:themeColor="text1"/>
          <w:sz w:val="24"/>
          <w14:textFill>
            <w14:solidFill>
              <w14:schemeClr w14:val="tx1"/>
            </w14:solidFill>
          </w14:textFill>
        </w:rPr>
        <w:t>，中标公告期限以及</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中约定进行公告的内容。中标公告期限为1个工作日。</w:t>
      </w:r>
    </w:p>
    <w:p w14:paraId="57386A9C">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中标通知书</w:t>
      </w:r>
    </w:p>
    <w:p w14:paraId="2A5EC3A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.1采购代理机构</w:t>
      </w:r>
      <w:r>
        <w:rPr>
          <w:rFonts w:ascii="宋体" w:hAnsi="宋体" w:eastAsia="宋体"/>
          <w:color w:val="000000" w:themeColor="text1"/>
          <w:sz w:val="24"/>
          <w14:textFill>
            <w14:solidFill>
              <w14:schemeClr w14:val="tx1"/>
            </w14:solidFill>
          </w14:textFill>
        </w:rPr>
        <w:t>发布</w:t>
      </w:r>
      <w:r>
        <w:rPr>
          <w:rFonts w:asciiTheme="minorEastAsia" w:hAnsiTheme="minorEastAsia" w:eastAsiaTheme="minorEastAsia"/>
          <w:color w:val="000000" w:themeColor="text1"/>
          <w:sz w:val="24"/>
          <w14:textFill>
            <w14:solidFill>
              <w14:schemeClr w14:val="tx1"/>
            </w14:solidFill>
          </w14:textFill>
        </w:rPr>
        <w:t>中标结果公告</w:t>
      </w:r>
      <w:r>
        <w:rPr>
          <w:rFonts w:hint="eastAsia" w:asciiTheme="minorEastAsia" w:hAnsiTheme="minorEastAsia" w:eastAsiaTheme="minorEastAsia"/>
          <w:iCs/>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同时以</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形式向中标人发出中标通知书。</w:t>
      </w:r>
      <w:r>
        <w:rPr>
          <w:rFonts w:hint="eastAsia" w:asciiTheme="minorEastAsia" w:hAnsiTheme="minorEastAsia" w:eastAsiaTheme="minorEastAsia"/>
          <w:color w:val="000000" w:themeColor="text1"/>
          <w:sz w:val="24"/>
          <w14:textFill>
            <w14:solidFill>
              <w14:schemeClr w14:val="tx1"/>
            </w14:solidFill>
          </w14:textFill>
        </w:rPr>
        <w:t>中标通知书须加盖采购人、采购代理机构公章后，方可发出。</w:t>
      </w:r>
    </w:p>
    <w:p w14:paraId="1083D2F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.2中标通知书对采购人和中标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具有同等法律效力。中标通知书发出以后，采购人改变中标结果或者中标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放弃中标，应当承担相应的法律责任。</w:t>
      </w:r>
    </w:p>
    <w:p w14:paraId="2C41925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.3中标通知书是</w:t>
      </w:r>
      <w:r>
        <w:rPr>
          <w:rFonts w:ascii="宋体" w:hAnsi="宋体" w:eastAsia="宋体"/>
          <w:color w:val="000000" w:themeColor="text1"/>
          <w:sz w:val="24"/>
          <w14:textFill>
            <w14:solidFill>
              <w14:schemeClr w14:val="tx1"/>
            </w14:solidFill>
          </w14:textFill>
        </w:rPr>
        <w:t>合同</w:t>
      </w:r>
      <w:r>
        <w:rPr>
          <w:rFonts w:asciiTheme="minorEastAsia" w:hAnsiTheme="minorEastAsia" w:eastAsiaTheme="minorEastAsia"/>
          <w:color w:val="000000" w:themeColor="text1"/>
          <w:sz w:val="24"/>
          <w14:textFill>
            <w14:solidFill>
              <w14:schemeClr w14:val="tx1"/>
            </w14:solidFill>
          </w14:textFill>
        </w:rPr>
        <w:t>的组成部分。</w:t>
      </w:r>
    </w:p>
    <w:p w14:paraId="6A98056B">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告知招标结果</w:t>
      </w:r>
    </w:p>
    <w:p w14:paraId="6514D6B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在公告</w:t>
      </w:r>
      <w:r>
        <w:rPr>
          <w:rFonts w:asciiTheme="minorEastAsia" w:hAnsiTheme="minorEastAsia" w:eastAsiaTheme="minorEastAsia"/>
          <w:color w:val="000000" w:themeColor="text1"/>
          <w:sz w:val="24"/>
          <w14:textFill>
            <w14:solidFill>
              <w14:schemeClr w14:val="tx1"/>
            </w14:solidFill>
          </w14:textFill>
        </w:rPr>
        <w:t>中标结果的同时，采购代理机构同时以</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w:t>
      </w:r>
      <w:r>
        <w:rPr>
          <w:rFonts w:hint="eastAsia" w:asciiTheme="minorEastAsia" w:hAnsiTheme="minorEastAsia" w:eastAsiaTheme="minorEastAsia"/>
          <w:color w:val="000000" w:themeColor="text1"/>
          <w:sz w:val="24"/>
          <w14:textFill>
            <w14:solidFill>
              <w14:schemeClr w14:val="tx1"/>
            </w14:solidFill>
          </w14:textFill>
        </w:rPr>
        <w:t>告知未通过资格审查的投标人未通过的原因；采用综合评分法评审的，还将告知未中标人本人的评审得分和排序。</w:t>
      </w:r>
    </w:p>
    <w:p w14:paraId="6B7D8264">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26</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履约保证金</w:t>
      </w:r>
    </w:p>
    <w:p w14:paraId="49002FB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26.1中标人应按照</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规定缴纳履约保证金。</w:t>
      </w:r>
    </w:p>
    <w:p w14:paraId="27333CD9">
      <w:pPr>
        <w:spacing w:line="360" w:lineRule="auto"/>
        <w:ind w:firstLine="435"/>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w:t>
      </w:r>
      <w:r>
        <w:rPr>
          <w:rFonts w:asciiTheme="minorEastAsia" w:hAnsiTheme="minorEastAsia" w:eastAsiaTheme="minorEastAsia"/>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如果</w:t>
      </w:r>
      <w:r>
        <w:rPr>
          <w:rFonts w:hint="eastAsia" w:asciiTheme="minorEastAsia" w:hAnsiTheme="minorEastAsia" w:eastAsiaTheme="minorEastAsia"/>
          <w:color w:val="000000" w:themeColor="text1"/>
          <w:sz w:val="24"/>
          <w14:textFill>
            <w14:solidFill>
              <w14:schemeClr w14:val="tx1"/>
            </w14:solidFill>
          </w14:textFill>
        </w:rPr>
        <w:t>中标人没有按照上述履约保证金的规定执行，将视为放弃中标资格。在此情况下，采购人可</w:t>
      </w:r>
      <w:r>
        <w:rPr>
          <w:rFonts w:asciiTheme="minorEastAsia" w:hAnsiTheme="minorEastAsia" w:eastAsiaTheme="minorEastAsia"/>
          <w:color w:val="000000" w:themeColor="text1"/>
          <w:sz w:val="24"/>
          <w14:textFill>
            <w14:solidFill>
              <w14:schemeClr w14:val="tx1"/>
            </w14:solidFill>
          </w14:textFill>
        </w:rPr>
        <w:t>确定下一</w:t>
      </w:r>
      <w:r>
        <w:rPr>
          <w:rFonts w:hint="eastAsia" w:ascii="宋体" w:hAnsi="宋体" w:eastAsia="宋体"/>
          <w:color w:val="000000" w:themeColor="text1"/>
          <w:sz w:val="24"/>
          <w14:textFill>
            <w14:solidFill>
              <w14:schemeClr w14:val="tx1"/>
            </w14:solidFill>
          </w14:textFill>
        </w:rPr>
        <w:t>中标</w:t>
      </w:r>
      <w:r>
        <w:rPr>
          <w:rFonts w:hint="eastAsia" w:asciiTheme="minorEastAsia" w:hAnsiTheme="minorEastAsia" w:eastAsiaTheme="minorEastAsia"/>
          <w:color w:val="000000" w:themeColor="text1"/>
          <w:sz w:val="24"/>
          <w14:textFill>
            <w14:solidFill>
              <w14:schemeClr w14:val="tx1"/>
            </w14:solidFill>
          </w14:textFill>
        </w:rPr>
        <w:t>候选</w:t>
      </w:r>
      <w:r>
        <w:rPr>
          <w:rFonts w:asciiTheme="minorEastAsia" w:hAnsiTheme="minorEastAsia" w:eastAsiaTheme="minorEastAsia"/>
          <w:color w:val="000000" w:themeColor="text1"/>
          <w:sz w:val="24"/>
          <w14:textFill>
            <w14:solidFill>
              <w14:schemeClr w14:val="tx1"/>
            </w14:solidFill>
          </w14:textFill>
        </w:rPr>
        <w:t>人为中标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，也可以重新开展采购活动。</w:t>
      </w:r>
    </w:p>
    <w:p w14:paraId="73B2219A">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27</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签订合同</w:t>
      </w:r>
    </w:p>
    <w:p w14:paraId="13C009CF">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27.1</w:t>
      </w:r>
      <w:r>
        <w:rPr>
          <w:rFonts w:hint="eastAsia" w:ascii="宋体" w:hAnsi="宋体" w:eastAsia="宋体" w:cs="宋体"/>
          <w:color w:val="000000" w:themeColor="text1"/>
          <w:sz w:val="24"/>
          <w:szCs w:val="24"/>
          <w14:textFill>
            <w14:solidFill>
              <w14:schemeClr w14:val="tx1"/>
            </w14:solidFill>
          </w14:textFill>
        </w:rPr>
        <w:t>采购人与中标人应当按照</w:t>
      </w:r>
      <w:r>
        <w:rPr>
          <w:rFonts w:hint="eastAsia" w:ascii="宋体" w:hAnsi="宋体" w:eastAsia="宋体" w:cs="宋体"/>
          <w:color w:val="000000" w:themeColor="text1"/>
          <w:sz w:val="24"/>
          <w:szCs w:val="24"/>
          <w:u w:val="single"/>
          <w14:textFill>
            <w14:solidFill>
              <w14:schemeClr w14:val="tx1"/>
            </w14:solidFill>
          </w14:textFill>
        </w:rPr>
        <w:t>投标人须知前附表</w:t>
      </w:r>
      <w:r>
        <w:rPr>
          <w:rFonts w:hint="eastAsia" w:ascii="宋体" w:hAnsi="宋体" w:eastAsia="宋体" w:cs="宋体"/>
          <w:color w:val="000000" w:themeColor="text1"/>
          <w:sz w:val="24"/>
          <w:szCs w:val="24"/>
          <w14:textFill>
            <w14:solidFill>
              <w14:schemeClr w14:val="tx1"/>
            </w14:solidFill>
          </w14:textFill>
        </w:rPr>
        <w:t>规定的时间内完成政府采购合同签订及合同公告。</w:t>
      </w:r>
    </w:p>
    <w:p w14:paraId="4944FD3A">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27.2招标文件、中标人的投标文件及其澄清文件等，均为签订合同的依据。</w:t>
      </w:r>
    </w:p>
    <w:p w14:paraId="76B3684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27.3中</w:t>
      </w:r>
      <w:r>
        <w:rPr>
          <w:rFonts w:ascii="宋体" w:hAnsi="宋体" w:eastAsia="宋体"/>
          <w:color w:val="000000" w:themeColor="text1"/>
          <w:sz w:val="24"/>
          <w14:textFill>
            <w14:solidFill>
              <w14:schemeClr w14:val="tx1"/>
            </w14:solidFill>
          </w14:textFill>
        </w:rPr>
        <w:t>标</w:t>
      </w:r>
      <w:r>
        <w:rPr>
          <w:rFonts w:hint="eastAsia" w:ascii="宋体" w:hAnsi="宋体" w:eastAsia="宋体"/>
          <w:color w:val="000000" w:themeColor="text1"/>
          <w:sz w:val="24"/>
          <w14:textFill>
            <w14:solidFill>
              <w14:schemeClr w14:val="tx1"/>
            </w14:solidFill>
          </w14:textFill>
        </w:rPr>
        <w:t>人</w:t>
      </w:r>
      <w:r>
        <w:rPr>
          <w:rFonts w:ascii="宋体" w:hAnsi="宋体" w:eastAsia="宋体"/>
          <w:color w:val="000000" w:themeColor="text1"/>
          <w:sz w:val="24"/>
          <w14:textFill>
            <w14:solidFill>
              <w14:schemeClr w14:val="tx1"/>
            </w14:solidFill>
          </w14:textFill>
        </w:rPr>
        <w:t>拒绝与采购人签订合同的，采购人可以按照评审报告推荐的中标候选人</w:t>
      </w:r>
      <w:r>
        <w:rPr>
          <w:rFonts w:hint="eastAsia" w:ascii="宋体" w:hAnsi="宋体" w:eastAsia="宋体"/>
          <w:color w:val="000000" w:themeColor="text1"/>
          <w:sz w:val="24"/>
          <w14:textFill>
            <w14:solidFill>
              <w14:schemeClr w14:val="tx1"/>
            </w14:solidFill>
          </w14:textFill>
        </w:rPr>
        <w:t>名单</w:t>
      </w:r>
      <w:r>
        <w:rPr>
          <w:rFonts w:ascii="宋体" w:hAnsi="宋体" w:eastAsia="宋体"/>
          <w:color w:val="000000" w:themeColor="text1"/>
          <w:sz w:val="24"/>
          <w14:textFill>
            <w14:solidFill>
              <w14:schemeClr w14:val="tx1"/>
            </w14:solidFill>
          </w14:textFill>
        </w:rPr>
        <w:t>排序</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确定下一</w:t>
      </w:r>
      <w:r>
        <w:rPr>
          <w:rFonts w:hint="eastAsia" w:ascii="宋体" w:hAnsi="宋体" w:eastAsia="宋体"/>
          <w:color w:val="000000" w:themeColor="text1"/>
          <w:sz w:val="24"/>
          <w14:textFill>
            <w14:solidFill>
              <w14:schemeClr w14:val="tx1"/>
            </w14:solidFill>
          </w14:textFill>
        </w:rPr>
        <w:t>中标候选</w:t>
      </w:r>
      <w:r>
        <w:rPr>
          <w:rFonts w:ascii="宋体" w:hAnsi="宋体" w:eastAsia="宋体"/>
          <w:color w:val="000000" w:themeColor="text1"/>
          <w:sz w:val="24"/>
          <w14:textFill>
            <w14:solidFill>
              <w14:schemeClr w14:val="tx1"/>
            </w14:solidFill>
          </w14:textFill>
        </w:rPr>
        <w:t>人为中标</w:t>
      </w:r>
      <w:r>
        <w:rPr>
          <w:rFonts w:hint="eastAsia" w:ascii="宋体" w:hAnsi="宋体" w:eastAsia="宋体"/>
          <w:color w:val="000000" w:themeColor="text1"/>
          <w:sz w:val="24"/>
          <w14:textFill>
            <w14:solidFill>
              <w14:schemeClr w14:val="tx1"/>
            </w14:solidFill>
          </w14:textFill>
        </w:rPr>
        <w:t>人</w:t>
      </w:r>
      <w:r>
        <w:rPr>
          <w:rFonts w:ascii="宋体" w:hAnsi="宋体" w:eastAsia="宋体"/>
          <w:color w:val="000000" w:themeColor="text1"/>
          <w:sz w:val="24"/>
          <w14:textFill>
            <w14:solidFill>
              <w14:schemeClr w14:val="tx1"/>
            </w14:solidFill>
          </w14:textFill>
        </w:rPr>
        <w:t>，也可以重新开展政府采购活动。</w:t>
      </w:r>
    </w:p>
    <w:p w14:paraId="488276D6">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代理费用</w:t>
      </w:r>
    </w:p>
    <w:p w14:paraId="5015D798">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28</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本项目代理费用的收取按</w:t>
      </w:r>
      <w:r>
        <w:rPr>
          <w:rFonts w:hint="eastAsia" w:asciiTheme="minorEastAsia" w:hAnsiTheme="minorEastAsia" w:eastAsiaTheme="minorEastAsia"/>
          <w:color w:val="000000" w:themeColor="text1"/>
          <w:sz w:val="24"/>
          <w:u w:val="single"/>
          <w14:textFill>
            <w14:solidFill>
              <w14:schemeClr w14:val="tx1"/>
            </w14:solidFill>
          </w14:textFill>
        </w:rPr>
        <w:t>投标人须知前附表的</w:t>
      </w:r>
      <w:r>
        <w:rPr>
          <w:rFonts w:hint="eastAsia" w:ascii="宋体" w:hAnsi="宋体" w:eastAsia="宋体"/>
          <w:color w:val="000000" w:themeColor="text1"/>
          <w:sz w:val="24"/>
          <w14:textFill>
            <w14:solidFill>
              <w14:schemeClr w14:val="tx1"/>
            </w14:solidFill>
          </w14:textFill>
        </w:rPr>
        <w:t>规定执行</w:t>
      </w:r>
      <w:r>
        <w:rPr>
          <w:rFonts w:hint="eastAsia" w:asciiTheme="minorEastAsia" w:hAnsiTheme="minorEastAsia" w:eastAsiaTheme="minorEastAsia"/>
          <w:color w:val="000000" w:themeColor="text1"/>
          <w:sz w:val="24"/>
          <w14:textFill>
            <w14:solidFill>
              <w14:schemeClr w14:val="tx1"/>
            </w14:solidFill>
          </w14:textFill>
        </w:rPr>
        <w:t>。</w:t>
      </w:r>
    </w:p>
    <w:p w14:paraId="70FCB29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bookmarkStart w:id="40" w:name="_Toc518923100"/>
      <w:bookmarkStart w:id="41" w:name="_Toc2583661"/>
      <w:r>
        <w:rPr>
          <w:rFonts w:hint="eastAsia" w:asciiTheme="minorEastAsia" w:hAnsiTheme="minorEastAsia" w:eastAsiaTheme="minorEastAsia"/>
          <w:b/>
          <w:color w:val="000000" w:themeColor="text1"/>
          <w:sz w:val="24"/>
          <w14:textFill>
            <w14:solidFill>
              <w14:schemeClr w14:val="tx1"/>
            </w14:solidFill>
          </w14:textFill>
        </w:rPr>
        <w:t>29.廉洁自律</w:t>
      </w:r>
      <w:r>
        <w:rPr>
          <w:rFonts w:asciiTheme="minorEastAsia" w:hAnsiTheme="minorEastAsia" w:eastAsiaTheme="minorEastAsia"/>
          <w:b/>
          <w:color w:val="000000" w:themeColor="text1"/>
          <w:sz w:val="24"/>
          <w14:textFill>
            <w14:solidFill>
              <w14:schemeClr w14:val="tx1"/>
            </w14:solidFill>
          </w14:textFill>
        </w:rPr>
        <w:t>规定</w:t>
      </w:r>
      <w:bookmarkEnd w:id="40"/>
      <w:bookmarkEnd w:id="41"/>
    </w:p>
    <w:p w14:paraId="295D2D6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29.1采购代理机构</w:t>
      </w:r>
      <w:r>
        <w:rPr>
          <w:rFonts w:ascii="宋体" w:hAnsi="宋体" w:eastAsia="宋体"/>
          <w:color w:val="000000" w:themeColor="text1"/>
          <w:sz w:val="24"/>
          <w14:textFill>
            <w14:solidFill>
              <w14:schemeClr w14:val="tx1"/>
            </w14:solidFill>
          </w14:textFill>
        </w:rPr>
        <w:t>工作人员</w:t>
      </w:r>
      <w:r>
        <w:rPr>
          <w:rFonts w:hint="eastAsia" w:ascii="宋体" w:hAnsi="宋体" w:eastAsia="宋体"/>
          <w:color w:val="000000" w:themeColor="text1"/>
          <w:sz w:val="24"/>
          <w14:textFill>
            <w14:solidFill>
              <w14:schemeClr w14:val="tx1"/>
            </w14:solidFill>
          </w14:textFill>
        </w:rPr>
        <w:t>不得以不正当手段获取政府采购代理业务，不得与采购人、供应商恶意串通。</w:t>
      </w:r>
    </w:p>
    <w:p w14:paraId="76A4296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29.</w:t>
      </w:r>
      <w:r>
        <w:rPr>
          <w:rFonts w:ascii="宋体" w:hAnsi="宋体" w:eastAsia="宋体"/>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14:paraId="12D62659">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bookmarkStart w:id="42" w:name="_Toc2583662"/>
      <w:bookmarkStart w:id="43" w:name="_Toc518923101"/>
      <w:r>
        <w:rPr>
          <w:rFonts w:hint="eastAsia" w:asciiTheme="minorEastAsia" w:hAnsiTheme="minorEastAsia" w:eastAsiaTheme="minorEastAsia"/>
          <w:b/>
          <w:color w:val="000000" w:themeColor="text1"/>
          <w:sz w:val="24"/>
          <w14:textFill>
            <w14:solidFill>
              <w14:schemeClr w14:val="tx1"/>
            </w14:solidFill>
          </w14:textFill>
        </w:rPr>
        <w:t>30.人员回避</w:t>
      </w:r>
      <w:bookmarkEnd w:id="42"/>
      <w:bookmarkEnd w:id="43"/>
    </w:p>
    <w:p w14:paraId="3C89DF9A">
      <w:pPr>
        <w:spacing w:line="360" w:lineRule="auto"/>
        <w:ind w:firstLine="435"/>
        <w:rPr>
          <w:rFonts w:hint="eastAsia" w:ascii="仿宋_GB2312" w:hAnsi="宋体"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认为采购人员</w:t>
      </w:r>
      <w:r>
        <w:rPr>
          <w:rFonts w:hint="eastAsia" w:ascii="宋体" w:hAnsi="宋体" w:eastAsia="宋体"/>
          <w:color w:val="000000" w:themeColor="text1"/>
          <w:sz w:val="24"/>
          <w14:textFill>
            <w14:solidFill>
              <w14:schemeClr w14:val="tx1"/>
            </w14:solidFill>
          </w14:textFill>
        </w:rPr>
        <w:t>及其</w:t>
      </w:r>
      <w:r>
        <w:rPr>
          <w:rFonts w:ascii="宋体" w:hAnsi="宋体" w:eastAsia="宋体"/>
          <w:color w:val="000000" w:themeColor="text1"/>
          <w:sz w:val="24"/>
          <w14:textFill>
            <w14:solidFill>
              <w14:schemeClr w14:val="tx1"/>
            </w14:solidFill>
          </w14:textFill>
        </w:rPr>
        <w:t>相关人员有</w:t>
      </w:r>
      <w:r>
        <w:rPr>
          <w:rFonts w:hint="eastAsia" w:ascii="宋体" w:hAnsi="宋体" w:eastAsia="宋体"/>
          <w:color w:val="000000" w:themeColor="text1"/>
          <w:sz w:val="24"/>
          <w14:textFill>
            <w14:solidFill>
              <w14:schemeClr w14:val="tx1"/>
            </w14:solidFill>
          </w14:textFill>
        </w:rPr>
        <w:t>法律</w:t>
      </w:r>
      <w:r>
        <w:rPr>
          <w:rFonts w:ascii="宋体" w:hAnsi="宋体" w:eastAsia="宋体"/>
          <w:color w:val="000000" w:themeColor="text1"/>
          <w:sz w:val="24"/>
          <w14:textFill>
            <w14:solidFill>
              <w14:schemeClr w14:val="tx1"/>
            </w14:solidFill>
          </w14:textFill>
        </w:rPr>
        <w:t>法规所列与其他供应商</w:t>
      </w:r>
      <w:r>
        <w:rPr>
          <w:rFonts w:hint="eastAsia" w:ascii="宋体" w:hAnsi="宋体" w:eastAsia="宋体"/>
          <w:color w:val="000000" w:themeColor="text1"/>
          <w:sz w:val="24"/>
          <w14:textFill>
            <w14:solidFill>
              <w14:schemeClr w14:val="tx1"/>
            </w14:solidFill>
          </w14:textFill>
        </w:rPr>
        <w:t>有</w:t>
      </w:r>
      <w:r>
        <w:rPr>
          <w:rFonts w:ascii="宋体" w:hAnsi="宋体" w:eastAsia="宋体"/>
          <w:color w:val="000000" w:themeColor="text1"/>
          <w:sz w:val="24"/>
          <w14:textFill>
            <w14:solidFill>
              <w14:schemeClr w14:val="tx1"/>
            </w14:solidFill>
          </w14:textFill>
        </w:rPr>
        <w:t>利害关系的，可以向</w:t>
      </w:r>
      <w:r>
        <w:rPr>
          <w:rFonts w:hint="eastAsia" w:ascii="宋体" w:hAnsi="宋体" w:eastAsia="宋体"/>
          <w:color w:val="000000" w:themeColor="text1"/>
          <w:sz w:val="24"/>
          <w14:textFill>
            <w14:solidFill>
              <w14:schemeClr w14:val="tx1"/>
            </w14:solidFill>
          </w14:textFill>
        </w:rPr>
        <w:t>采购人或</w:t>
      </w:r>
      <w:r>
        <w:rPr>
          <w:rFonts w:ascii="宋体" w:hAnsi="宋体" w:eastAsia="宋体"/>
          <w:color w:val="000000" w:themeColor="text1"/>
          <w:sz w:val="24"/>
          <w14:textFill>
            <w14:solidFill>
              <w14:schemeClr w14:val="tx1"/>
            </w14:solidFill>
          </w14:textFill>
        </w:rPr>
        <w:t>采购代理机构书面提出回避申请，并说明理由。</w:t>
      </w:r>
    </w:p>
    <w:p w14:paraId="1053E46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质疑的提出与接收</w:t>
      </w:r>
    </w:p>
    <w:p w14:paraId="7D6ED607">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14:paraId="2015BFBC">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D69461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31.3采购代理机构质疑函接收部门、联系电话和通讯地址，见</w:t>
      </w:r>
      <w:r>
        <w:rPr>
          <w:rFonts w:hint="eastAsia" w:ascii="宋体" w:hAnsi="宋体" w:eastAsia="宋体"/>
          <w:color w:val="000000" w:themeColor="text1"/>
          <w:sz w:val="24"/>
          <w:u w:val="single"/>
          <w14:textFill>
            <w14:solidFill>
              <w14:schemeClr w14:val="tx1"/>
            </w14:solidFill>
          </w14:textFill>
        </w:rPr>
        <w:t>投标人须知前附表</w:t>
      </w:r>
      <w:r>
        <w:rPr>
          <w:rFonts w:hint="eastAsia" w:ascii="宋体" w:hAnsi="宋体" w:eastAsia="宋体"/>
          <w:color w:val="000000" w:themeColor="text1"/>
          <w:sz w:val="24"/>
          <w14:textFill>
            <w14:solidFill>
              <w14:schemeClr w14:val="tx1"/>
            </w14:solidFill>
          </w14:textFill>
        </w:rPr>
        <w:t>。</w:t>
      </w:r>
    </w:p>
    <w:p w14:paraId="4AB1F1E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279A5BA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需要补充的其他内容</w:t>
      </w:r>
    </w:p>
    <w:p w14:paraId="67BBC22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需要补充的其他内容，见</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w:t>
      </w:r>
    </w:p>
    <w:p w14:paraId="2913545D">
      <w:pPr>
        <w:widowControl/>
        <w:jc w:val="left"/>
        <w:rPr>
          <w:rFonts w:hint="eastAsia"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5984E99">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44" w:name="_Toc10891"/>
      <w:r>
        <w:rPr>
          <w:rFonts w:hint="eastAsia" w:asciiTheme="minorEastAsia" w:hAnsiTheme="minorEastAsia" w:eastAsiaTheme="minorEastAsia"/>
          <w:b/>
          <w:color w:val="000000" w:themeColor="text1"/>
          <w:sz w:val="28"/>
          <w14:textFill>
            <w14:solidFill>
              <w14:schemeClr w14:val="tx1"/>
            </w14:solidFill>
          </w14:textFill>
        </w:rPr>
        <w:t>第三章  采购需求</w:t>
      </w:r>
      <w:bookmarkEnd w:id="44"/>
    </w:p>
    <w:p w14:paraId="1F0C231E">
      <w:pPr>
        <w:spacing w:line="360" w:lineRule="auto"/>
        <w:ind w:firstLine="437"/>
        <w:outlineLvl w:val="1"/>
        <w:rPr>
          <w:rFonts w:hint="eastAsia" w:ascii="宋体" w:hAnsi="宋体" w:eastAsia="宋体"/>
          <w:b/>
          <w:color w:val="000000" w:themeColor="text1"/>
          <w:sz w:val="24"/>
          <w:szCs w:val="18"/>
          <w14:textFill>
            <w14:solidFill>
              <w14:schemeClr w14:val="tx1"/>
            </w14:solidFill>
          </w14:textFill>
        </w:rPr>
      </w:pPr>
      <w:bookmarkStart w:id="45" w:name="_Toc32151"/>
      <w:bookmarkStart w:id="46" w:name="_Toc2554"/>
      <w:r>
        <w:rPr>
          <w:rFonts w:hint="eastAsia" w:ascii="宋体" w:hAnsi="宋体" w:eastAsia="宋体"/>
          <w:b/>
          <w:color w:val="000000" w:themeColor="text1"/>
          <w:sz w:val="24"/>
          <w:szCs w:val="18"/>
          <w14:textFill>
            <w14:solidFill>
              <w14:schemeClr w14:val="tx1"/>
            </w14:solidFill>
          </w14:textFill>
        </w:rPr>
        <w:t>一、采购需求前附表</w:t>
      </w:r>
      <w:bookmarkEnd w:id="45"/>
      <w:bookmarkEnd w:id="46"/>
    </w:p>
    <w:tbl>
      <w:tblPr>
        <w:tblStyle w:val="2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544E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2FAC0014">
            <w:pPr>
              <w:pStyle w:val="45"/>
              <w:pBdr>
                <w:bottom w:val="none" w:color="auto" w:sz="0" w:space="0"/>
              </w:pBdr>
              <w:tabs>
                <w:tab w:val="clear" w:pos="4153"/>
                <w:tab w:val="clear" w:pos="8306"/>
              </w:tabs>
              <w:adjustRightInd/>
              <w:spacing w:line="240" w:lineRule="auto"/>
              <w:textAlignment w:val="auto"/>
              <w:rPr>
                <w:rFonts w:hint="eastAsia" w:ascii="宋体" w:hAnsi="宋体" w:eastAsia="宋体"/>
                <w:b/>
                <w:color w:val="000000" w:themeColor="text1"/>
                <w:kern w:val="2"/>
                <w14:textFill>
                  <w14:solidFill>
                    <w14:schemeClr w14:val="tx1"/>
                  </w14:solidFill>
                </w14:textFill>
              </w:rPr>
            </w:pPr>
            <w:r>
              <w:rPr>
                <w:rFonts w:hint="eastAsia" w:ascii="宋体" w:hAnsi="宋体" w:eastAsia="宋体"/>
                <w:b/>
                <w:color w:val="000000" w:themeColor="text1"/>
                <w:kern w:val="2"/>
                <w14:textFill>
                  <w14:solidFill>
                    <w14:schemeClr w14:val="tx1"/>
                  </w14:solidFill>
                </w14:textFill>
              </w:rPr>
              <w:t>序号</w:t>
            </w:r>
          </w:p>
        </w:tc>
        <w:tc>
          <w:tcPr>
            <w:tcW w:w="1080" w:type="pct"/>
            <w:vAlign w:val="center"/>
          </w:tcPr>
          <w:p w14:paraId="748BD25C">
            <w:pPr>
              <w:pStyle w:val="44"/>
              <w:widowControl w:val="0"/>
              <w:spacing w:before="0" w:beforeAutospacing="0" w:after="0" w:afterAutospacing="0" w:line="360" w:lineRule="auto"/>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493" w:type="pct"/>
            <w:vAlign w:val="center"/>
          </w:tcPr>
          <w:p w14:paraId="3311FE1F">
            <w:pPr>
              <w:pStyle w:val="44"/>
              <w:widowControl w:val="0"/>
              <w:spacing w:before="0" w:beforeAutospacing="0" w:after="0" w:afterAutospacing="0" w:line="360" w:lineRule="auto"/>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379F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6AF25EE0">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1080" w:type="pct"/>
            <w:vAlign w:val="center"/>
          </w:tcPr>
          <w:p w14:paraId="6F2EB387">
            <w:pPr>
              <w:pStyle w:val="44"/>
              <w:widowControl w:val="0"/>
              <w:spacing w:before="0" w:beforeAutospacing="0" w:after="0" w:afterAutospacing="0"/>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3493" w:type="pct"/>
            <w:vAlign w:val="center"/>
          </w:tcPr>
          <w:p w14:paraId="6DAA417E">
            <w:pPr>
              <w:pStyle w:val="4"/>
              <w:numPr>
                <w:ilvl w:val="1"/>
                <w:numId w:val="0"/>
              </w:numPr>
              <w:spacing w:line="240" w:lineRule="auto"/>
              <w:rPr>
                <w:rFonts w:hint="eastAsia" w:ascii="宋体" w:hAnsi="宋体" w:eastAsia="仿宋"/>
                <w:b w:val="0"/>
                <w:color w:val="000000" w:themeColor="text1"/>
                <w:sz w:val="24"/>
                <w:szCs w:val="20"/>
                <w:highlight w:val="none"/>
                <w:u w:val="single"/>
                <w14:textFill>
                  <w14:solidFill>
                    <w14:schemeClr w14:val="tx1"/>
                  </w14:solidFill>
                </w14:textFill>
              </w:rPr>
            </w:pPr>
            <w:r>
              <w:rPr>
                <w:rFonts w:hint="eastAsia" w:ascii="宋体" w:hAnsi="宋体" w:eastAsia="宋体" w:cs="@仿宋_GB2312"/>
                <w:bCs/>
                <w:color w:val="000000" w:themeColor="text1"/>
                <w:kern w:val="0"/>
                <w:sz w:val="24"/>
                <w:szCs w:val="28"/>
                <w:highlight w:val="none"/>
                <w:lang w:val="en-US" w:eastAsia="zh-CN" w:bidi="ar-SA"/>
                <w14:textFill>
                  <w14:solidFill>
                    <w14:schemeClr w14:val="tx1"/>
                  </w14:solidFill>
                </w14:textFill>
              </w:rPr>
              <w:t>每半年支付合同价款的50%。</w:t>
            </w:r>
          </w:p>
        </w:tc>
      </w:tr>
      <w:tr w14:paraId="2862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7CAED060">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1080" w:type="pct"/>
            <w:vAlign w:val="center"/>
          </w:tcPr>
          <w:p w14:paraId="597CE690">
            <w:pPr>
              <w:pStyle w:val="44"/>
              <w:widowControl w:val="0"/>
              <w:spacing w:before="0" w:beforeAutospacing="0" w:after="0"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服务地点</w:t>
            </w:r>
          </w:p>
        </w:tc>
        <w:tc>
          <w:tcPr>
            <w:tcW w:w="3493" w:type="pct"/>
            <w:vAlign w:val="center"/>
          </w:tcPr>
          <w:p w14:paraId="27A60D89">
            <w:pPr>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滁州市第一人民医院（采购人指定地点）</w:t>
            </w:r>
          </w:p>
        </w:tc>
      </w:tr>
      <w:tr w14:paraId="5D61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56394921">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w:t>
            </w:r>
          </w:p>
        </w:tc>
        <w:tc>
          <w:tcPr>
            <w:tcW w:w="1080" w:type="pct"/>
            <w:vAlign w:val="center"/>
          </w:tcPr>
          <w:p w14:paraId="6EB74F67">
            <w:pPr>
              <w:pStyle w:val="44"/>
              <w:widowControl w:val="0"/>
              <w:spacing w:before="0" w:beforeAutospacing="0" w:after="0"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服务期限</w:t>
            </w:r>
          </w:p>
        </w:tc>
        <w:tc>
          <w:tcPr>
            <w:tcW w:w="3493" w:type="pct"/>
            <w:vAlign w:val="center"/>
          </w:tcPr>
          <w:p w14:paraId="096E0926">
            <w:pPr>
              <w:jc w:val="left"/>
              <w:rPr>
                <w:rFonts w:hint="default" w:ascii="宋体" w:hAnsi="宋体" w:eastAsia="宋体"/>
                <w:bCs/>
                <w:color w:val="000000" w:themeColor="text1"/>
                <w:kern w:val="0"/>
                <w:sz w:val="24"/>
                <w:szCs w:val="28"/>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本合同期限为三年，采用1+1+1模式。</w:t>
            </w:r>
          </w:p>
        </w:tc>
      </w:tr>
      <w:tr w14:paraId="3300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69ADF6E0">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lang w:val="en-US" w:eastAsia="zh-CN"/>
                <w14:textFill>
                  <w14:solidFill>
                    <w14:schemeClr w14:val="tx1"/>
                  </w14:solidFill>
                </w14:textFill>
              </w:rPr>
            </w:pPr>
            <w:bookmarkStart w:id="47" w:name="_Toc7421"/>
            <w:bookmarkStart w:id="48" w:name="_Toc4843"/>
            <w:r>
              <w:rPr>
                <w:rFonts w:hint="eastAsia" w:ascii="宋体" w:hAnsi="宋体" w:eastAsia="宋体"/>
                <w:bCs/>
                <w:color w:val="000000" w:themeColor="text1"/>
                <w:kern w:val="2"/>
                <w:lang w:val="en-US" w:eastAsia="zh-CN"/>
                <w14:textFill>
                  <w14:solidFill>
                    <w14:schemeClr w14:val="tx1"/>
                  </w14:solidFill>
                </w14:textFill>
              </w:rPr>
              <w:t>4</w:t>
            </w:r>
          </w:p>
        </w:tc>
        <w:tc>
          <w:tcPr>
            <w:tcW w:w="1080" w:type="pct"/>
            <w:vAlign w:val="center"/>
          </w:tcPr>
          <w:p w14:paraId="14E304EE">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进场时间</w:t>
            </w:r>
          </w:p>
        </w:tc>
        <w:tc>
          <w:tcPr>
            <w:tcW w:w="3493" w:type="pct"/>
            <w:vAlign w:val="center"/>
          </w:tcPr>
          <w:p w14:paraId="5B719FC5">
            <w:pPr>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合同签订之日起3日内进场</w:t>
            </w:r>
          </w:p>
        </w:tc>
      </w:tr>
    </w:tbl>
    <w:p w14:paraId="06FC5BC3">
      <w:pPr>
        <w:numPr>
          <w:ilvl w:val="0"/>
          <w:numId w:val="1"/>
        </w:numPr>
        <w:spacing w:line="360" w:lineRule="auto"/>
        <w:ind w:firstLine="482" w:firstLineChars="200"/>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采购需求</w:t>
      </w:r>
    </w:p>
    <w:bookmarkEnd w:id="47"/>
    <w:bookmarkEnd w:id="48"/>
    <w:p w14:paraId="5C186BB5">
      <w:pPr>
        <w:spacing w:line="36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一</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项目概况及招标范围</w:t>
      </w:r>
    </w:p>
    <w:p w14:paraId="466FAF3B">
      <w:pPr>
        <w:spacing w:line="360" w:lineRule="auto"/>
        <w:ind w:firstLine="660" w:firstLineChars="275"/>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概况：</w:t>
      </w:r>
    </w:p>
    <w:p w14:paraId="760C7F42">
      <w:pPr>
        <w:spacing w:line="360" w:lineRule="auto"/>
        <w:ind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滁州市第一人民医院消防系统维保项目（二次）</w:t>
      </w:r>
      <w:r>
        <w:rPr>
          <w:rFonts w:hint="eastAsia" w:asciiTheme="majorEastAsia" w:hAnsiTheme="majorEastAsia" w:eastAsiaTheme="majorEastAsia" w:cstheme="majorEastAsia"/>
          <w:color w:val="000000" w:themeColor="text1"/>
          <w:sz w:val="24"/>
          <w:szCs w:val="24"/>
          <w14:textFill>
            <w14:solidFill>
              <w14:schemeClr w14:val="tx1"/>
            </w14:solidFill>
          </w14:textFill>
        </w:rPr>
        <w:t>建筑情况：</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南区</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含发热门诊</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(1</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1.8</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万平方米)、</w:t>
      </w:r>
      <w:r>
        <w:rPr>
          <w:rFonts w:hint="eastAsia" w:asciiTheme="majorEastAsia" w:hAnsiTheme="majorEastAsia" w:eastAsiaTheme="majorEastAsia" w:cstheme="majorEastAsia"/>
          <w:color w:val="000000" w:themeColor="text1"/>
          <w:sz w:val="24"/>
          <w:szCs w:val="24"/>
          <w14:textFill>
            <w14:solidFill>
              <w14:schemeClr w14:val="tx1"/>
            </w14:solidFill>
          </w14:textFill>
        </w:rPr>
        <w:t>北区（</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3.26</w:t>
      </w:r>
      <w:r>
        <w:rPr>
          <w:rFonts w:hint="eastAsia" w:asciiTheme="majorEastAsia" w:hAnsiTheme="majorEastAsia" w:eastAsiaTheme="majorEastAsia" w:cstheme="majorEastAsia"/>
          <w:color w:val="000000" w:themeColor="text1"/>
          <w:sz w:val="24"/>
          <w:szCs w:val="24"/>
          <w14:textFill>
            <w14:solidFill>
              <w14:schemeClr w14:val="tx1"/>
            </w14:solidFill>
          </w14:textFill>
        </w:rPr>
        <w:t>万平方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米</w:t>
      </w:r>
      <w:r>
        <w:rPr>
          <w:rFonts w:hint="eastAsia" w:asciiTheme="majorEastAsia" w:hAnsiTheme="majorEastAsia" w:eastAsiaTheme="majorEastAsia" w:cstheme="majorEastAsia"/>
          <w:color w:val="000000" w:themeColor="text1"/>
          <w:sz w:val="24"/>
          <w:szCs w:val="24"/>
          <w14:textFill>
            <w14:solidFill>
              <w14:schemeClr w14:val="tx1"/>
            </w14:solidFill>
          </w14:textFill>
        </w:rPr>
        <w:t>）、儿童医院</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含口腔医院</w:t>
      </w:r>
      <w:r>
        <w:rPr>
          <w:rFonts w:hint="eastAsia" w:asciiTheme="majorEastAsia" w:hAnsiTheme="majorEastAsia" w:eastAsiaTheme="majorEastAsia" w:cstheme="majorEastAsia"/>
          <w:color w:val="000000" w:themeColor="text1"/>
          <w:sz w:val="24"/>
          <w:szCs w:val="24"/>
          <w14:textFill>
            <w14:solidFill>
              <w14:schemeClr w14:val="tx1"/>
            </w14:solidFill>
          </w14:textFill>
        </w:rPr>
        <w:t>（6.</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24</w:t>
      </w:r>
      <w:r>
        <w:rPr>
          <w:rFonts w:hint="eastAsia" w:asciiTheme="majorEastAsia" w:hAnsiTheme="majorEastAsia" w:eastAsiaTheme="majorEastAsia" w:cstheme="majorEastAsia"/>
          <w:color w:val="000000" w:themeColor="text1"/>
          <w:sz w:val="24"/>
          <w:szCs w:val="24"/>
          <w14:textFill>
            <w14:solidFill>
              <w14:schemeClr w14:val="tx1"/>
            </w14:solidFill>
          </w14:textFill>
        </w:rPr>
        <w:t>万平方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米</w:t>
      </w:r>
      <w:r>
        <w:rPr>
          <w:rFonts w:hint="eastAsia" w:asciiTheme="majorEastAsia" w:hAnsiTheme="majorEastAsia" w:eastAsiaTheme="majorEastAsia" w:cstheme="majorEastAsia"/>
          <w:color w:val="000000" w:themeColor="text1"/>
          <w:sz w:val="24"/>
          <w:szCs w:val="24"/>
          <w14:textFill>
            <w14:solidFill>
              <w14:schemeClr w14:val="tx1"/>
            </w14:solidFill>
          </w14:textFill>
        </w:rPr>
        <w:t>）、西区(</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0.9</w:t>
      </w:r>
      <w:r>
        <w:rPr>
          <w:rFonts w:hint="eastAsia" w:asciiTheme="majorEastAsia" w:hAnsiTheme="majorEastAsia" w:eastAsiaTheme="majorEastAsia" w:cstheme="majorEastAsia"/>
          <w:color w:val="000000" w:themeColor="text1"/>
          <w:sz w:val="24"/>
          <w:szCs w:val="24"/>
          <w14:textFill>
            <w14:solidFill>
              <w14:schemeClr w14:val="tx1"/>
            </w14:solidFill>
          </w14:textFill>
        </w:rPr>
        <w:t>万平方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米</w:t>
      </w:r>
      <w:r>
        <w:rPr>
          <w:rFonts w:hint="eastAsia" w:asciiTheme="majorEastAsia" w:hAnsiTheme="majorEastAsia" w:eastAsiaTheme="majorEastAsia" w:cstheme="majorEastAsia"/>
          <w:color w:val="000000" w:themeColor="text1"/>
          <w:sz w:val="24"/>
          <w:szCs w:val="24"/>
          <w14:textFill>
            <w14:solidFill>
              <w14:schemeClr w14:val="tx1"/>
            </w14:solidFill>
          </w14:textFill>
        </w:rPr>
        <w:t>)，共计</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22.2</w:t>
      </w:r>
      <w:r>
        <w:rPr>
          <w:rFonts w:hint="eastAsia" w:asciiTheme="majorEastAsia" w:hAnsiTheme="majorEastAsia" w:eastAsiaTheme="majorEastAsia" w:cstheme="majorEastAsia"/>
          <w:color w:val="000000" w:themeColor="text1"/>
          <w:sz w:val="24"/>
          <w:szCs w:val="24"/>
          <w14:textFill>
            <w14:solidFill>
              <w14:schemeClr w14:val="tx1"/>
            </w14:solidFill>
          </w14:textFill>
        </w:rPr>
        <w:t>万平方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米。</w:t>
      </w:r>
    </w:p>
    <w:p w14:paraId="72107B61">
      <w:pPr>
        <w:numPr>
          <w:ilvl w:val="0"/>
          <w:numId w:val="0"/>
        </w:numPr>
        <w:spacing w:line="360" w:lineRule="auto"/>
        <w:ind w:firstLine="720" w:firstLineChars="3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项目内容：</w:t>
      </w:r>
      <w:r>
        <w:rPr>
          <w:rFonts w:hint="eastAsia" w:asciiTheme="majorEastAsia" w:hAnsiTheme="majorEastAsia" w:eastAsiaTheme="majorEastAsia" w:cstheme="majorEastAsia"/>
          <w:color w:val="000000" w:themeColor="text1"/>
          <w:sz w:val="24"/>
          <w:szCs w:val="24"/>
          <w14:textFill>
            <w14:solidFill>
              <w14:schemeClr w14:val="tx1"/>
            </w14:solidFill>
          </w14:textFill>
        </w:rPr>
        <w:t>消防自动报警系统</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设施维修保养</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消防系统和器材的零配件供应；消防系统、设施、电气第三方年度检测、评估</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p>
    <w:p w14:paraId="478F7D19">
      <w:pPr>
        <w:spacing w:line="324" w:lineRule="auto"/>
        <w:ind w:firstLine="482" w:firstLineChars="200"/>
        <w:jc w:val="left"/>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二</w:t>
      </w: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维保内容：</w:t>
      </w:r>
    </w:p>
    <w:p w14:paraId="591EBF71">
      <w:pPr>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四个院区</w:t>
      </w:r>
      <w:r>
        <w:rPr>
          <w:rFonts w:hint="eastAsia" w:asciiTheme="majorEastAsia" w:hAnsiTheme="majorEastAsia" w:eastAsiaTheme="majorEastAsia" w:cstheme="majorEastAsia"/>
          <w:color w:val="000000" w:themeColor="text1"/>
          <w:sz w:val="24"/>
          <w:szCs w:val="24"/>
          <w14:textFill>
            <w14:solidFill>
              <w14:schemeClr w14:val="tx1"/>
            </w14:solidFill>
          </w14:textFill>
        </w:rPr>
        <w:t>现有消防</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设备</w:t>
      </w:r>
      <w:r>
        <w:rPr>
          <w:rFonts w:hint="eastAsia" w:asciiTheme="majorEastAsia" w:hAnsiTheme="majorEastAsia" w:eastAsiaTheme="majorEastAsia" w:cstheme="majorEastAsia"/>
          <w:color w:val="000000" w:themeColor="text1"/>
          <w:sz w:val="24"/>
          <w:szCs w:val="24"/>
          <w14:textFill>
            <w14:solidFill>
              <w14:schemeClr w14:val="tx1"/>
            </w14:solidFill>
          </w14:textFill>
        </w:rPr>
        <w:t>包括</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火灾自动报警系统、自动喷淋灭火系统、</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气体灭火系统、室内外消火栓系统、</w:t>
      </w:r>
      <w:r>
        <w:rPr>
          <w:rFonts w:hint="eastAsia" w:asciiTheme="majorEastAsia" w:hAnsiTheme="majorEastAsia" w:eastAsiaTheme="majorEastAsia" w:cstheme="majorEastAsia"/>
          <w:color w:val="000000" w:themeColor="text1"/>
          <w:sz w:val="24"/>
          <w:szCs w:val="24"/>
          <w14:textFill>
            <w14:solidFill>
              <w14:schemeClr w14:val="tx1"/>
            </w14:solidFill>
          </w14:textFill>
        </w:rPr>
        <w:t>防</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烟</w:t>
      </w:r>
      <w:r>
        <w:rPr>
          <w:rFonts w:hint="eastAsia" w:asciiTheme="majorEastAsia" w:hAnsiTheme="majorEastAsia" w:eastAsiaTheme="majorEastAsia" w:cstheme="majorEastAsia"/>
          <w:color w:val="000000" w:themeColor="text1"/>
          <w:sz w:val="24"/>
          <w:szCs w:val="24"/>
          <w14:textFill>
            <w14:solidFill>
              <w14:schemeClr w14:val="tx1"/>
            </w14:solidFill>
          </w14:textFill>
        </w:rPr>
        <w:t>排烟系统、应急照明</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灯</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疏散指示灯、安全出口灯、</w:t>
      </w:r>
      <w:r>
        <w:rPr>
          <w:rFonts w:hint="eastAsia" w:asciiTheme="majorEastAsia" w:hAnsiTheme="majorEastAsia" w:eastAsiaTheme="majorEastAsia" w:cstheme="majorEastAsia"/>
          <w:color w:val="000000" w:themeColor="text1"/>
          <w:sz w:val="24"/>
          <w:szCs w:val="24"/>
          <w14:textFill>
            <w14:solidFill>
              <w14:schemeClr w14:val="tx1"/>
            </w14:solidFill>
          </w14:textFill>
        </w:rPr>
        <w:t>应急广播、消防电话、</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消防电梯与主机联动、</w:t>
      </w:r>
      <w:r>
        <w:rPr>
          <w:rFonts w:hint="eastAsia" w:asciiTheme="majorEastAsia" w:hAnsiTheme="majorEastAsia" w:eastAsiaTheme="majorEastAsia" w:cstheme="majorEastAsia"/>
          <w:color w:val="000000" w:themeColor="text1"/>
          <w:sz w:val="24"/>
          <w:szCs w:val="24"/>
          <w14:textFill>
            <w14:solidFill>
              <w14:schemeClr w14:val="tx1"/>
            </w14:solidFill>
          </w14:textFill>
        </w:rPr>
        <w:t>防火分隔</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设施</w:t>
      </w:r>
      <w:r>
        <w:rPr>
          <w:rFonts w:hint="eastAsia" w:asciiTheme="majorEastAsia" w:hAnsiTheme="majorEastAsia" w:eastAsiaTheme="majorEastAsia" w:cstheme="majorEastAsia"/>
          <w:color w:val="000000" w:themeColor="text1"/>
          <w:sz w:val="24"/>
          <w:szCs w:val="24"/>
          <w14:textFill>
            <w14:solidFill>
              <w14:schemeClr w14:val="tx1"/>
            </w14:solidFill>
          </w14:textFill>
        </w:rPr>
        <w:t>、消防供配电设施、消防供水设施、灭火器</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消防软管卷盘</w:t>
      </w:r>
      <w:r>
        <w:rPr>
          <w:rFonts w:hint="eastAsia" w:asciiTheme="majorEastAsia" w:hAnsiTheme="majorEastAsia" w:eastAsiaTheme="majorEastAsia" w:cstheme="majorEastAsia"/>
          <w:color w:val="000000" w:themeColor="text1"/>
          <w:sz w:val="24"/>
          <w:szCs w:val="24"/>
          <w14:textFill>
            <w14:solidFill>
              <w14:schemeClr w14:val="tx1"/>
            </w14:solidFill>
          </w14:textFill>
        </w:rPr>
        <w:t>等消防相关的</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系统</w:t>
      </w:r>
      <w:r>
        <w:rPr>
          <w:rFonts w:hint="eastAsia" w:asciiTheme="majorEastAsia" w:hAnsiTheme="majorEastAsia" w:eastAsiaTheme="majorEastAsia" w:cstheme="majorEastAsia"/>
          <w:color w:val="000000" w:themeColor="text1"/>
          <w:sz w:val="24"/>
          <w:szCs w:val="24"/>
          <w14:textFill>
            <w14:solidFill>
              <w14:schemeClr w14:val="tx1"/>
            </w14:solidFill>
          </w14:textFill>
        </w:rPr>
        <w:t>和</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设施</w:t>
      </w:r>
      <w:r>
        <w:rPr>
          <w:rFonts w:hint="eastAsia" w:asciiTheme="majorEastAsia" w:hAnsiTheme="majorEastAsia" w:eastAsiaTheme="majorEastAsia" w:cstheme="majorEastAsia"/>
          <w:color w:val="000000" w:themeColor="text1"/>
          <w:sz w:val="24"/>
          <w:szCs w:val="24"/>
          <w14:textFill>
            <w14:solidFill>
              <w14:schemeClr w14:val="tx1"/>
            </w14:solidFill>
          </w14:textFill>
        </w:rPr>
        <w:t>的维护、维修、保养，包括但不限于防火分隔设施，消防强电、弱电故障，喷淋、消火栓管网漏水抢修等。</w:t>
      </w:r>
    </w:p>
    <w:p w14:paraId="56E76643">
      <w:pPr>
        <w:spacing w:line="324" w:lineRule="auto"/>
        <w:ind w:firstLine="482" w:firstLineChars="200"/>
        <w:jc w:val="left"/>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三</w:t>
      </w: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消防维保公司</w:t>
      </w: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义务</w:t>
      </w:r>
    </w:p>
    <w:p w14:paraId="1BB13320">
      <w:pPr>
        <w:spacing w:line="324" w:lineRule="auto"/>
        <w:ind w:left="284" w:firstLine="434" w:firstLineChars="181"/>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应保证</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四个院区</w:t>
      </w:r>
      <w:r>
        <w:rPr>
          <w:rFonts w:hint="eastAsia" w:asciiTheme="majorEastAsia" w:hAnsiTheme="majorEastAsia" w:eastAsiaTheme="majorEastAsia" w:cstheme="majorEastAsia"/>
          <w:color w:val="000000" w:themeColor="text1"/>
          <w:sz w:val="24"/>
          <w:szCs w:val="24"/>
          <w14:textFill>
            <w14:solidFill>
              <w14:schemeClr w14:val="tx1"/>
            </w14:solidFill>
          </w14:textFill>
        </w:rPr>
        <w:t>系统处于正常</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运行</w:t>
      </w:r>
      <w:r>
        <w:rPr>
          <w:rFonts w:hint="eastAsia" w:asciiTheme="majorEastAsia" w:hAnsiTheme="majorEastAsia" w:eastAsiaTheme="majorEastAsia" w:cstheme="majorEastAsia"/>
          <w:color w:val="000000" w:themeColor="text1"/>
          <w:sz w:val="24"/>
          <w:szCs w:val="24"/>
          <w14:textFill>
            <w14:solidFill>
              <w14:schemeClr w14:val="tx1"/>
            </w14:solidFill>
          </w14:textFill>
        </w:rPr>
        <w:t>状态；</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对上述维保项目需</w:t>
      </w: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每月至少</w:t>
      </w:r>
      <w:r>
        <w:rPr>
          <w:rFonts w:hint="eastAsia" w:asciiTheme="majorEastAsia" w:hAnsiTheme="majorEastAsia" w:eastAsiaTheme="majorEastAsia" w:cstheme="majorEastAsia"/>
          <w:color w:val="000000" w:themeColor="text1"/>
          <w:sz w:val="24"/>
          <w:szCs w:val="24"/>
          <w14:textFill>
            <w14:solidFill>
              <w14:schemeClr w14:val="tx1"/>
            </w14:solidFill>
          </w14:textFill>
        </w:rPr>
        <w:t>检查一次，在完成检查后内应及时向</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院保卫科</w:t>
      </w:r>
      <w:r>
        <w:rPr>
          <w:rFonts w:hint="eastAsia" w:asciiTheme="majorEastAsia" w:hAnsiTheme="majorEastAsia" w:eastAsiaTheme="majorEastAsia" w:cstheme="majorEastAsia"/>
          <w:color w:val="000000" w:themeColor="text1"/>
          <w:sz w:val="24"/>
          <w:szCs w:val="24"/>
          <w14:textFill>
            <w14:solidFill>
              <w14:schemeClr w14:val="tx1"/>
            </w14:solidFill>
          </w14:textFill>
        </w:rPr>
        <w:t>提交</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维保报告，</w:t>
      </w:r>
      <w:r>
        <w:rPr>
          <w:rFonts w:hint="eastAsia" w:asciiTheme="majorEastAsia" w:hAnsiTheme="majorEastAsia" w:eastAsiaTheme="majorEastAsia" w:cstheme="majorEastAsia"/>
          <w:color w:val="000000" w:themeColor="text1"/>
          <w:sz w:val="24"/>
          <w:szCs w:val="24"/>
          <w14:textFill>
            <w14:solidFill>
              <w14:schemeClr w14:val="tx1"/>
            </w14:solidFill>
          </w14:textFill>
        </w:rPr>
        <w:t>并按消防部门要求填写检修数据、故障分析及解决办法</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等</w:t>
      </w:r>
      <w:r>
        <w:rPr>
          <w:rFonts w:hint="eastAsia" w:asciiTheme="majorEastAsia" w:hAnsiTheme="majorEastAsia" w:eastAsiaTheme="majorEastAsia" w:cstheme="majorEastAsia"/>
          <w:color w:val="000000" w:themeColor="text1"/>
          <w:sz w:val="24"/>
          <w:szCs w:val="24"/>
          <w14:textFill>
            <w14:solidFill>
              <w14:schemeClr w14:val="tx1"/>
            </w14:solidFill>
          </w14:textFill>
        </w:rPr>
        <w:t>相关记录，并需经双方签字确认。消火栓</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泵</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喷淋泵</w:t>
      </w:r>
      <w:r>
        <w:rPr>
          <w:rFonts w:hint="eastAsia" w:asciiTheme="majorEastAsia" w:hAnsiTheme="majorEastAsia" w:eastAsiaTheme="majorEastAsia" w:cstheme="majorEastAsia"/>
          <w:color w:val="000000" w:themeColor="text1"/>
          <w:sz w:val="24"/>
          <w:szCs w:val="24"/>
          <w14:textFill>
            <w14:solidFill>
              <w14:schemeClr w14:val="tx1"/>
            </w14:solidFill>
          </w14:textFill>
        </w:rPr>
        <w:t>、湿式报警阀每月检查情况记录在现场卡片上。</w:t>
      </w:r>
    </w:p>
    <w:p w14:paraId="60A66A62">
      <w:pPr>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中标方</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须</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免费</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提供</w:t>
      </w: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消防系统设施第三方年度检测和评估（包括消防设施年度检测、消防安全评估报告及电气检测，需向采购人提供具有效力的检测和评估报告）；</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出具年度维保计划、季度维保计划、月维保计划，按照保卫科要求和维保计划，对全部消防设施进行检测、润滑、清洁、喷漆、紧固、维修、更换；对锈蚀的管道、风机等设备进行除锈刷漆；</w:t>
      </w: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对全院管道井进行检查，对未封堵管道井进行封堵，封堵材料由中标方提供。</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负责医院所有消防设施的更换、维修、保养以及相关制度的完善、提升，要做到日巡查、月测试、季保养；</w:t>
      </w:r>
    </w:p>
    <w:p w14:paraId="125534BA">
      <w:pPr>
        <w:spacing w:line="324" w:lineRule="auto"/>
        <w:ind w:firstLine="480"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中标方</w:t>
      </w: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派驻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一名一级注册消防工程师驻点</w:t>
      </w: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负责服务保障（</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工作时间为国家法定工作日8:00-17:30，其他时间如院方需要驻点人员到场，需在30分钟内响应到场，驻点人员需持证上岗）</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普通</w:t>
      </w:r>
      <w:r>
        <w:rPr>
          <w:rFonts w:hint="eastAsia" w:asciiTheme="majorEastAsia" w:hAnsiTheme="majorEastAsia" w:eastAsiaTheme="majorEastAsia" w:cstheme="majorEastAsia"/>
          <w:color w:val="000000" w:themeColor="text1"/>
          <w:sz w:val="24"/>
          <w:szCs w:val="24"/>
          <w14:textFill>
            <w14:solidFill>
              <w14:schemeClr w14:val="tx1"/>
            </w14:solidFill>
          </w14:textFill>
        </w:rPr>
        <w:t>故障应该立即排除，</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复杂</w:t>
      </w:r>
      <w:r>
        <w:rPr>
          <w:rFonts w:hint="eastAsia" w:asciiTheme="majorEastAsia" w:hAnsiTheme="majorEastAsia" w:eastAsiaTheme="majorEastAsia" w:cstheme="majorEastAsia"/>
          <w:color w:val="000000" w:themeColor="text1"/>
          <w:sz w:val="24"/>
          <w:szCs w:val="24"/>
          <w14:textFill>
            <w14:solidFill>
              <w14:schemeClr w14:val="tx1"/>
            </w14:solidFill>
          </w14:textFill>
        </w:rPr>
        <w:t>故障乙方应增加技术力量在24小时内修复，外送修理</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应在5</w:t>
      </w:r>
      <w:r>
        <w:rPr>
          <w:rFonts w:hint="eastAsia" w:asciiTheme="majorEastAsia" w:hAnsiTheme="majorEastAsia" w:eastAsiaTheme="majorEastAsia" w:cstheme="majorEastAsia"/>
          <w:color w:val="000000" w:themeColor="text1"/>
          <w:sz w:val="24"/>
          <w:szCs w:val="24"/>
          <w14:textFill>
            <w14:solidFill>
              <w14:schemeClr w14:val="tx1"/>
            </w14:solidFill>
          </w14:textFill>
        </w:rPr>
        <w:t>日内完成修复，期间采取应急安全措施，同时报保卫</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科</w:t>
      </w:r>
      <w:r>
        <w:rPr>
          <w:rFonts w:hint="eastAsia" w:asciiTheme="majorEastAsia" w:hAnsiTheme="majorEastAsia" w:eastAsiaTheme="majorEastAsia" w:cstheme="majorEastAsia"/>
          <w:color w:val="000000" w:themeColor="text1"/>
          <w:sz w:val="24"/>
          <w:szCs w:val="24"/>
          <w14:textFill>
            <w14:solidFill>
              <w14:schemeClr w14:val="tx1"/>
            </w14:solidFill>
          </w14:textFill>
        </w:rPr>
        <w:t>备案。</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修复后中标方负责填写检修、整改台账，院保卫科负责对维修内容及更换</w:t>
      </w:r>
      <w:r>
        <w:rPr>
          <w:rFonts w:hint="eastAsia" w:asciiTheme="majorEastAsia" w:hAnsiTheme="majorEastAsia" w:eastAsiaTheme="majorEastAsia" w:cstheme="majorEastAsia"/>
          <w:color w:val="000000" w:themeColor="text1"/>
          <w:sz w:val="24"/>
          <w:szCs w:val="24"/>
          <w14:textFill>
            <w14:solidFill>
              <w14:schemeClr w14:val="tx1"/>
            </w14:solidFill>
          </w14:textFill>
        </w:rPr>
        <w:t>设备</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14:textFill>
            <w14:solidFill>
              <w14:schemeClr w14:val="tx1"/>
            </w14:solidFill>
          </w14:textFill>
        </w:rPr>
        <w:t>型号</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数量</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签字确认，产生费用的以此做为报账的依据。</w:t>
      </w:r>
    </w:p>
    <w:p w14:paraId="62D7121F">
      <w:pPr>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4. 若在维保期间设备出现故障、</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损坏等情况，需要更换部件时，所需更换的零配件（</w:t>
      </w: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详见附件2计费类和附件3免费类</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，未列示的配件市场单价在 200 元（含 200 元）以下的，</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均由中标方免费提供和更换，保证在</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维保服务期间更换的设备</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和</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零配件在正常使用</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）。招标方可根据</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附件2计费类注明的消防器材、配件最高限价*投标报价（折扣率）由中标方提供（含人工费）</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（（此项费用不纳入本次采购预算范围））；亦可由招标方自行</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向第三方采购，中标方负责免人工费更换</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所提供的</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消防器材、配件</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品牌应为符合国标的优质品牌或招标方推荐的品牌，供货时需同时提供产品合格证</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），更换</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前</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须经</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招标方</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确认后方可更换。</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更换、新增设备或配件产</w:t>
      </w:r>
      <w:r>
        <w:rPr>
          <w:rFonts w:hint="eastAsia" w:asciiTheme="majorEastAsia" w:hAnsiTheme="majorEastAsia" w:eastAsiaTheme="majorEastAsia" w:cstheme="majorEastAsia"/>
          <w:color w:val="000000" w:themeColor="text1"/>
          <w:sz w:val="24"/>
          <w:szCs w:val="24"/>
          <w14:textFill>
            <w14:solidFill>
              <w14:schemeClr w14:val="tx1"/>
            </w14:solidFill>
          </w14:textFill>
        </w:rPr>
        <w:t>生的所有费用（如拆除、安装、维修、维护等产生的人工费、调试费、检测费、喷淋头和各类探测器的清洗等）一律由</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自行承担</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所有维保服务期间更换的设备</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和</w:t>
      </w:r>
      <w:r>
        <w:rPr>
          <w:rFonts w:hint="eastAsia" w:asciiTheme="majorEastAsia" w:hAnsiTheme="majorEastAsia" w:eastAsiaTheme="majorEastAsia" w:cstheme="majorEastAsia"/>
          <w:color w:val="000000" w:themeColor="text1"/>
          <w:sz w:val="24"/>
          <w:szCs w:val="24"/>
          <w14:textFill>
            <w14:solidFill>
              <w14:schemeClr w14:val="tx1"/>
            </w14:solidFill>
          </w14:textFill>
        </w:rPr>
        <w:t>零配件在正常使用条件下，质保</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两</w:t>
      </w:r>
      <w:r>
        <w:rPr>
          <w:rFonts w:hint="eastAsia" w:asciiTheme="majorEastAsia" w:hAnsiTheme="majorEastAsia" w:eastAsiaTheme="majorEastAsia" w:cstheme="majorEastAsia"/>
          <w:color w:val="000000" w:themeColor="text1"/>
          <w:sz w:val="24"/>
          <w:szCs w:val="24"/>
          <w14:textFill>
            <w14:solidFill>
              <w14:schemeClr w14:val="tx1"/>
            </w14:solidFill>
          </w14:textFill>
        </w:rPr>
        <w:t>年，如有损坏，免费更换。</w:t>
      </w:r>
    </w:p>
    <w:p w14:paraId="392AEA7D">
      <w:pPr>
        <w:pStyle w:val="26"/>
        <w:spacing w:line="324" w:lineRule="auto"/>
        <w:ind w:left="0" w:leftChars="0"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进行维修保养工作时，</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应</w:t>
      </w:r>
      <w:r>
        <w:rPr>
          <w:rFonts w:hint="eastAsia" w:asciiTheme="majorEastAsia" w:hAnsiTheme="majorEastAsia" w:eastAsiaTheme="majorEastAsia" w:cstheme="majorEastAsia"/>
          <w:color w:val="000000" w:themeColor="text1"/>
          <w:sz w:val="24"/>
          <w:szCs w:val="24"/>
          <w14:textFill>
            <w14:solidFill>
              <w14:schemeClr w14:val="tx1"/>
            </w14:solidFill>
          </w14:textFill>
        </w:rPr>
        <w:t>严格遵守</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医院</w:t>
      </w:r>
      <w:r>
        <w:rPr>
          <w:rFonts w:hint="eastAsia" w:asciiTheme="majorEastAsia" w:hAnsiTheme="majorEastAsia" w:eastAsiaTheme="majorEastAsia" w:cstheme="majorEastAsia"/>
          <w:color w:val="000000" w:themeColor="text1"/>
          <w:sz w:val="24"/>
          <w:szCs w:val="24"/>
          <w14:textFill>
            <w14:solidFill>
              <w14:schemeClr w14:val="tx1"/>
            </w14:solidFill>
          </w14:textFill>
        </w:rPr>
        <w:t>的各项规章制度，在合同执行期间，如发生火情，</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因中标方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所供设备</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有</w:t>
      </w:r>
      <w:r>
        <w:rPr>
          <w:rFonts w:hint="eastAsia" w:asciiTheme="majorEastAsia" w:hAnsiTheme="majorEastAsia" w:eastAsiaTheme="majorEastAsia" w:cstheme="majorEastAsia"/>
          <w:color w:val="000000" w:themeColor="text1"/>
          <w:sz w:val="24"/>
          <w:szCs w:val="24"/>
          <w14:textFill>
            <w14:solidFill>
              <w14:schemeClr w14:val="tx1"/>
            </w14:solidFill>
          </w14:textFill>
        </w:rPr>
        <w:t>问题或维保不当、不及时，导致消防系统不能正常工作而产生的损失，应由</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承担法律责任和经济损失</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承担维修保养</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服务期间</w:t>
      </w:r>
      <w:r>
        <w:rPr>
          <w:rFonts w:hint="eastAsia" w:asciiTheme="majorEastAsia" w:hAnsiTheme="majorEastAsia" w:eastAsiaTheme="majorEastAsia" w:cstheme="majorEastAsia"/>
          <w:color w:val="000000" w:themeColor="text1"/>
          <w:sz w:val="24"/>
          <w:szCs w:val="24"/>
          <w14:textFill>
            <w14:solidFill>
              <w14:schemeClr w14:val="tx1"/>
            </w14:solidFill>
          </w14:textFill>
        </w:rPr>
        <w:t>施</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工和</w:t>
      </w:r>
      <w:r>
        <w:rPr>
          <w:rFonts w:hint="eastAsia" w:asciiTheme="majorEastAsia" w:hAnsiTheme="majorEastAsia" w:eastAsiaTheme="majorEastAsia" w:cstheme="majorEastAsia"/>
          <w:color w:val="000000" w:themeColor="text1"/>
          <w:sz w:val="24"/>
          <w:szCs w:val="24"/>
          <w14:textFill>
            <w14:solidFill>
              <w14:schemeClr w14:val="tx1"/>
            </w14:solidFill>
          </w14:textFill>
        </w:rPr>
        <w:t>派出的施工人员安全责任，并采取相应</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安全</w:t>
      </w:r>
      <w:r>
        <w:rPr>
          <w:rFonts w:hint="eastAsia" w:asciiTheme="majorEastAsia" w:hAnsiTheme="majorEastAsia" w:eastAsiaTheme="majorEastAsia" w:cstheme="majorEastAsia"/>
          <w:color w:val="000000" w:themeColor="text1"/>
          <w:sz w:val="24"/>
          <w:szCs w:val="24"/>
          <w14:textFill>
            <w14:solidFill>
              <w14:schemeClr w14:val="tx1"/>
            </w14:solidFill>
          </w14:textFill>
        </w:rPr>
        <w:t>措施。</w:t>
      </w:r>
    </w:p>
    <w:p w14:paraId="4BC092F6">
      <w:pPr>
        <w:spacing w:line="324" w:lineRule="auto"/>
        <w:ind w:firstLine="720" w:firstLineChars="300"/>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6.因重大节日、活动</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等</w:t>
      </w:r>
      <w:r>
        <w:rPr>
          <w:rFonts w:hint="eastAsia" w:asciiTheme="majorEastAsia" w:hAnsiTheme="majorEastAsia" w:eastAsiaTheme="majorEastAsia" w:cstheme="majorEastAsia"/>
          <w:color w:val="000000" w:themeColor="text1"/>
          <w:sz w:val="24"/>
          <w:szCs w:val="24"/>
          <w14:textFill>
            <w14:solidFill>
              <w14:schemeClr w14:val="tx1"/>
            </w14:solidFill>
          </w14:textFill>
        </w:rPr>
        <w:t>消防安全需要，配合</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w:t>
      </w:r>
      <w:r>
        <w:rPr>
          <w:rFonts w:hint="eastAsia" w:asciiTheme="majorEastAsia" w:hAnsiTheme="majorEastAsia" w:eastAsiaTheme="majorEastAsia" w:cstheme="majorEastAsia"/>
          <w:color w:val="000000" w:themeColor="text1"/>
          <w:sz w:val="24"/>
          <w:szCs w:val="24"/>
          <w14:textFill>
            <w14:solidFill>
              <w14:schemeClr w14:val="tx1"/>
            </w14:solidFill>
          </w14:textFill>
        </w:rPr>
        <w:t>方对消防设施进行检测和消防检查</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p>
    <w:p w14:paraId="34464315">
      <w:pPr>
        <w:spacing w:line="324" w:lineRule="auto"/>
        <w:ind w:firstLine="720" w:firstLineChars="30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7、中标方每年应至少安排专职人员开展两次消防培训、演练及其他相关工作。</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 xml:space="preserve">同时，中标方需结合医院实际状况，制定具有可操作性的消防演练方案，并定期组织演练活动。 </w:t>
      </w:r>
    </w:p>
    <w:p w14:paraId="08D56FD1">
      <w:pPr>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中标方应</w:t>
      </w:r>
      <w:r>
        <w:rPr>
          <w:rFonts w:hint="eastAsia" w:asciiTheme="majorEastAsia" w:hAnsiTheme="majorEastAsia" w:eastAsiaTheme="majorEastAsia" w:cstheme="majorEastAsia"/>
          <w:color w:val="000000" w:themeColor="text1"/>
          <w:sz w:val="24"/>
          <w:szCs w:val="24"/>
          <w14:textFill>
            <w14:solidFill>
              <w14:schemeClr w14:val="tx1"/>
            </w14:solidFill>
          </w14:textFill>
        </w:rPr>
        <w:t>做好消防设施资料建档工作，及时更新台帐资料。</w:t>
      </w:r>
    </w:p>
    <w:p w14:paraId="6FF6A615">
      <w:pPr>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中标方应</w:t>
      </w:r>
      <w:r>
        <w:rPr>
          <w:rFonts w:hint="eastAsia" w:asciiTheme="majorEastAsia" w:hAnsiTheme="majorEastAsia" w:eastAsiaTheme="majorEastAsia" w:cstheme="majorEastAsia"/>
          <w:color w:val="000000" w:themeColor="text1"/>
          <w:sz w:val="24"/>
          <w:szCs w:val="24"/>
          <w14:textFill>
            <w14:solidFill>
              <w14:schemeClr w14:val="tx1"/>
            </w14:solidFill>
          </w14:textFill>
        </w:rPr>
        <w:t>配合</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医院</w:t>
      </w:r>
      <w:r>
        <w:rPr>
          <w:rFonts w:hint="eastAsia" w:asciiTheme="majorEastAsia" w:hAnsiTheme="majorEastAsia" w:eastAsiaTheme="majorEastAsia" w:cstheme="majorEastAsia"/>
          <w:color w:val="000000" w:themeColor="text1"/>
          <w:sz w:val="24"/>
          <w:szCs w:val="24"/>
          <w14:textFill>
            <w14:solidFill>
              <w14:schemeClr w14:val="tx1"/>
            </w14:solidFill>
          </w14:textFill>
        </w:rPr>
        <w:t>做好上级单位各项消防</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安全</w:t>
      </w:r>
      <w:r>
        <w:rPr>
          <w:rFonts w:hint="eastAsia" w:asciiTheme="majorEastAsia" w:hAnsiTheme="majorEastAsia" w:eastAsiaTheme="majorEastAsia" w:cstheme="majorEastAsia"/>
          <w:color w:val="000000" w:themeColor="text1"/>
          <w:sz w:val="24"/>
          <w:szCs w:val="24"/>
          <w14:textFill>
            <w14:solidFill>
              <w14:schemeClr w14:val="tx1"/>
            </w14:solidFill>
          </w14:textFill>
        </w:rPr>
        <w:t>检查工作。</w:t>
      </w:r>
    </w:p>
    <w:p w14:paraId="5E9B03B4">
      <w:pPr>
        <w:pStyle w:val="26"/>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院方</w:t>
      </w:r>
      <w:r>
        <w:rPr>
          <w:rFonts w:hint="eastAsia" w:asciiTheme="majorEastAsia" w:hAnsiTheme="majorEastAsia" w:eastAsiaTheme="majorEastAsia" w:cstheme="majorEastAsia"/>
          <w:color w:val="000000" w:themeColor="text1"/>
          <w:sz w:val="24"/>
          <w:szCs w:val="24"/>
          <w14:textFill>
            <w14:solidFill>
              <w14:schemeClr w14:val="tx1"/>
            </w14:solidFill>
          </w14:textFill>
        </w:rPr>
        <w:t>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中标方每年</w:t>
      </w:r>
      <w:r>
        <w:rPr>
          <w:rFonts w:hint="eastAsia" w:asciiTheme="majorEastAsia" w:hAnsiTheme="majorEastAsia" w:eastAsiaTheme="majorEastAsia" w:cstheme="majorEastAsia"/>
          <w:color w:val="000000" w:themeColor="text1"/>
          <w:sz w:val="24"/>
          <w:szCs w:val="24"/>
          <w14:textFill>
            <w14:solidFill>
              <w14:schemeClr w14:val="tx1"/>
            </w14:solidFill>
          </w14:textFill>
        </w:rPr>
        <w:t>进行量化考核，除量化考核外，每月累计超过2次未能在规定时间内对故障进行处理且无正当理由的，</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w:t>
      </w:r>
      <w:r>
        <w:rPr>
          <w:rFonts w:hint="eastAsia" w:asciiTheme="majorEastAsia" w:hAnsiTheme="majorEastAsia" w:eastAsiaTheme="majorEastAsia" w:cstheme="majorEastAsia"/>
          <w:color w:val="000000" w:themeColor="text1"/>
          <w:sz w:val="24"/>
          <w:szCs w:val="24"/>
          <w14:textFill>
            <w14:solidFill>
              <w14:schemeClr w14:val="tx1"/>
            </w14:solidFill>
          </w14:textFill>
        </w:rPr>
        <w:t>方可直接扣除本季度的消防维保服务费。如</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接到</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院方</w:t>
      </w:r>
      <w:r>
        <w:rPr>
          <w:rFonts w:hint="eastAsia" w:asciiTheme="majorEastAsia" w:hAnsiTheme="majorEastAsia" w:eastAsiaTheme="majorEastAsia" w:cstheme="majorEastAsia"/>
          <w:color w:val="000000" w:themeColor="text1"/>
          <w:sz w:val="24"/>
          <w:szCs w:val="24"/>
          <w14:textFill>
            <w14:solidFill>
              <w14:schemeClr w14:val="tx1"/>
            </w14:solidFill>
          </w14:textFill>
        </w:rPr>
        <w:t>通知后不能按时到达现场而造成的</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一起</w:t>
      </w:r>
      <w:r>
        <w:rPr>
          <w:rFonts w:hint="eastAsia" w:asciiTheme="majorEastAsia" w:hAnsiTheme="majorEastAsia" w:eastAsiaTheme="majorEastAsia" w:cstheme="majorEastAsia"/>
          <w:color w:val="000000" w:themeColor="text1"/>
          <w:sz w:val="24"/>
          <w:szCs w:val="24"/>
          <w14:textFill>
            <w14:solidFill>
              <w14:schemeClr w14:val="tx1"/>
            </w14:solidFill>
          </w14:textFill>
        </w:rPr>
        <w:t>损失由</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承担，造成严重后果的，</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w:t>
      </w:r>
      <w:r>
        <w:rPr>
          <w:rFonts w:hint="eastAsia" w:asciiTheme="majorEastAsia" w:hAnsiTheme="majorEastAsia" w:eastAsiaTheme="majorEastAsia" w:cstheme="majorEastAsia"/>
          <w:color w:val="000000" w:themeColor="text1"/>
          <w:sz w:val="24"/>
          <w:szCs w:val="24"/>
          <w14:textFill>
            <w14:solidFill>
              <w14:schemeClr w14:val="tx1"/>
            </w14:solidFill>
          </w14:textFill>
        </w:rPr>
        <w:t>方有权终止合同并追究相关责任</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w:t>
      </w:r>
      <w:r>
        <w:rPr>
          <w:rFonts w:hint="eastAsia" w:asciiTheme="majorEastAsia" w:hAnsiTheme="majorEastAsia" w:eastAsiaTheme="majorEastAsia" w:cstheme="majorEastAsia"/>
          <w:color w:val="000000" w:themeColor="text1"/>
          <w:sz w:val="24"/>
          <w:szCs w:val="24"/>
          <w14:textFill>
            <w14:solidFill>
              <w14:schemeClr w14:val="tx1"/>
            </w14:solidFill>
          </w14:textFill>
        </w:rPr>
        <w:t>方有权要求</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撤换不合格维保人员。</w:t>
      </w:r>
    </w:p>
    <w:p w14:paraId="79D4D377">
      <w:pPr>
        <w:pStyle w:val="10"/>
        <w:keepNext w:val="0"/>
        <w:keepLines w:val="0"/>
        <w:pageBreakBefore w:val="0"/>
        <w:widowControl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备注：</w:t>
      </w:r>
    </w:p>
    <w:p w14:paraId="34440E77">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bCs w:val="0"/>
          <w:i w:val="0"/>
          <w:i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i w:val="0"/>
          <w:iCs w:val="0"/>
          <w:color w:val="000000" w:themeColor="text1"/>
          <w:kern w:val="2"/>
          <w:sz w:val="24"/>
          <w:szCs w:val="24"/>
          <w:lang w:val="en-US" w:eastAsia="zh-CN" w:bidi="ar-SA"/>
          <w14:textFill>
            <w14:solidFill>
              <w14:schemeClr w14:val="tx1"/>
            </w14:solidFill>
          </w14:textFill>
        </w:rPr>
        <w:t>1.</w:t>
      </w:r>
      <w:r>
        <w:rPr>
          <w:rFonts w:hint="eastAsia" w:asciiTheme="majorEastAsia" w:hAnsiTheme="majorEastAsia" w:eastAsiaTheme="majorEastAsia" w:cstheme="majorEastAsia"/>
          <w:b/>
          <w:bCs w:val="0"/>
          <w:i w:val="0"/>
          <w:iCs w:val="0"/>
          <w:color w:val="000000" w:themeColor="text1"/>
          <w:kern w:val="2"/>
          <w:sz w:val="24"/>
          <w:szCs w:val="24"/>
          <w:lang w:val="en-US" w:eastAsia="zh-CN" w:bidi="ar-SA"/>
          <w14:textFill>
            <w14:solidFill>
              <w14:schemeClr w14:val="tx1"/>
            </w14:solidFill>
          </w14:textFill>
        </w:rPr>
        <w:t>消防设备维保内容包括：</w:t>
      </w:r>
    </w:p>
    <w:p w14:paraId="49488647">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火灾自动报警系统设备（烟感、温感探测器、消火栓报警按钮、手动报警按钮、楼层显示器、消防广播、控制模块、中继器、消防端子箱、控制主机、火灾报警控制器、通讯控制柜、警铃、事故广播、备用电源等涉及消防系统的所有设施设备）。</w:t>
      </w:r>
    </w:p>
    <w:p w14:paraId="47696DA3">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水灭火系统设备（消防泵、喷淋泵、增压泵、喷淋头、室内外灭火栓、各种阀门、水泵接合器、消防水池、浮球阀、屋顶水箱、水灭火系统控制柜、水流指示器、压力开关、水泵、管网、水力警铃等设施设备）。</w:t>
      </w:r>
    </w:p>
    <w:p w14:paraId="70AECC81">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c、防排烟系统设备（正压风机、新风机、排烟风机、正压送风阀、排风阀、电控箱等设施设备）。</w:t>
      </w:r>
    </w:p>
    <w:p w14:paraId="4E3AC6B1">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d、安全疏散系统设备（应急照明灯、安全出口标志灯等）。</w:t>
      </w:r>
    </w:p>
    <w:p w14:paraId="578A26F0">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e、消防监控室、防火卷帘门、防火门及其它一切消防设施（包含气体灭火系统和建筑物内的其它消防设备）。</w:t>
      </w:r>
    </w:p>
    <w:p w14:paraId="7E5A3B5A">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f、气体灭火系统设备（气体灭火控制器、贮气钢瓶、气体输送管网、喷头、阀门、紧急启动停止按钮、声光报警器、光电感烟探测器、感温探测器等）</w:t>
      </w:r>
    </w:p>
    <w:p w14:paraId="35AE900F">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g、消防设施台账建立、消防安全隐患排查、整改方案、整改实施。</w:t>
      </w:r>
    </w:p>
    <w:p w14:paraId="40BD0E03">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h、对接相关安全管理部门，及时了解相关消防安全政策、法规、要求，对照落实执行，使本维保项目始终处于高效安全的运行状态。</w:t>
      </w:r>
    </w:p>
    <w:p w14:paraId="1DA4C203">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bCs w:val="0"/>
          <w:i w:val="0"/>
          <w:i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i w:val="0"/>
          <w:iCs w:val="0"/>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b/>
          <w:bCs w:val="0"/>
          <w:i w:val="0"/>
          <w:iCs w:val="0"/>
          <w:color w:val="000000" w:themeColor="text1"/>
          <w:kern w:val="2"/>
          <w:sz w:val="24"/>
          <w:szCs w:val="24"/>
          <w:lang w:val="en-US" w:eastAsia="zh-CN" w:bidi="ar-SA"/>
          <w14:textFill>
            <w14:solidFill>
              <w14:schemeClr w14:val="tx1"/>
            </w14:solidFill>
          </w14:textFill>
        </w:rPr>
        <w:t>维修维保依据及标准：</w:t>
      </w:r>
    </w:p>
    <w:p w14:paraId="1E6E21AD">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a、《建筑设计防火规范》GB50016-2014</w:t>
      </w:r>
    </w:p>
    <w:p w14:paraId="369CD37E">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b、《火灾自动报警系统施工及验收规范》GB50166-2019</w:t>
      </w:r>
    </w:p>
    <w:p w14:paraId="45EF98DC">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c、《自动喷水灭火系统施工及验收规范》GB50261-2017</w:t>
      </w:r>
    </w:p>
    <w:p w14:paraId="4E05C3E3">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d、《给排水管道工程施工及验收规范》GB50268-2008</w:t>
      </w:r>
    </w:p>
    <w:p w14:paraId="0BEDAB9F">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e、《电气装置安装工程施工及验收规范》GBJ232-82</w:t>
      </w:r>
    </w:p>
    <w:p w14:paraId="795F6450">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如国家标准有变动，遵照最新标准执行。</w:t>
      </w:r>
    </w:p>
    <w:p w14:paraId="1FBD133B">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3.投标报价为</w:t>
      </w: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全含价</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所有方案中列出的或隐含的为完成合同所需的一切责任和义务等费用都应包括在内，除合同另有规定外，应视为供应商为维保提供相关服务以及在质保期内保修等供应商必须支付的费用，包含供应商的所有费用（包括维保配件的包装、运输、临时设施，维保人员的劳务费、符合国家规定的各项费用、综合考虑劳务市场人工工资涨价风险，津、补贴及夜班、加班费、节假费用等、服装、工具，保险、税金、人员交通、相关售后服务等维护期内所发生的一切费用），包括所有的税费和利润及可能的风险，不再有报价以外的任何附加费用。未列和没有填写的项目费用，应视为已包括在相关项目的价格中。最终维保质量考核情况作为支付款项的依据。</w:t>
      </w:r>
    </w:p>
    <w:p w14:paraId="29F425EC">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4.在维护维保服务期内，如因消防工作需要，医院对原消防设施进行改造、增设，因此新增的维保内容/标的，由中标方按本招标要求负责维护维保，不得因此提出增加服务费。</w:t>
      </w:r>
    </w:p>
    <w:p w14:paraId="5C209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四</w:t>
      </w: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color w:val="000000" w:themeColor="text1"/>
          <w:sz w:val="24"/>
          <w:szCs w:val="24"/>
          <w14:textFill>
            <w14:solidFill>
              <w14:schemeClr w14:val="tx1"/>
            </w14:solidFill>
          </w14:textFill>
        </w:rPr>
        <w:t>委托维保服务</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要求</w:t>
      </w:r>
    </w:p>
    <w:p w14:paraId="4E385790">
      <w:pPr>
        <w:keepNext w:val="0"/>
        <w:keepLines w:val="0"/>
        <w:widowControl/>
        <w:suppressLineNumbers w:val="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1.总体要求：</w:t>
      </w:r>
    </w:p>
    <w:p w14:paraId="375A11D0">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依照《中华人民共和国消防法》和各级消防部门颁发的行业规定规范开展维保工作，确保我院全部消防设备、设施良好运行，并达到以下要求：</w:t>
      </w:r>
    </w:p>
    <w:p w14:paraId="29120117">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1.1消防设备、设施处于完好状态且运转正常，功能符合消防部门的检查要求。</w:t>
      </w:r>
    </w:p>
    <w:p w14:paraId="552C222C">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1.2建立消防设施维保管理制度，消防工作档案资料齐全（维保记录、设备台账、年度检测报告、平面图等）。</w:t>
      </w:r>
    </w:p>
    <w:p w14:paraId="70BC3BB6">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1.3维保人员要具有相关资质，持证上岗。</w:t>
      </w:r>
    </w:p>
    <w:p w14:paraId="7F270784">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1.4每遇国家节假日，在前三天内对所有消防设备设施进行例行安全检查。</w:t>
      </w:r>
    </w:p>
    <w:p w14:paraId="10974366">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1.5中标方须参加医院及上级部门的消防检查，积极整改检查中发现的维保方面的问题。</w:t>
      </w:r>
    </w:p>
    <w:p w14:paraId="6CFDED0B">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1.6维保期内如遇消防部门检查，须安排技术人员到现场配合检查。</w:t>
      </w:r>
    </w:p>
    <w:p w14:paraId="1033A99F">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1.7无消防安全事故发生。</w:t>
      </w:r>
    </w:p>
    <w:p w14:paraId="612AE5E1">
      <w:pPr>
        <w:keepNext w:val="0"/>
        <w:keepLines w:val="0"/>
        <w:widowControl/>
        <w:suppressLineNumbers w:val="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2.设备、设施管理的详细要求：</w:t>
      </w:r>
    </w:p>
    <w:p w14:paraId="257430F8">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2.1火灾自动报警系统：</w:t>
      </w:r>
    </w:p>
    <w:p w14:paraId="13B0720D">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每月对火灾探测器、手动报警按钮、火灾报警控制器、CRT图形显示器、火灾显示盘的报警显示功能，消防联动控制设备的联动控制功能和显示及联动设备进行模拟火警、故障及联运试验。发现故障及时维修、排除，确保该系统处于正常工作状态。其中火灾报警探测器和手动报警按钮的报警功能的检查数量不少于总数10%；</w:t>
      </w:r>
    </w:p>
    <w:p w14:paraId="0E6BEB93">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b、每月对火灾自动报警系统控制线路及联动线路的故障进行检修，发现故障及时维修、排除，确保该系统处于正常工作状态；</w:t>
      </w:r>
    </w:p>
    <w:p w14:paraId="0D5DD1F0">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c、每月采用检测仪器分期分批试验探测器的动作及确认灯显示，发现故障及时维修、排除，确保该系统处于正常工作状态;</w:t>
      </w:r>
    </w:p>
    <w:p w14:paraId="6E23E4C2">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2.2自动喷淋系统：</w:t>
      </w:r>
    </w:p>
    <w:p w14:paraId="7999AE6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a、每月对水源控制阀、报警阀组进行放水、末端试水装置放水等检查，保证系统水压及各种阀门处于正常工作状态，其中末端试水装置放水检查数量不少于总数量10%；</w:t>
      </w:r>
    </w:p>
    <w:p w14:paraId="50947B34">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b、每月对喷淋水泵进行启动运转试验一次，运作失常时及时维修；</w:t>
      </w:r>
    </w:p>
    <w:p w14:paraId="7EBC79E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c、每月对喷头进行外观检查，发现有不正常的喷头及时更换，当喷头上有异物时及时清除。</w:t>
      </w:r>
    </w:p>
    <w:p w14:paraId="6F577ABC">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2.3消火栓系统：</w:t>
      </w:r>
    </w:p>
    <w:p w14:paraId="1321F5A1">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每月对消防泵进行启动运转试验，并对消防泵进行消火栓按钮联动启泵试验，室内外消火栓出水及压力，消火栓启泵按钮，系统功能，发现故障及时维修、排除，确保该系统处于正常工作状态。检查数量不少于总数10%；</w:t>
      </w:r>
    </w:p>
    <w:p w14:paraId="53903D9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b、每月对系统上所有的控制阀门进行检查，保证控制阀门处于正常工作状态；</w:t>
      </w:r>
    </w:p>
    <w:p w14:paraId="5F62CEAA">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c、每月对消火栓进行检查，发现问题及时处理。</w:t>
      </w:r>
    </w:p>
    <w:p w14:paraId="004F7A88">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2.4防排烟系统：</w:t>
      </w:r>
    </w:p>
    <w:p w14:paraId="59BD9AF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a、每月检查送风、排烟机房工作环境；</w:t>
      </w:r>
    </w:p>
    <w:p w14:paraId="79F97971">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每月检查风机电源控制柜、送风阀、排烟阀、机械加压送风机以及系统功能，送风机控制柜；机械排烟风机以及系统功能，排烟风机控制柜；电动排烟窗启、闭功能等是否处于正常完好状态，发现故障及时维修、排除，确保该系统处于正常工作状态；</w:t>
      </w:r>
    </w:p>
    <w:p w14:paraId="5E99D35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d、每月现场和远程启动送风、排烟是否正常，电机有无异常，中控室能否收到反馈信息，发现故障及时维修、排除，确保该系统处于正常工作状态。</w:t>
      </w:r>
    </w:p>
    <w:p w14:paraId="4BA2E73D">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2.5气体灭火系统：</w:t>
      </w:r>
    </w:p>
    <w:p w14:paraId="2B72EA7A">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每月对气体灭火系统装置的喷嘴外观、储存容器、选择阀、高压软管、集流管、阀驱动装置、管网与喷嘴等系统部件外观和控制设备是否处于运行状态进行一次检查与维护，发现故障及时维修、排除，确保该系统处于正常工作状态。</w:t>
      </w:r>
    </w:p>
    <w:p w14:paraId="538FEFF2">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2.6应急照明、疏散指示标志：</w:t>
      </w:r>
    </w:p>
    <w:p w14:paraId="2627B371">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a、每月检查电源切换和充电功能，发现故障及时维修、排除，确保该系统处于正常工作状态。</w:t>
      </w:r>
    </w:p>
    <w:p w14:paraId="7170E553">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b、每月检查标识正确性。</w:t>
      </w:r>
    </w:p>
    <w:p w14:paraId="69244478">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2.7防火卷帘（防火分隔设施）：</w:t>
      </w:r>
    </w:p>
    <w:p w14:paraId="4118B6E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每月检查防火卷帘的外观有无损坏，轨道、扇面有无变形，现场和远程启动防火卷帘是否正常，电机马达有无异常，中控室能否收到反馈信息，防火门启闭功能，防火卷帘自动启动和现场手动功能，电动防火门联动功能，电动防火阀的启、闭功能。发现故障及时维修、排除，确保该系统处于正常工作状态；</w:t>
      </w:r>
    </w:p>
    <w:p w14:paraId="6FECA2A9">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2.8消防供配电设施：</w:t>
      </w:r>
    </w:p>
    <w:p w14:paraId="04FD117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消防用电设备电源末级配电箱处主、备电切换功能，发现故障及时维修、排除，确保该系统处于正常工作状态；</w:t>
      </w:r>
    </w:p>
    <w:p w14:paraId="643BD028">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2.9消防供水设施：</w:t>
      </w:r>
    </w:p>
    <w:p w14:paraId="135FB6F1">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消防水池、消防水箱，增压设施压力工况，消防水泵及水泵控制柜的启泵和主备泵切换功能，管道阀门启闭功能，发现故障及时维修、排除，确保该系统处于正常工作状态；</w:t>
      </w:r>
    </w:p>
    <w:p w14:paraId="27858294">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2.10消防电话和应急广播：</w:t>
      </w:r>
    </w:p>
    <w:p w14:paraId="14F5DD45">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通话、广播质量，应急情况下强制切换功能，发现故障及时维修、排除，确保该系统处于正常工作状态；</w:t>
      </w:r>
    </w:p>
    <w:p w14:paraId="156C6F2D">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2.11消防电梯：</w:t>
      </w:r>
    </w:p>
    <w:p w14:paraId="3F2F7778">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首层按钮控制和联动电梯回首层，发现故障及时维修、排除，确保该系统处于正常工作状态；</w:t>
      </w:r>
    </w:p>
    <w:p w14:paraId="7AECDA94">
      <w:pPr>
        <w:pStyle w:val="10"/>
        <w:numPr>
          <w:ilvl w:val="0"/>
          <w:numId w:val="0"/>
        </w:numPr>
        <w:ind w:left="630" w:leftChars="0"/>
        <w:jc w:val="left"/>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2.12</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灭火器消防栓设备：</w:t>
      </w:r>
    </w:p>
    <w:p w14:paraId="5CAD7E3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检查灭火器及消防栓箱配置是否完整齐全，包括检查每个灭火器的外观、有效期、压力是否正常，消防栓箱枪头、水带、软管等配置是否完整齐全，每个消防栓口的静压是否符合设计或规范要求，栓口橡胶是否老化、龟裂，玻璃是否破碎等。</w:t>
      </w:r>
    </w:p>
    <w:p w14:paraId="61723D1F">
      <w:pPr>
        <w:pStyle w:val="10"/>
        <w:numPr>
          <w:ilvl w:val="0"/>
          <w:numId w:val="0"/>
        </w:numPr>
        <w:ind w:firstLine="482" w:firstLineChars="200"/>
        <w:jc w:val="left"/>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2.13</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其他需要测试检查的内容。</w:t>
      </w:r>
    </w:p>
    <w:p w14:paraId="6C913732">
      <w:pPr>
        <w:pStyle w:val="10"/>
        <w:numPr>
          <w:ilvl w:val="0"/>
          <w:numId w:val="0"/>
        </w:numPr>
        <w:ind w:firstLine="482" w:firstLineChars="200"/>
        <w:jc w:val="left"/>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3.半年检维修保养要求：</w:t>
      </w:r>
    </w:p>
    <w:p w14:paraId="59C973FB">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中标方须每半年进行一次消防系统全面检查，每半年配合每院区进行一次消防演习。</w:t>
      </w:r>
    </w:p>
    <w:p w14:paraId="277F6BD1">
      <w:pPr>
        <w:pStyle w:val="10"/>
        <w:numPr>
          <w:ilvl w:val="0"/>
          <w:numId w:val="0"/>
        </w:numPr>
        <w:ind w:firstLine="482" w:firstLineChars="200"/>
        <w:jc w:val="left"/>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4.年度检测内容：</w:t>
      </w:r>
    </w:p>
    <w:p w14:paraId="62976025">
      <w:pPr>
        <w:pStyle w:val="10"/>
        <w:numPr>
          <w:ilvl w:val="0"/>
          <w:numId w:val="0"/>
        </w:numPr>
        <w:ind w:firstLine="482" w:firstLineChars="200"/>
        <w:jc w:val="left"/>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4.1火灾自动报警系统</w:t>
      </w:r>
    </w:p>
    <w:p w14:paraId="486AB00A">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4.1.1检测火灾自动报警系统线路的绝缘电阻、接地电阻、系统的接地、管线的安装及其保护状况；</w:t>
      </w:r>
    </w:p>
    <w:p w14:paraId="3AE49BE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4.1.2检测火灾探测器和手动报警按钮的设置状况、安装质量、保护半径及与周围遮挡物的距离等，并按80%的比例抽检其报警功能；</w:t>
      </w:r>
    </w:p>
    <w:p w14:paraId="6A27F3AA">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4.1.3检测火灾报警控制器的安装质量、柜内配线、保护接地的设置、主备电源的设置及其转换功能，并对控制器的各项功能测试；</w:t>
      </w:r>
    </w:p>
    <w:p w14:paraId="579C38A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4.1.4检测消防设备控制柜的安装质量、柜内配线、手、自动控制及屏面接受消防设备的信号反馈功能；</w:t>
      </w:r>
    </w:p>
    <w:p w14:paraId="6F94B404">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4.1.5检测电梯的迫降功能、消防电梯的使用功能，切断非消防电源功能和着火层的灯光显示功能；</w:t>
      </w:r>
    </w:p>
    <w:p w14:paraId="2ADC3812">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4.1.6检测消防控制室、各消防设备间及消火栓按钮处的消防通讯功能；</w:t>
      </w:r>
    </w:p>
    <w:p w14:paraId="0F38CCA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4.1.7检测火灾应急广播的音响功能，手动选层和自动广播、遥控开启和强行切换等功能；</w:t>
      </w:r>
    </w:p>
    <w:p w14:paraId="44D192F5">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4.1.8检测消防控制室的设置位置及明显标志、室内防火阀及无关管线的设置、双回路电源的设置和切换功能；</w:t>
      </w:r>
    </w:p>
    <w:p w14:paraId="749FD37B">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4.1.9检测火灾应急照明和疏散指示标志的设置、照度、转换时间和图形符号。</w:t>
      </w:r>
    </w:p>
    <w:p w14:paraId="4CDE480C">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4.2消防供水系统</w:t>
      </w:r>
    </w:p>
    <w:p w14:paraId="2484A24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4.2.1检查消防水源的性质、进水管的条数和直径及消防水池的设置状况；</w:t>
      </w:r>
    </w:p>
    <w:p w14:paraId="27FE58BA">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4.2.2检查消防水池的容积、水位指示器和补水设施、保证消防用水和防冻措施等；</w:t>
      </w:r>
    </w:p>
    <w:p w14:paraId="32E55ED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4.2.3检查消防水箱的设置、容积、防冻措施、补水及单向阀的状况等；</w:t>
      </w:r>
    </w:p>
    <w:p w14:paraId="081C7F01">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4.2.4检测各种消防供水泵的性能、管道、手自动控制、启动时间，主备泵和主备电源转换功能等；</w:t>
      </w:r>
    </w:p>
    <w:p w14:paraId="78D24F13">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4.2.5检测水泵结合器的设置、标志及输送消防水的功能等。</w:t>
      </w:r>
    </w:p>
    <w:p w14:paraId="0676DB2C">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4.3室内消火栓系统</w:t>
      </w:r>
    </w:p>
    <w:p w14:paraId="0192162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4.3.1检查室内消火栓的安装、组件、规格及其间距等；</w:t>
      </w:r>
    </w:p>
    <w:p w14:paraId="479E4B3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4.3.2检测屋顶消火栓的设置、防冻措施及其充实水柱长度等；</w:t>
      </w:r>
    </w:p>
    <w:p w14:paraId="7940D4F6">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4.3.3检查室内消火栓管网的设置、管径、颜色、保证消防用水及其连接形状；</w:t>
      </w:r>
    </w:p>
    <w:p w14:paraId="21E9FCA0">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4.3.4检测室内消火栓的首层和最不利点的静压、动压及其充实水柱长度；</w:t>
      </w:r>
    </w:p>
    <w:p w14:paraId="1A0FA104">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4.3.5检查手动启泵按钮的设置及其功能。</w:t>
      </w:r>
    </w:p>
    <w:p w14:paraId="3930115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4.4自动喷水灭火系统</w:t>
      </w:r>
    </w:p>
    <w:p w14:paraId="5E48585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4.4.1检查管网的安装、连接、设置喷头数量及末端管径等；</w:t>
      </w:r>
    </w:p>
    <w:p w14:paraId="5795F51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4.4.2检查水流指示器和信号阀的安装及其功能；</w:t>
      </w:r>
    </w:p>
    <w:p w14:paraId="115D67A6">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4.4.3检测报警阀组的安装、阀门的状态、各组件及其功能；</w:t>
      </w:r>
    </w:p>
    <w:p w14:paraId="60D3F7AC">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4.4.4检测喷淋头安装、外观、保护间距和保护面积及与邻近障碍物的距离等；</w:t>
      </w:r>
    </w:p>
    <w:p w14:paraId="3CED43E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4.4.5对报警阀组进行功能试验；</w:t>
      </w:r>
    </w:p>
    <w:p w14:paraId="2579956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4.4.6对自动喷淋水（雾）系统进行功能试验。</w:t>
      </w:r>
    </w:p>
    <w:p w14:paraId="4928C4C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4.5防排烟及通风空调系统</w:t>
      </w:r>
    </w:p>
    <w:p w14:paraId="7D17E5E3">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4.5.1检查正压送风系统的风管、风机、送风口设置状况并测量其风速和正压送风值；</w:t>
      </w:r>
    </w:p>
    <w:p w14:paraId="558AD62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4.5.2检测排烟系统风机、风道、防火阀、送风口、主备电源设置状况及其功能；</w:t>
      </w:r>
    </w:p>
    <w:p w14:paraId="2FAF327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4.5.3检查通风空调系统的管道和防火阀的设置状况；</w:t>
      </w:r>
    </w:p>
    <w:p w14:paraId="64F35E3C">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4.5.4对各个系统进行手动、自动及联动功能试验；</w:t>
      </w:r>
    </w:p>
    <w:p w14:paraId="7C1EB1C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4.6防火门、防火卷帘和挡烟垂壁</w:t>
      </w:r>
    </w:p>
    <w:p w14:paraId="0E614C8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4.6.1对其外观、安装、传动机构、动作程序及其手动和联动功能进行检测。</w:t>
      </w:r>
    </w:p>
    <w:p w14:paraId="5759D63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4.7气体灭火系统</w:t>
      </w:r>
    </w:p>
    <w:p w14:paraId="1163167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4.7.1检查气体灭火系统的贮瓶间的设备、组件、灭火剂输送管道、喷咀及防护区的设置和安装状况；</w:t>
      </w:r>
    </w:p>
    <w:p w14:paraId="59FC13B6">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4.7.2对气体灭火系统模似联动试验、查看先发声、后发光的报警程序，查看切断火场电源、自动启动、延时启动量、防火阀和排风机、喷射过程、气体释放指示灯等的动作是否正常；</w:t>
      </w:r>
    </w:p>
    <w:p w14:paraId="1A1CF57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4.8除上述以外的其他消防设施。</w:t>
      </w:r>
    </w:p>
    <w:p w14:paraId="03984F2B">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4.9中标供应商在每年12月31日前委托第三方有资质的消防检测公司对整个维保内容进行年度检测，并出具消防管理部门认可的消防检测报告（一式3份)。</w:t>
      </w:r>
    </w:p>
    <w:p w14:paraId="3E10ECC0">
      <w:pPr>
        <w:pStyle w:val="10"/>
        <w:ind w:firstLine="482" w:firstLineChars="200"/>
        <w:jc w:val="left"/>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（五）维护标准</w:t>
      </w:r>
    </w:p>
    <w:p w14:paraId="4662C6DC">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1、保证系统正常工作。</w:t>
      </w:r>
    </w:p>
    <w:p w14:paraId="426C0A22">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2、维护质量必须满足现行消防规范的要求。</w:t>
      </w:r>
    </w:p>
    <w:p w14:paraId="29DF36F1">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3、设备发生故障，接收到故障信息或接到招标人通知30分钟内派人到达现场，2小时内检修解除故障。在确实没有配件的情况下应及时向招标方管理部门汇报，并采取有效的应急措施，防止出现安全事故。</w:t>
      </w:r>
    </w:p>
    <w:p w14:paraId="7A562917">
      <w:pPr>
        <w:pStyle w:val="10"/>
        <w:ind w:firstLine="480" w:firstLineChars="200"/>
        <w:jc w:val="left"/>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4、设备配件及时更换。</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在维保过程中，一旦发现设备配件存在损坏或老化现象，中标方必须立即进行更换。所有更换的配件需符合现行消防规范的要求，并确保其质量和性能不低于原配件。</w:t>
      </w:r>
    </w:p>
    <w:p w14:paraId="0CC20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五、法律责任</w:t>
      </w:r>
    </w:p>
    <w:p w14:paraId="0335EDBC">
      <w:pPr>
        <w:keepNext w:val="0"/>
        <w:keepLines w:val="0"/>
        <w:widowControl/>
        <w:suppressLineNumbers w:val="0"/>
        <w:ind w:firstLine="480" w:firstLineChars="200"/>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单位在对消防设施进行检查、调试、维修时应确保整个消防系统设备具备报警、联动、自动灭火等应有的消防功能，各项运行状态正常，整个消防系统时刻处于良好工作状态。如发生火灾，消防设备不能发挥应有的报警、灭火功能，消防维保单位应负全部责任。</w:t>
      </w:r>
    </w:p>
    <w:p w14:paraId="73E30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六、报价要求</w:t>
      </w:r>
    </w:p>
    <w:p w14:paraId="30FC308D">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投标供应商的报价应包含所投服务、保险、税费、验收和验收后约定期限内免费维保服务等工作所发生的一切费用（包括维保配件的包装、运输、临时设施，维保人员的劳务费【符合国家规定的各项费用、综合考虑劳务市场人工工资涨价风险，津、补贴及夜班、加班费、节假费用等】、服装、工具，保险税金、人员交通、相关维护期内所发生的一切费用），投标报价不因任何因素而调整。</w:t>
      </w:r>
    </w:p>
    <w:p w14:paraId="413B35A1">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2、中标方需配备一定数量的常备配件和材料。</w:t>
      </w:r>
    </w:p>
    <w:p w14:paraId="190E3381">
      <w:pPr>
        <w:keepNext w:val="0"/>
        <w:keepLines w:val="0"/>
        <w:widowControl/>
        <w:suppressLineNumbers w:val="0"/>
        <w:ind w:firstLine="480" w:firstLineChars="200"/>
        <w:jc w:val="left"/>
        <w:rPr>
          <w:rFonts w:hint="eastAsia" w:ascii="宋体" w:hAnsi="宋体" w:eastAsia="宋体"/>
          <w:color w:val="000000" w:themeColor="text1"/>
          <w:sz w:val="24"/>
          <w:u w:val="none"/>
          <w:lang w:val="en-US" w:eastAsia="zh-CN"/>
          <w14:textFill>
            <w14:solidFill>
              <w14:schemeClr w14:val="tx1"/>
            </w14:solidFill>
          </w14:textFill>
        </w:rPr>
      </w:pPr>
      <w:r>
        <w:rPr>
          <w:rFonts w:hint="eastAsia" w:ascii="宋体" w:hAnsi="宋体" w:eastAsia="宋体"/>
          <w:color w:val="000000" w:themeColor="text1"/>
          <w:sz w:val="24"/>
          <w:u w:val="none"/>
          <w:lang w:val="en-US" w:eastAsia="zh-CN"/>
          <w14:textFill>
            <w14:solidFill>
              <w14:schemeClr w14:val="tx1"/>
            </w14:solidFill>
          </w14:textFill>
        </w:rPr>
        <w:t>3、维保期满，中标供应商须保证所保养的设备完好，无故障并通过相关部门检查合格，经招标人验收后，交回招标人。</w:t>
      </w:r>
    </w:p>
    <w:p w14:paraId="60BB2E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七、维保期限及考核要求</w:t>
      </w:r>
    </w:p>
    <w:p w14:paraId="3691ADD3">
      <w:pPr>
        <w:keepNext w:val="0"/>
        <w:keepLines w:val="0"/>
        <w:widowControl/>
        <w:suppressLineNumbers w:val="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本合同期限为三年，采用1+1+1模式</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w:t>
      </w: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（即合同到期后，经院方考核合格后，续签下一年合同）。</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0"/>
        <w:gridCol w:w="1551"/>
        <w:gridCol w:w="15"/>
        <w:gridCol w:w="15"/>
        <w:gridCol w:w="3675"/>
        <w:gridCol w:w="1035"/>
        <w:gridCol w:w="930"/>
        <w:gridCol w:w="990"/>
        <w:gridCol w:w="15"/>
      </w:tblGrid>
      <w:tr w14:paraId="566A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8946" w:type="dxa"/>
            <w:gridSpan w:val="9"/>
            <w:noWrap w:val="0"/>
            <w:vAlign w:val="center"/>
          </w:tcPr>
          <w:p w14:paraId="7741A95D">
            <w:pPr>
              <w:widowControl/>
              <w:jc w:val="center"/>
              <w:textAlignment w:val="center"/>
              <w:rPr>
                <w:rFonts w:hint="eastAsia" w:ascii="Times New Roman" w:hAnsi="Times New Roman" w:eastAsia="仿宋_GB2312" w:cs="Times New Roman"/>
                <w:i w:val="0"/>
                <w:color w:val="000000" w:themeColor="text1"/>
                <w:sz w:val="20"/>
                <w:szCs w:val="20"/>
                <w14:textFill>
                  <w14:solidFill>
                    <w14:schemeClr w14:val="tx1"/>
                  </w14:solidFill>
                </w14:textFill>
              </w:rPr>
            </w:pPr>
            <w:r>
              <w:rPr>
                <w:rFonts w:hint="eastAsia" w:eastAsia="仿宋_GB2312" w:cs="Times New Roman"/>
                <w:i w:val="0"/>
                <w:color w:val="000000" w:themeColor="text1"/>
                <w:kern w:val="0"/>
                <w:sz w:val="28"/>
                <w:szCs w:val="28"/>
                <w:lang w:val="en-US" w:eastAsia="zh-CN" w:bidi="ar-SA"/>
                <w14:textFill>
                  <w14:solidFill>
                    <w14:schemeClr w14:val="tx1"/>
                  </w14:solidFill>
                </w14:textFill>
              </w:rPr>
              <w:t>滁州</w:t>
            </w:r>
            <w:r>
              <w:rPr>
                <w:rFonts w:hint="eastAsia" w:ascii="Times New Roman" w:hAnsi="Times New Roman" w:eastAsia="仿宋_GB2312" w:cs="Times New Roman"/>
                <w:i w:val="0"/>
                <w:color w:val="000000" w:themeColor="text1"/>
                <w:kern w:val="0"/>
                <w:sz w:val="28"/>
                <w:szCs w:val="28"/>
                <w:lang w:val="en-US" w:eastAsia="zh-CN" w:bidi="ar-SA"/>
                <w14:textFill>
                  <w14:solidFill>
                    <w14:schemeClr w14:val="tx1"/>
                  </w14:solidFill>
                </w14:textFill>
              </w:rPr>
              <w:t>市</w:t>
            </w:r>
            <w:r>
              <w:rPr>
                <w:rFonts w:hint="eastAsia" w:eastAsia="仿宋_GB2312" w:cs="Times New Roman"/>
                <w:i w:val="0"/>
                <w:color w:val="000000" w:themeColor="text1"/>
                <w:kern w:val="0"/>
                <w:sz w:val="28"/>
                <w:szCs w:val="28"/>
                <w:lang w:val="en-US" w:eastAsia="zh-CN" w:bidi="ar-SA"/>
                <w14:textFill>
                  <w14:solidFill>
                    <w14:schemeClr w14:val="tx1"/>
                  </w14:solidFill>
                </w14:textFill>
              </w:rPr>
              <w:t>第一</w:t>
            </w:r>
            <w:r>
              <w:rPr>
                <w:rFonts w:hint="eastAsia" w:ascii="Times New Roman" w:hAnsi="Times New Roman" w:eastAsia="仿宋_GB2312" w:cs="Times New Roman"/>
                <w:i w:val="0"/>
                <w:color w:val="000000" w:themeColor="text1"/>
                <w:kern w:val="0"/>
                <w:sz w:val="28"/>
                <w:szCs w:val="28"/>
                <w:lang w:val="en-US" w:eastAsia="zh-CN" w:bidi="ar-SA"/>
                <w14:textFill>
                  <w14:solidFill>
                    <w14:schemeClr w14:val="tx1"/>
                  </w14:solidFill>
                </w14:textFill>
              </w:rPr>
              <w:t>人民医院消防维保考评表</w:t>
            </w:r>
          </w:p>
        </w:tc>
      </w:tr>
      <w:tr w14:paraId="65F7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79A7C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序号</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A357D3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考核项目</w:t>
            </w:r>
          </w:p>
        </w:tc>
        <w:tc>
          <w:tcPr>
            <w:tcW w:w="3705" w:type="dxa"/>
            <w:gridSpan w:val="3"/>
            <w:tcBorders>
              <w:top w:val="single" w:color="000000" w:sz="4" w:space="0"/>
              <w:left w:val="single" w:color="000000" w:sz="4" w:space="0"/>
              <w:bottom w:val="single" w:color="000000" w:sz="4" w:space="0"/>
              <w:right w:val="single" w:color="000000" w:sz="4" w:space="0"/>
            </w:tcBorders>
            <w:noWrap w:val="0"/>
            <w:vAlign w:val="center"/>
          </w:tcPr>
          <w:p w14:paraId="2000F5C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考核内容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A9DB7DD">
            <w:pPr>
              <w:widowControl/>
              <w:jc w:val="center"/>
              <w:textAlignment w:val="center"/>
              <w:rPr>
                <w:rFonts w:hint="eastAsia" w:ascii="Times New Roman" w:hAnsi="Times New Roman" w:eastAsia="仿宋_GB2312" w:cs="Times New Roman"/>
                <w:i w:val="0"/>
                <w:color w:val="000000" w:themeColor="text1"/>
                <w:sz w:val="22"/>
                <w:szCs w:val="22"/>
                <w:lang w:eastAsia="zh-CN"/>
                <w14:textFill>
                  <w14:solidFill>
                    <w14:schemeClr w14:val="tx1"/>
                  </w14:solidFill>
                </w14:textFill>
              </w:rPr>
            </w:pPr>
            <w:r>
              <w:rPr>
                <w:rFonts w:hint="eastAsia" w:ascii="Times New Roman" w:hAnsi="Times New Roman" w:eastAsia="仿宋_GB2312" w:cs="Times New Roman"/>
                <w:i w:val="0"/>
                <w:color w:val="000000" w:themeColor="text1"/>
                <w:sz w:val="22"/>
                <w:szCs w:val="22"/>
                <w:lang w:eastAsia="zh-CN"/>
                <w14:textFill>
                  <w14:solidFill>
                    <w14:schemeClr w14:val="tx1"/>
                  </w14:solidFill>
                </w14:textFill>
              </w:rPr>
              <w:t>项目分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DBD69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实得分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026F060A">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问题描述</w:t>
            </w:r>
          </w:p>
        </w:tc>
      </w:tr>
      <w:tr w14:paraId="39F4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976" w:type="dxa"/>
            <w:gridSpan w:val="5"/>
            <w:tcBorders>
              <w:top w:val="single" w:color="000000" w:sz="4" w:space="0"/>
              <w:left w:val="single" w:color="000000" w:sz="4" w:space="0"/>
              <w:bottom w:val="single" w:color="000000" w:sz="4" w:space="0"/>
              <w:right w:val="single" w:color="000000" w:sz="4" w:space="0"/>
            </w:tcBorders>
            <w:noWrap w:val="0"/>
            <w:vAlign w:val="center"/>
          </w:tcPr>
          <w:p w14:paraId="71D4C6D9">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一、服务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FE548D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431CFF">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330C18E0">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002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8ABC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15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E5305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消防CRT系统</w:t>
            </w:r>
          </w:p>
        </w:tc>
        <w:tc>
          <w:tcPr>
            <w:tcW w:w="3705" w:type="dxa"/>
            <w:gridSpan w:val="3"/>
            <w:vMerge w:val="restart"/>
            <w:tcBorders>
              <w:top w:val="single" w:color="000000" w:sz="4" w:space="0"/>
              <w:left w:val="single" w:color="000000" w:sz="4" w:space="0"/>
              <w:bottom w:val="single" w:color="000000" w:sz="4" w:space="0"/>
              <w:right w:val="single" w:color="000000" w:sz="4" w:space="0"/>
            </w:tcBorders>
            <w:noWrap w:val="0"/>
            <w:vAlign w:val="top"/>
          </w:tcPr>
          <w:p w14:paraId="3053C0EB">
            <w:pPr>
              <w:widowControl/>
              <w:jc w:val="both"/>
              <w:textAlignment w:val="top"/>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系统内软件运行稳定，各功能正常有效，中文地址描述完整，否则扣2分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4607C8">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48AA259C">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2C6A9EB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576C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950EA">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3D194">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705"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51BA33C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B3F97">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13B636A2">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60CBC11B">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6394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F231C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15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A7D17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维修保养服务完成情况书面报告</w:t>
            </w:r>
          </w:p>
        </w:tc>
        <w:tc>
          <w:tcPr>
            <w:tcW w:w="3705" w:type="dxa"/>
            <w:gridSpan w:val="3"/>
            <w:vMerge w:val="restart"/>
            <w:tcBorders>
              <w:top w:val="single" w:color="000000" w:sz="4" w:space="0"/>
              <w:left w:val="single" w:color="000000" w:sz="4" w:space="0"/>
              <w:bottom w:val="single" w:color="000000" w:sz="4" w:space="0"/>
              <w:right w:val="single" w:color="000000" w:sz="4" w:space="0"/>
            </w:tcBorders>
            <w:noWrap w:val="0"/>
            <w:vAlign w:val="top"/>
          </w:tcPr>
          <w:p w14:paraId="592E6F5D">
            <w:pPr>
              <w:widowControl/>
              <w:jc w:val="both"/>
              <w:textAlignment w:val="top"/>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是否月度、季度、半年、年度完成检查、维修、保养工作并提交书面报告，缺少一次扣2分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4908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354F22DA">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3FC5F475">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12C3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B4B41">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C4231">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705"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4B1A7A55">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184D0">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45A4B31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67AE4F6F">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6DB7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B684D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F0368E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服务档案</w:t>
            </w:r>
          </w:p>
        </w:tc>
        <w:tc>
          <w:tcPr>
            <w:tcW w:w="3705" w:type="dxa"/>
            <w:gridSpan w:val="3"/>
            <w:tcBorders>
              <w:top w:val="single" w:color="000000" w:sz="4" w:space="0"/>
              <w:left w:val="single" w:color="000000" w:sz="4" w:space="0"/>
              <w:bottom w:val="single" w:color="000000" w:sz="4" w:space="0"/>
              <w:right w:val="single" w:color="000000" w:sz="4" w:space="0"/>
            </w:tcBorders>
            <w:noWrap w:val="0"/>
            <w:vAlign w:val="top"/>
          </w:tcPr>
          <w:p w14:paraId="51CD29C6">
            <w:pPr>
              <w:widowControl/>
              <w:jc w:val="both"/>
              <w:textAlignment w:val="top"/>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是否建立服务档案，日常记录，台帐如实记录服务内容，缺少一次扣1分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044382">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7</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E345D08">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top"/>
          </w:tcPr>
          <w:p w14:paraId="7B073A78">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73B6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76" w:type="dxa"/>
            <w:gridSpan w:val="5"/>
            <w:tcBorders>
              <w:top w:val="single" w:color="000000" w:sz="4" w:space="0"/>
              <w:left w:val="single" w:color="000000" w:sz="4" w:space="0"/>
              <w:bottom w:val="single" w:color="000000" w:sz="4" w:space="0"/>
              <w:right w:val="single" w:color="000000" w:sz="4" w:space="0"/>
            </w:tcBorders>
            <w:noWrap w:val="0"/>
            <w:vAlign w:val="center"/>
          </w:tcPr>
          <w:p w14:paraId="1F43A4B8">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二、消防主机运行（现场复位后）</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6472B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0EFC60">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9FE0D2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5B6C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1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A9C980">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1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52F79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火警点位</w:t>
            </w:r>
          </w:p>
        </w:tc>
        <w:tc>
          <w:tcPr>
            <w:tcW w:w="36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1AADAE">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主机运行不存在火警点位，否则扣2分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84EAD0">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1EF22B15">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440E9D4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62C5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85"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3C567">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967C95">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F709BB">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3BBCD">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42A0E78D">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32623D2D">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750E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1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A6BE74">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1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1DB3DC">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故障点位</w:t>
            </w:r>
          </w:p>
        </w:tc>
        <w:tc>
          <w:tcPr>
            <w:tcW w:w="36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D57281">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主机运行不存在故障点位，否则扣2分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7CBD2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06C6FBB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3B3A943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DBA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85"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0C2FE">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05DDF8">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5E0F7B">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1E0A9">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49D10136">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433EA296">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8B3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E5BA2E">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14930FBA">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屏蔽点位</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3FF3729E">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主机运行存在的屏蔽点位不大于10个，超出扣2分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C79B5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0D9EB48">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0A63522D">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51D4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9D559">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46CDC02F">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反馈点位</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5E16F8BD">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主机运行存在的反馈点位不大于10个，超出扣2分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2567EA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B35AA0A">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1EAD373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167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02C32C">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5</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27EE3813">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隐藏点位</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0847084C">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主机运行存在隐藏（预留）点位不大于5个，超出扣2分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555A2B3">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5ABCD94">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4C4DD29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40CB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630" w:hRule="atLeast"/>
        </w:trPr>
        <w:tc>
          <w:tcPr>
            <w:tcW w:w="5976" w:type="dxa"/>
            <w:gridSpan w:val="5"/>
            <w:tcBorders>
              <w:top w:val="single" w:color="000000" w:sz="4" w:space="0"/>
              <w:left w:val="single" w:color="000000" w:sz="4" w:space="0"/>
              <w:bottom w:val="single" w:color="000000" w:sz="4" w:space="0"/>
              <w:right w:val="single" w:color="000000" w:sz="4" w:space="0"/>
            </w:tcBorders>
            <w:noWrap w:val="0"/>
            <w:vAlign w:val="center"/>
          </w:tcPr>
          <w:p w14:paraId="08CB4ECE">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三、设备检测情况</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87E3F5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58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0D3E9B">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D795F8F">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2120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1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4F5C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1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E68291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烟感、温感、手报</w:t>
            </w:r>
          </w:p>
        </w:tc>
        <w:tc>
          <w:tcPr>
            <w:tcW w:w="36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B34CBEC">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发现一处无法正常工作扣2分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F7E70">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10</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0E6EA78D">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1C5AC15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838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B369F">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54592C">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1FAD58">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73D46">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52BA774F">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09EE3A7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23FF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8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FD473E">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2DE4DC04">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强切、强启</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3B42CFD9">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每月检测维护强切、强启项目设备，确保正常使用，否则一项扣1分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02DE5A">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D68F916">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16ECB7BE">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40B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B7FA9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108F4FA6">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联动警铃和消防广播</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3619CFE4">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发现一处无法正常工作扣1分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900654">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9812238">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387F603C">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969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right w:val="single" w:color="000000" w:sz="4" w:space="0"/>
            </w:tcBorders>
            <w:noWrap w:val="0"/>
            <w:vAlign w:val="center"/>
          </w:tcPr>
          <w:p w14:paraId="76946F5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1566" w:type="dxa"/>
            <w:gridSpan w:val="2"/>
            <w:tcBorders>
              <w:top w:val="single" w:color="000000" w:sz="4" w:space="0"/>
              <w:left w:val="single" w:color="000000" w:sz="4" w:space="0"/>
              <w:right w:val="single" w:color="000000" w:sz="4" w:space="0"/>
            </w:tcBorders>
            <w:noWrap w:val="0"/>
            <w:vAlign w:val="center"/>
          </w:tcPr>
          <w:p w14:paraId="33BEA854">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排烟风机、正压送风机</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310DFFEC">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发现一处无法正常工作扣1分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30C7CE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FF63BB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0936485C">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8A3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8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28F629">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5</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05D210A9">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湿式报警阀、水流指示器、压力表、控制阀</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5ECEBF4D">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每月检测维护，确保正常使用，否则一项扣1分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9DAE4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394D654">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27FACFF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6BE3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7FE25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6</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598133C3">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电梯归首</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0FF2B5FD">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每月检测一次并做好记录，发现一部电梯无法正常归首扣2分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8B4D4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689EA9E">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0196D46A">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4E1E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1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E87AA">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7</w:t>
            </w:r>
          </w:p>
        </w:tc>
        <w:tc>
          <w:tcPr>
            <w:tcW w:w="1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5C62F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卷帘门、防火阀</w:t>
            </w:r>
          </w:p>
        </w:tc>
        <w:tc>
          <w:tcPr>
            <w:tcW w:w="36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560499">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发现一处无法正常工作扣3分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E1B6E">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6</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33C6AF5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7992F5D2">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32F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6859F">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A3C1FB">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4E6A66">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7CF03">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50730F9F">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0BFEA102">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29A0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8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EAF68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8</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0C14C791">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每月消防联动测试，消防泵点动测试</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160F8FEF">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发现一处无测试记录或无法正常工作扣3分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71C259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DBFC6B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5BEFCABE">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579B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1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D84B4C">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9</w:t>
            </w:r>
          </w:p>
        </w:tc>
        <w:tc>
          <w:tcPr>
            <w:tcW w:w="1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E2E05A">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应急照明、疏散指示标志</w:t>
            </w:r>
          </w:p>
        </w:tc>
        <w:tc>
          <w:tcPr>
            <w:tcW w:w="36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346663">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发现一处无法正常工作扣2分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4F18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7A9A03E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05395A7E">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5D7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5" w:type="dxa"/>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1C8BF">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A39E95">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605319">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6C717">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1C0A489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3DE75A0F">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259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4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26AE49">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10</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4EEF61B0">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灭火器，气体灭火系统</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79FC09CE">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发现一个过期灭火器扣2分；气体灭火系统未正常巡查、维护、记录扣6分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3A378E4">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225ADF">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4BFC864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7DDC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115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3B5BF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11</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0DC5F73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消火栓维保及测试</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3258D280">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消火栓无法正常工作（损坏、丢失等）一处扣3分，发现一处无巡查（或错误）记录扣2分，消火栓门破损、无法正常开关等一处扣1分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BFC2CD8">
            <w:pPr>
              <w:widowControl/>
              <w:jc w:val="center"/>
              <w:textAlignment w:val="center"/>
              <w:rPr>
                <w:rFonts w:hint="eastAsia" w:ascii="Times New Roman" w:hAnsi="Times New Roman" w:eastAsia="仿宋_GB2312" w:cs="Times New Roman"/>
                <w:i w:val="0"/>
                <w:color w:val="000000" w:themeColor="text1"/>
                <w:sz w:val="22"/>
                <w:szCs w:val="22"/>
                <w:lang w:val="en-US" w:eastAsia="zh-CN"/>
                <w14:textFill>
                  <w14:solidFill>
                    <w14:schemeClr w14:val="tx1"/>
                  </w14:solidFill>
                </w14:textFill>
              </w:rPr>
            </w:pPr>
            <w:r>
              <w:rPr>
                <w:rFonts w:hint="eastAsia" w:ascii="Times New Roman" w:hAnsi="Times New Roman" w:eastAsia="仿宋_GB2312" w:cs="Times New Roman"/>
                <w:i w:val="0"/>
                <w:color w:val="000000" w:themeColor="text1"/>
                <w:sz w:val="22"/>
                <w:szCs w:val="22"/>
                <w:lang w:val="en-US" w:eastAsia="zh-CN"/>
                <w14:textFill>
                  <w14:solidFill>
                    <w14:schemeClr w14:val="tx1"/>
                  </w14:solidFill>
                </w14:textFill>
              </w:rPr>
              <w:t>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54DC68B">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6198198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4FFF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690" w:hRule="atLeast"/>
        </w:trPr>
        <w:tc>
          <w:tcPr>
            <w:tcW w:w="5976" w:type="dxa"/>
            <w:gridSpan w:val="5"/>
            <w:tcBorders>
              <w:top w:val="single" w:color="000000" w:sz="4" w:space="0"/>
              <w:left w:val="single" w:color="000000" w:sz="4" w:space="0"/>
              <w:bottom w:val="single" w:color="000000" w:sz="4" w:space="0"/>
              <w:right w:val="single" w:color="000000" w:sz="4" w:space="0"/>
            </w:tcBorders>
            <w:noWrap w:val="0"/>
            <w:vAlign w:val="center"/>
          </w:tcPr>
          <w:p w14:paraId="05C3BE03">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四、事件处置</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C88B5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3E31DA">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13FB017">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1099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AB112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14:paraId="3169AD8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通讯</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362861E">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消防维保单位电话必须保证24小时畅通。否则扣3分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BC6C7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9509F3A">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4967606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873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1312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158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502722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人员到场</w:t>
            </w:r>
          </w:p>
        </w:tc>
        <w:tc>
          <w:tcPr>
            <w:tcW w:w="3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A1FC9F">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消防维保单位应急事件进行处理时是否按规定30分钟内到达现场进行排除维护人员是否持公司统一证件入场，否则扣3分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5F354A">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443BE20D">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24044EC5">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2D3F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87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DF600">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8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C9628DE">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D614E">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B452E">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325BD352">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5836B5D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67D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1140"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86055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158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08FC0A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故障修复</w:t>
            </w:r>
          </w:p>
        </w:tc>
        <w:tc>
          <w:tcPr>
            <w:tcW w:w="3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D864B3">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消防系统出现系统故障时是否按规定2小时内修复故障，并保证设备的正常运行（需更换大型消防设备除外）。否则扣3分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C4FD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79D7AC25">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7C7FA888">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11C5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89444">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8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1BA6B06">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8BD23">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97AC5">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103D3EB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243A7D5A">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6FE2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DB7D4">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158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423311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卫生</w:t>
            </w:r>
          </w:p>
        </w:tc>
        <w:tc>
          <w:tcPr>
            <w:tcW w:w="3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74420">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维修、保养完是否清除垃圾，保证现场环境卫生，主机等各种设备符合清洁要求，否则一处扣3分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E85C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6</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31152FCC">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018A108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4EA6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91C34">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8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43D6F08">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C03D1">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552E3">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6AE5BA56">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109739C6">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16D7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600" w:hRule="atLeast"/>
        </w:trPr>
        <w:tc>
          <w:tcPr>
            <w:tcW w:w="5976" w:type="dxa"/>
            <w:gridSpan w:val="5"/>
            <w:tcBorders>
              <w:top w:val="single" w:color="000000" w:sz="4" w:space="0"/>
              <w:left w:val="single" w:color="000000" w:sz="4" w:space="0"/>
              <w:bottom w:val="single" w:color="000000" w:sz="4" w:space="0"/>
              <w:right w:val="single" w:color="000000" w:sz="4" w:space="0"/>
            </w:tcBorders>
            <w:noWrap w:val="0"/>
            <w:vAlign w:val="center"/>
          </w:tcPr>
          <w:p w14:paraId="32B5F7F1">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五、安全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F08478">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589C6B">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225B931">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54A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827A90">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14:paraId="2F65D33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安全事故</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295C41B">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维修保养时无安全事故发生，否则扣2分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A4943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30D7E3">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BC58E42">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26F4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72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4D934F">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14:paraId="0C1E93E3">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安全检查</w:t>
            </w:r>
          </w:p>
        </w:tc>
        <w:tc>
          <w:tcPr>
            <w:tcW w:w="3675" w:type="dxa"/>
            <w:tcBorders>
              <w:top w:val="single" w:color="000000" w:sz="4" w:space="0"/>
              <w:left w:val="single" w:color="000000" w:sz="4" w:space="0"/>
              <w:right w:val="single" w:color="000000" w:sz="4" w:space="0"/>
            </w:tcBorders>
            <w:noWrap w:val="0"/>
            <w:vAlign w:val="center"/>
          </w:tcPr>
          <w:p w14:paraId="10C31C3B">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是否应甲方需要配合进行消防安全检查，否则扣1分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7DCDD7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600F09">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8BADEE5">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0F5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720" w:hRule="atLeast"/>
        </w:trPr>
        <w:tc>
          <w:tcPr>
            <w:tcW w:w="720" w:type="dxa"/>
            <w:tcBorders>
              <w:top w:val="single" w:color="000000" w:sz="4" w:space="0"/>
              <w:left w:val="single" w:color="000000" w:sz="4" w:space="0"/>
              <w:right w:val="single" w:color="000000" w:sz="4" w:space="0"/>
            </w:tcBorders>
            <w:noWrap w:val="0"/>
            <w:vAlign w:val="center"/>
          </w:tcPr>
          <w:p w14:paraId="3CA3B28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1581" w:type="dxa"/>
            <w:gridSpan w:val="3"/>
            <w:tcBorders>
              <w:top w:val="single" w:color="000000" w:sz="4" w:space="0"/>
              <w:left w:val="single" w:color="000000" w:sz="4" w:space="0"/>
              <w:right w:val="single" w:color="000000" w:sz="4" w:space="0"/>
            </w:tcBorders>
            <w:noWrap w:val="0"/>
            <w:vAlign w:val="center"/>
          </w:tcPr>
          <w:p w14:paraId="234FB2A9">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消防演习</w:t>
            </w:r>
          </w:p>
        </w:tc>
        <w:tc>
          <w:tcPr>
            <w:tcW w:w="3675" w:type="dxa"/>
            <w:tcBorders>
              <w:top w:val="single" w:color="000000" w:sz="4" w:space="0"/>
              <w:left w:val="single" w:color="000000" w:sz="4" w:space="0"/>
              <w:right w:val="single" w:color="000000" w:sz="4" w:space="0"/>
            </w:tcBorders>
            <w:noWrap w:val="0"/>
            <w:vAlign w:val="center"/>
          </w:tcPr>
          <w:p w14:paraId="7F5A6CE7">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是否配合甲方进行消防演习，否则扣1分</w:t>
            </w:r>
          </w:p>
        </w:tc>
        <w:tc>
          <w:tcPr>
            <w:tcW w:w="1035" w:type="dxa"/>
            <w:tcBorders>
              <w:top w:val="single" w:color="000000" w:sz="4" w:space="0"/>
              <w:left w:val="single" w:color="000000" w:sz="4" w:space="0"/>
              <w:right w:val="single" w:color="000000" w:sz="4" w:space="0"/>
            </w:tcBorders>
            <w:noWrap w:val="0"/>
            <w:vAlign w:val="center"/>
          </w:tcPr>
          <w:p w14:paraId="09367E1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930" w:type="dxa"/>
            <w:tcBorders>
              <w:top w:val="single" w:color="000000" w:sz="4" w:space="0"/>
              <w:left w:val="single" w:color="000000" w:sz="4" w:space="0"/>
              <w:right w:val="single" w:color="000000" w:sz="4" w:space="0"/>
            </w:tcBorders>
            <w:noWrap w:val="0"/>
            <w:vAlign w:val="center"/>
          </w:tcPr>
          <w:p w14:paraId="27B57994">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right w:val="single" w:color="000000" w:sz="4" w:space="0"/>
            </w:tcBorders>
            <w:noWrap w:val="0"/>
            <w:vAlign w:val="center"/>
          </w:tcPr>
          <w:p w14:paraId="082B63E1">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4D7D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630" w:hRule="atLeast"/>
        </w:trPr>
        <w:tc>
          <w:tcPr>
            <w:tcW w:w="8931" w:type="dxa"/>
            <w:gridSpan w:val="8"/>
            <w:tcBorders>
              <w:top w:val="single" w:color="000000" w:sz="4" w:space="0"/>
              <w:left w:val="single" w:color="000000" w:sz="4" w:space="0"/>
              <w:bottom w:val="single" w:color="000000" w:sz="4" w:space="0"/>
              <w:right w:val="single" w:color="000000" w:sz="4" w:space="0"/>
            </w:tcBorders>
            <w:noWrap w:val="0"/>
            <w:vAlign w:val="top"/>
          </w:tcPr>
          <w:p w14:paraId="64FF74E4">
            <w:pPr>
              <w:widowControl/>
              <w:jc w:val="left"/>
              <w:textAlignment w:val="top"/>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六、总分：</w:t>
            </w:r>
          </w:p>
        </w:tc>
      </w:tr>
    </w:tbl>
    <w:p w14:paraId="443F91B2">
      <w:pPr>
        <w:spacing w:line="540" w:lineRule="exact"/>
        <w:ind w:firstLine="437"/>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三、报价要求</w:t>
      </w:r>
    </w:p>
    <w:p w14:paraId="55C535AD">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bookmarkStart w:id="49" w:name="_Toc14698"/>
      <w:bookmarkStart w:id="50" w:name="_Toc15293"/>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报价文件中的单价和总价全部采用人民币表示。供应商的报价应含有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09A909CA">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2.供应商只允许有一个方案、一个报价。</w:t>
      </w:r>
    </w:p>
    <w:p w14:paraId="34E938FD">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3.供应商本章所列服务内容进行报价，供应商报价为完成本次采购项目的全费用价格，其组成包括国家对中标单位征收的各种税费等所有一切费用，综合单价今后将不作任何调整。</w:t>
      </w:r>
    </w:p>
    <w:p w14:paraId="723C1AFF">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4.供应商报价的价格是完成项目全部内容（包括后期的相关服务）交付的价格，其总价即为履行合同的固定总价。</w:t>
      </w:r>
    </w:p>
    <w:p w14:paraId="06E4A7B8">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5.供应商报价为含税价，采购人不再为此次招标支付任何费用。</w:t>
      </w:r>
    </w:p>
    <w:p w14:paraId="0D02F3B8">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6.供应商报价应由法定代表人或被授权人签署。</w:t>
      </w:r>
    </w:p>
    <w:p w14:paraId="454CA453">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7.供应商的报价不得高于本次招标最高限价，否则将作为无效报价处理。</w:t>
      </w:r>
    </w:p>
    <w:p w14:paraId="2848CCC2">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8.如投标文件中未列明全面实现投标服务功能而必须配置的配套或辅助设施及相应技术措施的费用，这些费用将被视为已包含在总报价中。</w:t>
      </w:r>
    </w:p>
    <w:p w14:paraId="0BE408B2">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9.总报价中不得包含采购文件要求以外的内容，否则，在评标时不予核减，但在授予合同时，采购人有权将这部分价格从其成交价格中扣除。</w:t>
      </w:r>
    </w:p>
    <w:bookmarkEnd w:id="49"/>
    <w:bookmarkEnd w:id="50"/>
    <w:p w14:paraId="462E3C73">
      <w:pPr>
        <w:ind w:firstLine="480" w:firstLineChars="200"/>
        <w:rPr>
          <w:rFonts w:hint="eastAsia" w:ascii="宋体" w:hAnsi="宋体" w:eastAsia="宋体" w:cs="宋体"/>
          <w:color w:val="000000" w:themeColor="text1"/>
          <w:sz w:val="24"/>
          <w:szCs w:val="24"/>
          <w14:textFill>
            <w14:solidFill>
              <w14:schemeClr w14:val="tx1"/>
            </w14:solidFill>
          </w14:textFill>
        </w:rPr>
      </w:pPr>
    </w:p>
    <w:p w14:paraId="76D1F2EC">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F613E32">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51" w:name="_Toc4328"/>
      <w:r>
        <w:rPr>
          <w:rFonts w:hint="eastAsia" w:asciiTheme="minorEastAsia" w:hAnsiTheme="minorEastAsia" w:eastAsiaTheme="minorEastAsia"/>
          <w:b/>
          <w:color w:val="000000" w:themeColor="text1"/>
          <w:sz w:val="28"/>
          <w14:textFill>
            <w14:solidFill>
              <w14:schemeClr w14:val="tx1"/>
            </w14:solidFill>
          </w14:textFill>
        </w:rPr>
        <w:t>第四章  评标方法和标准（综合评分法）</w:t>
      </w:r>
      <w:bookmarkEnd w:id="51"/>
    </w:p>
    <w:p w14:paraId="009BE4C0">
      <w:pPr>
        <w:spacing w:line="360" w:lineRule="auto"/>
        <w:ind w:firstLine="437"/>
        <w:outlineLvl w:val="1"/>
        <w:rPr>
          <w:rFonts w:hint="eastAsia" w:asciiTheme="minorEastAsia" w:hAnsiTheme="minorEastAsia" w:eastAsiaTheme="minorEastAsia"/>
          <w:b/>
          <w:color w:val="000000" w:themeColor="text1"/>
          <w:sz w:val="24"/>
          <w14:textFill>
            <w14:solidFill>
              <w14:schemeClr w14:val="tx1"/>
            </w14:solidFill>
          </w14:textFill>
        </w:rPr>
      </w:pPr>
      <w:bookmarkStart w:id="52" w:name="_Toc22115"/>
      <w:bookmarkStart w:id="53" w:name="_Toc6560"/>
      <w:r>
        <w:rPr>
          <w:rFonts w:hint="eastAsia" w:asciiTheme="minorEastAsia" w:hAnsiTheme="minorEastAsia" w:eastAsiaTheme="minorEastAsia"/>
          <w:b/>
          <w:color w:val="000000" w:themeColor="text1"/>
          <w:sz w:val="24"/>
          <w14:textFill>
            <w14:solidFill>
              <w14:schemeClr w14:val="tx1"/>
            </w14:solidFill>
          </w14:textFill>
        </w:rPr>
        <w:t>一、总则</w:t>
      </w:r>
      <w:bookmarkEnd w:id="52"/>
      <w:bookmarkEnd w:id="53"/>
    </w:p>
    <w:p w14:paraId="77A3527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本项目将按照招标文件第二章投标人须知的相关要求</w:t>
      </w:r>
      <w:r>
        <w:rPr>
          <w:rFonts w:asciiTheme="minorEastAsia" w:hAnsiTheme="minorEastAsia" w:eastAsiaTheme="minorEastAsia"/>
          <w:color w:val="000000" w:themeColor="text1"/>
          <w:sz w:val="24"/>
          <w14:textFill>
            <w14:solidFill>
              <w14:schemeClr w14:val="tx1"/>
            </w14:solidFill>
          </w14:textFill>
        </w:rPr>
        <w:t>及本章的规定评标。</w:t>
      </w:r>
    </w:p>
    <w:p w14:paraId="4F9FB2B1">
      <w:pPr>
        <w:spacing w:line="360" w:lineRule="auto"/>
        <w:ind w:firstLine="437"/>
        <w:outlineLvl w:val="1"/>
        <w:rPr>
          <w:rFonts w:hint="eastAsia" w:asciiTheme="minorEastAsia" w:hAnsiTheme="minorEastAsia" w:eastAsiaTheme="minorEastAsia"/>
          <w:b/>
          <w:color w:val="000000" w:themeColor="text1"/>
          <w:sz w:val="24"/>
          <w14:textFill>
            <w14:solidFill>
              <w14:schemeClr w14:val="tx1"/>
            </w14:solidFill>
          </w14:textFill>
        </w:rPr>
      </w:pPr>
      <w:bookmarkStart w:id="54" w:name="_Toc28533"/>
      <w:bookmarkStart w:id="55" w:name="_Toc27343"/>
      <w:r>
        <w:rPr>
          <w:rFonts w:hint="eastAsia" w:asciiTheme="minorEastAsia" w:hAnsiTheme="minorEastAsia" w:eastAsiaTheme="minorEastAsia"/>
          <w:b/>
          <w:color w:val="000000" w:themeColor="text1"/>
          <w:sz w:val="24"/>
          <w14:textFill>
            <w14:solidFill>
              <w14:schemeClr w14:val="tx1"/>
            </w14:solidFill>
          </w14:textFill>
        </w:rPr>
        <w:t>二、评标方法</w:t>
      </w:r>
      <w:bookmarkEnd w:id="54"/>
      <w:bookmarkEnd w:id="55"/>
    </w:p>
    <w:p w14:paraId="3C97014C">
      <w:pPr>
        <w:spacing w:line="360" w:lineRule="auto"/>
        <w:ind w:firstLine="437"/>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5B4F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819A804">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szCs w:val="22"/>
                <w14:textFill>
                  <w14:solidFill>
                    <w14:schemeClr w14:val="tx1"/>
                  </w14:solidFill>
                </w14:textFill>
              </w:rPr>
              <w:t>资格审查表</w:t>
            </w:r>
          </w:p>
        </w:tc>
      </w:tr>
      <w:tr w14:paraId="2B3B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0B8B9661">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942" w:type="pct"/>
            <w:tcBorders>
              <w:bottom w:val="single" w:color="auto" w:sz="4" w:space="0"/>
            </w:tcBorders>
            <w:vAlign w:val="center"/>
          </w:tcPr>
          <w:p w14:paraId="0514CC8D">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szCs w:val="24"/>
                <w14:textFill>
                  <w14:solidFill>
                    <w14:schemeClr w14:val="tx1"/>
                  </w14:solidFill>
                </w14:textFill>
              </w:rPr>
            </w:pPr>
            <w:r>
              <w:rPr>
                <w:rFonts w:hint="eastAsia" w:ascii="宋体" w:hAnsi="宋体" w:eastAsia="宋体"/>
                <w:color w:val="000000" w:themeColor="text1"/>
                <w:kern w:val="2"/>
                <w:szCs w:val="24"/>
                <w14:textFill>
                  <w14:solidFill>
                    <w14:schemeClr w14:val="tx1"/>
                  </w14:solidFill>
                </w14:textFill>
              </w:rPr>
              <w:t>审查指标</w:t>
            </w:r>
          </w:p>
        </w:tc>
        <w:tc>
          <w:tcPr>
            <w:tcW w:w="2600" w:type="pct"/>
            <w:tcBorders>
              <w:bottom w:val="single" w:color="auto" w:sz="4" w:space="0"/>
            </w:tcBorders>
            <w:vAlign w:val="center"/>
          </w:tcPr>
          <w:p w14:paraId="09F7F160">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1083" w:type="pct"/>
            <w:tcBorders>
              <w:bottom w:val="single" w:color="auto" w:sz="4" w:space="0"/>
            </w:tcBorders>
            <w:vAlign w:val="center"/>
          </w:tcPr>
          <w:p w14:paraId="07F3B38A">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14:paraId="4736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214898EC">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p>
        </w:tc>
        <w:tc>
          <w:tcPr>
            <w:tcW w:w="942" w:type="pct"/>
            <w:tcBorders>
              <w:bottom w:val="single" w:color="auto" w:sz="4" w:space="0"/>
            </w:tcBorders>
            <w:vAlign w:val="center"/>
          </w:tcPr>
          <w:p w14:paraId="791F6827">
            <w:pPr>
              <w:spacing w:after="50" w:line="360" w:lineRule="auto"/>
              <w:ind w:right="-10"/>
              <w:jc w:val="center"/>
              <w:rPr>
                <w:rFonts w:hint="eastAsia" w:ascii="宋体" w:hAnsi="宋体" w:eastAsia="宋体"/>
                <w:color w:val="000000" w:themeColor="text1"/>
                <w:sz w:val="24"/>
                <w:szCs w:val="28"/>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营业执照等证明</w:t>
            </w:r>
            <w:r>
              <w:rPr>
                <w:rFonts w:ascii="宋体" w:hAnsi="宋体" w:eastAsia="宋体" w:cs="宋体"/>
                <w:color w:val="000000" w:themeColor="text1"/>
                <w:spacing w:val="-3"/>
                <w:sz w:val="24"/>
                <w:szCs w:val="24"/>
                <w14:textFill>
                  <w14:solidFill>
                    <w14:schemeClr w14:val="tx1"/>
                  </w14:solidFill>
                </w14:textFill>
              </w:rPr>
              <w:t>文件</w:t>
            </w:r>
          </w:p>
        </w:tc>
        <w:tc>
          <w:tcPr>
            <w:tcW w:w="2600" w:type="pct"/>
            <w:tcBorders>
              <w:bottom w:val="single" w:color="auto" w:sz="4" w:space="0"/>
            </w:tcBorders>
            <w:vAlign w:val="center"/>
          </w:tcPr>
          <w:p w14:paraId="44EB98E1">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投标人为企业（包括合伙企业）的，应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供有效的营业执照；</w:t>
            </w:r>
          </w:p>
          <w:p w14:paraId="1D54BB32">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投标人为事业单位的，应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供有效的事业单位法人证书；</w:t>
            </w:r>
          </w:p>
          <w:p w14:paraId="569E1D44">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投标人是非企业机构的，应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供有效的执业许可证</w:t>
            </w:r>
            <w:r>
              <w:rPr>
                <w:rFonts w:hint="eastAsia" w:ascii="宋体" w:hAnsi="宋体" w:eastAsia="宋体" w:cs="宋体"/>
                <w:color w:val="000000" w:themeColor="text1"/>
                <w:sz w:val="24"/>
                <w:szCs w:val="24"/>
                <w14:textFill>
                  <w14:solidFill>
                    <w14:schemeClr w14:val="tx1"/>
                  </w14:solidFill>
                </w14:textFill>
              </w:rPr>
              <w:t>或</w:t>
            </w:r>
            <w:r>
              <w:rPr>
                <w:rFonts w:ascii="宋体" w:hAnsi="宋体" w:eastAsia="宋体" w:cs="宋体"/>
                <w:color w:val="000000" w:themeColor="text1"/>
                <w:sz w:val="24"/>
                <w:szCs w:val="24"/>
                <w14:textFill>
                  <w14:solidFill>
                    <w14:schemeClr w14:val="tx1"/>
                  </w14:solidFill>
                </w14:textFill>
              </w:rPr>
              <w:t>登记证书等证明文件；</w:t>
            </w:r>
          </w:p>
          <w:p w14:paraId="0AD5AB13">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投标人是个体工商户的，应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供有效的个体工商户营业执照；</w:t>
            </w:r>
          </w:p>
          <w:p w14:paraId="4210A48F">
            <w:pPr>
              <w:spacing w:after="50" w:line="360" w:lineRule="auto"/>
              <w:ind w:right="-10"/>
              <w:jc w:val="left"/>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投标人是自然人的，应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供有效的自然人身份证明</w:t>
            </w:r>
            <w:r>
              <w:rPr>
                <w:rFonts w:hint="eastAsia" w:ascii="宋体" w:hAnsi="宋体" w:eastAsia="宋体" w:cs="宋体"/>
                <w:color w:val="000000" w:themeColor="text1"/>
                <w:sz w:val="24"/>
                <w:szCs w:val="24"/>
                <w14:textFill>
                  <w14:solidFill>
                    <w14:schemeClr w14:val="tx1"/>
                  </w14:solidFill>
                </w14:textFill>
              </w:rPr>
              <w:t>；</w:t>
            </w:r>
          </w:p>
        </w:tc>
        <w:tc>
          <w:tcPr>
            <w:tcW w:w="1083" w:type="pct"/>
            <w:vAlign w:val="center"/>
          </w:tcPr>
          <w:p w14:paraId="1385E5AF">
            <w:pPr>
              <w:pStyle w:val="22"/>
              <w:spacing w:before="0" w:beforeAutospacing="0" w:after="0" w:afterAutospacing="0" w:line="360" w:lineRule="auto"/>
              <w:jc w:val="center"/>
              <w:rPr>
                <w:rFonts w:hint="eastAsia"/>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提供材料复印件加盖公章</w:t>
            </w:r>
          </w:p>
          <w:p w14:paraId="12C914FD">
            <w:pPr>
              <w:spacing w:line="360" w:lineRule="auto"/>
              <w:jc w:val="left"/>
              <w:rPr>
                <w:rFonts w:hint="eastAsia" w:ascii="宋体" w:hAnsi="宋体" w:eastAsia="宋体"/>
                <w:color w:val="000000" w:themeColor="text1"/>
                <w:sz w:val="24"/>
                <w14:textFill>
                  <w14:solidFill>
                    <w14:schemeClr w14:val="tx1"/>
                  </w14:solidFill>
                </w14:textFill>
              </w:rPr>
            </w:pPr>
          </w:p>
        </w:tc>
      </w:tr>
      <w:tr w14:paraId="35D3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1E57B150">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p>
        </w:tc>
        <w:tc>
          <w:tcPr>
            <w:tcW w:w="942" w:type="pct"/>
            <w:tcBorders>
              <w:bottom w:val="single" w:color="auto" w:sz="4" w:space="0"/>
            </w:tcBorders>
            <w:vAlign w:val="center"/>
          </w:tcPr>
          <w:p w14:paraId="253A1152">
            <w:pPr>
              <w:spacing w:after="50" w:line="360" w:lineRule="auto"/>
              <w:ind w:right="-10"/>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投标人资格声明书</w:t>
            </w:r>
          </w:p>
        </w:tc>
        <w:tc>
          <w:tcPr>
            <w:tcW w:w="2600" w:type="pct"/>
            <w:tcBorders>
              <w:bottom w:val="single" w:color="auto" w:sz="4" w:space="0"/>
            </w:tcBorders>
            <w:vAlign w:val="center"/>
          </w:tcPr>
          <w:p w14:paraId="3FB746AA">
            <w:pPr>
              <w:spacing w:after="50" w:line="360" w:lineRule="auto"/>
              <w:ind w:right="-10"/>
              <w:jc w:val="left"/>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14:textFill>
                  <w14:solidFill>
                    <w14:schemeClr w14:val="tx1"/>
                  </w14:solidFill>
                </w14:textFill>
              </w:rPr>
              <w:t>。</w:t>
            </w:r>
          </w:p>
        </w:tc>
        <w:tc>
          <w:tcPr>
            <w:tcW w:w="1083" w:type="pct"/>
            <w:vAlign w:val="center"/>
          </w:tcPr>
          <w:p w14:paraId="751EB35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详见第六章投标文件格式</w:t>
            </w:r>
          </w:p>
        </w:tc>
      </w:tr>
      <w:tr w14:paraId="4039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15CCEBC8">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p>
        </w:tc>
        <w:tc>
          <w:tcPr>
            <w:tcW w:w="942" w:type="pct"/>
            <w:vAlign w:val="center"/>
          </w:tcPr>
          <w:p w14:paraId="717E050F">
            <w:pPr>
              <w:spacing w:after="50" w:line="360" w:lineRule="auto"/>
              <w:ind w:right="-10"/>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投标人信用记录</w:t>
            </w:r>
          </w:p>
        </w:tc>
        <w:tc>
          <w:tcPr>
            <w:tcW w:w="2600" w:type="pct"/>
            <w:vAlign w:val="center"/>
          </w:tcPr>
          <w:p w14:paraId="0A951381">
            <w:pPr>
              <w:spacing w:after="50" w:line="360" w:lineRule="auto"/>
              <w:ind w:right="-10"/>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投标人不得存在投标人须知正文第1</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条中</w:t>
            </w:r>
            <w:r>
              <w:rPr>
                <w:rFonts w:hint="eastAsia" w:ascii="宋体" w:hAnsi="宋体" w:eastAsia="宋体"/>
                <w:color w:val="000000" w:themeColor="text1"/>
                <w:sz w:val="24"/>
                <w:szCs w:val="28"/>
                <w14:textFill>
                  <w14:solidFill>
                    <w14:schemeClr w14:val="tx1"/>
                  </w14:solidFill>
                </w14:textFill>
              </w:rPr>
              <w:t>的</w:t>
            </w:r>
            <w:r>
              <w:rPr>
                <w:rFonts w:hint="eastAsia" w:ascii="宋体" w:hAnsi="宋体" w:eastAsia="宋体"/>
                <w:color w:val="000000" w:themeColor="text1"/>
                <w:sz w:val="24"/>
                <w:szCs w:val="18"/>
                <w14:textFill>
                  <w14:solidFill>
                    <w14:schemeClr w14:val="tx1"/>
                  </w14:solidFill>
                </w14:textFill>
              </w:rPr>
              <w:t>不良信用记录情形</w:t>
            </w:r>
          </w:p>
        </w:tc>
        <w:tc>
          <w:tcPr>
            <w:tcW w:w="1083" w:type="pct"/>
            <w:vAlign w:val="center"/>
          </w:tcPr>
          <w:p w14:paraId="1419E381">
            <w:pPr>
              <w:wordWrap w:val="0"/>
              <w:spacing w:line="360" w:lineRule="auto"/>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无须投标人提供，由采购人或采购代理机构查询。</w:t>
            </w:r>
          </w:p>
        </w:tc>
      </w:tr>
      <w:tr w14:paraId="4E58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9585874">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bookmarkStart w:id="56" w:name="_Hlk16461707"/>
            <w:r>
              <w:rPr>
                <w:rFonts w:hint="eastAsia" w:ascii="宋体" w:hAnsi="宋体" w:eastAsia="宋体"/>
                <w:color w:val="000000" w:themeColor="text1"/>
                <w:sz w:val="24"/>
                <w14:textFill>
                  <w14:solidFill>
                    <w14:schemeClr w14:val="tx1"/>
                  </w14:solidFill>
                </w14:textFill>
              </w:rPr>
              <w:t>4</w:t>
            </w:r>
          </w:p>
        </w:tc>
        <w:tc>
          <w:tcPr>
            <w:tcW w:w="942" w:type="pct"/>
            <w:tcBorders>
              <w:bottom w:val="single" w:color="auto" w:sz="4" w:space="0"/>
            </w:tcBorders>
            <w:vAlign w:val="center"/>
          </w:tcPr>
          <w:p w14:paraId="4D466043">
            <w:pPr>
              <w:spacing w:after="50" w:line="360" w:lineRule="auto"/>
              <w:ind w:right="-10"/>
              <w:jc w:val="center"/>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其他特定资格要求</w:t>
            </w:r>
          </w:p>
        </w:tc>
        <w:tc>
          <w:tcPr>
            <w:tcW w:w="2600" w:type="pct"/>
            <w:tcBorders>
              <w:bottom w:val="single" w:color="auto" w:sz="4" w:space="0"/>
            </w:tcBorders>
          </w:tcPr>
          <w:p w14:paraId="1FE7C993">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具体要求</w:t>
            </w:r>
            <w:r>
              <w:rPr>
                <w:rFonts w:ascii="宋体" w:hAnsi="宋体" w:eastAsia="宋体" w:cs="宋体"/>
                <w:color w:val="000000" w:themeColor="text1"/>
                <w:spacing w:val="10"/>
                <w:sz w:val="24"/>
                <w:szCs w:val="24"/>
                <w14:textFill>
                  <w14:solidFill>
                    <w14:schemeClr w14:val="tx1"/>
                  </w14:solidFill>
                </w14:textFill>
              </w:rPr>
              <w:t>见第一章《投标邀请》</w:t>
            </w:r>
          </w:p>
        </w:tc>
        <w:tc>
          <w:tcPr>
            <w:tcW w:w="1083" w:type="pct"/>
            <w:tcBorders>
              <w:bottom w:val="single" w:color="auto" w:sz="4" w:space="0"/>
            </w:tcBorders>
            <w:vAlign w:val="center"/>
          </w:tcPr>
          <w:p w14:paraId="46C3531E">
            <w:pPr>
              <w:pStyle w:val="22"/>
              <w:spacing w:before="0" w:beforeAutospacing="0" w:after="0" w:afterAutospacing="0" w:line="360"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提供证书材料复印件加盖公章</w:t>
            </w:r>
          </w:p>
        </w:tc>
      </w:tr>
    </w:tbl>
    <w:p w14:paraId="36768CD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资格审查指标通过标准：</w:t>
      </w:r>
      <w:r>
        <w:rPr>
          <w:rFonts w:hint="eastAsia" w:ascii="宋体" w:hAnsi="宋体" w:eastAsia="宋体"/>
          <w:color w:val="000000" w:themeColor="text1"/>
          <w:sz w:val="24"/>
          <w14:textFill>
            <w14:solidFill>
              <w14:schemeClr w14:val="tx1"/>
            </w14:solidFill>
          </w14:textFill>
        </w:rPr>
        <w:t>投标人必须通过资格审查表中的全部评审指标。</w:t>
      </w:r>
    </w:p>
    <w:bookmarkEnd w:id="56"/>
    <w:p w14:paraId="7D052CDA">
      <w:pPr>
        <w:spacing w:line="360" w:lineRule="auto"/>
        <w:ind w:firstLine="437"/>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2.2符合性审查</w:t>
      </w:r>
    </w:p>
    <w:p w14:paraId="4A969BD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17"/>
        <w:gridCol w:w="3128"/>
        <w:gridCol w:w="2516"/>
      </w:tblGrid>
      <w:tr w14:paraId="2C75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EE619B9">
            <w:pPr>
              <w:adjustRightInd w:val="0"/>
              <w:snapToGrid w:val="0"/>
              <w:spacing w:line="360" w:lineRule="auto"/>
              <w:ind w:right="-10"/>
              <w:jc w:val="center"/>
              <w:rPr>
                <w:rFonts w:hint="eastAsia"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符合性审查表</w:t>
            </w:r>
          </w:p>
        </w:tc>
      </w:tr>
      <w:tr w14:paraId="529B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7" w:type="pct"/>
            <w:tcBorders>
              <w:bottom w:val="single" w:color="auto" w:sz="4" w:space="0"/>
            </w:tcBorders>
            <w:vAlign w:val="center"/>
          </w:tcPr>
          <w:p w14:paraId="31565B42">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1242" w:type="pct"/>
            <w:tcBorders>
              <w:bottom w:val="single" w:color="auto" w:sz="4" w:space="0"/>
            </w:tcBorders>
            <w:vAlign w:val="center"/>
          </w:tcPr>
          <w:p w14:paraId="58F7C459">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审查指标</w:t>
            </w:r>
          </w:p>
        </w:tc>
        <w:tc>
          <w:tcPr>
            <w:tcW w:w="1835" w:type="pct"/>
            <w:tcBorders>
              <w:bottom w:val="single" w:color="auto" w:sz="4" w:space="0"/>
            </w:tcBorders>
            <w:vAlign w:val="center"/>
          </w:tcPr>
          <w:p w14:paraId="34346E36">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1475" w:type="pct"/>
            <w:tcBorders>
              <w:bottom w:val="single" w:color="auto" w:sz="4" w:space="0"/>
            </w:tcBorders>
            <w:vAlign w:val="center"/>
          </w:tcPr>
          <w:p w14:paraId="5A74EC53">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14:paraId="395A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23AB8BA2">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242" w:type="pct"/>
            <w:vAlign w:val="center"/>
          </w:tcPr>
          <w:p w14:paraId="07188612">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开标一览表</w:t>
            </w:r>
          </w:p>
        </w:tc>
        <w:tc>
          <w:tcPr>
            <w:tcW w:w="1835" w:type="pct"/>
            <w:vAlign w:val="center"/>
          </w:tcPr>
          <w:p w14:paraId="52DC0734">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5" w:type="pct"/>
            <w:vAlign w:val="center"/>
          </w:tcPr>
          <w:p w14:paraId="5E0D253D">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12B2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F6F2D01">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242" w:type="pct"/>
            <w:vAlign w:val="center"/>
          </w:tcPr>
          <w:p w14:paraId="471E65DD">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投标函</w:t>
            </w:r>
          </w:p>
        </w:tc>
        <w:tc>
          <w:tcPr>
            <w:tcW w:w="1835" w:type="pct"/>
            <w:vAlign w:val="center"/>
          </w:tcPr>
          <w:p w14:paraId="7436BBB4">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5" w:type="pct"/>
            <w:vAlign w:val="center"/>
          </w:tcPr>
          <w:p w14:paraId="72CBE239">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3F3C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6B2FB53">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p>
        </w:tc>
        <w:tc>
          <w:tcPr>
            <w:tcW w:w="1242" w:type="pct"/>
            <w:vAlign w:val="center"/>
          </w:tcPr>
          <w:p w14:paraId="7B6098FC">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授权书</w:t>
            </w:r>
          </w:p>
        </w:tc>
        <w:tc>
          <w:tcPr>
            <w:tcW w:w="1835" w:type="pct"/>
            <w:vAlign w:val="center"/>
          </w:tcPr>
          <w:p w14:paraId="43D9E2B9">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5" w:type="pct"/>
            <w:vAlign w:val="center"/>
          </w:tcPr>
          <w:p w14:paraId="18DBB1B2">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法定代表人参加投标的无需此件，提供身份证明即可。详见第六章投标文件格式。</w:t>
            </w:r>
          </w:p>
        </w:tc>
      </w:tr>
      <w:tr w14:paraId="5C26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1612EC85">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242" w:type="pct"/>
            <w:vAlign w:val="center"/>
          </w:tcPr>
          <w:p w14:paraId="6F086967">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投标报价</w:t>
            </w:r>
          </w:p>
        </w:tc>
        <w:tc>
          <w:tcPr>
            <w:tcW w:w="1835" w:type="pct"/>
            <w:vAlign w:val="center"/>
          </w:tcPr>
          <w:p w14:paraId="30C09260">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w:t>
            </w:r>
            <w:r>
              <w:rPr>
                <w:rFonts w:hint="eastAsia" w:asciiTheme="minorEastAsia" w:hAnsiTheme="minorEastAsia" w:eastAsiaTheme="minorEastAsia"/>
                <w:color w:val="000000" w:themeColor="text1"/>
                <w:sz w:val="24"/>
                <w14:textFill>
                  <w14:solidFill>
                    <w14:schemeClr w14:val="tx1"/>
                  </w14:solidFill>
                </w14:textFill>
              </w:rPr>
              <w:t>招标文件投标人须知正文第9条要求</w:t>
            </w:r>
          </w:p>
        </w:tc>
        <w:tc>
          <w:tcPr>
            <w:tcW w:w="1475" w:type="pct"/>
            <w:vAlign w:val="center"/>
          </w:tcPr>
          <w:p w14:paraId="66BC2D63">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3D5A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C6E5E84">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1242" w:type="pct"/>
            <w:vAlign w:val="center"/>
          </w:tcPr>
          <w:p w14:paraId="712CB0A3">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商务响应情况</w:t>
            </w:r>
          </w:p>
        </w:tc>
        <w:tc>
          <w:tcPr>
            <w:tcW w:w="1835" w:type="pct"/>
            <w:vAlign w:val="center"/>
          </w:tcPr>
          <w:p w14:paraId="5A815061">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符合招标文件采购需求中对付款方式、服务地点、服务期限等实质性要求</w:t>
            </w:r>
          </w:p>
        </w:tc>
        <w:tc>
          <w:tcPr>
            <w:tcW w:w="1475" w:type="pct"/>
            <w:vAlign w:val="center"/>
          </w:tcPr>
          <w:p w14:paraId="2DF57A1F">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0150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F488D4C">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1242" w:type="pct"/>
            <w:shd w:val="clear" w:color="auto" w:fill="auto"/>
            <w:vAlign w:val="center"/>
          </w:tcPr>
          <w:p w14:paraId="7D618E0C">
            <w:pPr>
              <w:spacing w:after="50" w:line="360" w:lineRule="auto"/>
              <w:ind w:right="-10" w:rightChars="0"/>
              <w:jc w:val="center"/>
              <w:rPr>
                <w:rFonts w:hint="eastAsia" w:cs="@仿宋_GB2312" w:asciiTheme="minorEastAsia" w:hAnsiTheme="minorEastAsia" w:eastAsiaTheme="minorEastAsia"/>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其他要求</w:t>
            </w:r>
          </w:p>
        </w:tc>
        <w:tc>
          <w:tcPr>
            <w:tcW w:w="1835" w:type="pct"/>
            <w:shd w:val="clear" w:color="auto" w:fill="auto"/>
            <w:vAlign w:val="center"/>
          </w:tcPr>
          <w:p w14:paraId="229362B7">
            <w:pPr>
              <w:spacing w:after="50" w:line="360" w:lineRule="auto"/>
              <w:ind w:right="-10" w:rightChars="0"/>
              <w:jc w:val="center"/>
              <w:rPr>
                <w:rFonts w:hint="eastAsia" w:cs="@仿宋_GB2312" w:asciiTheme="minorEastAsia" w:hAnsiTheme="minorEastAsia" w:eastAsiaTheme="minorEastAsia"/>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符合法律、行政法规规定的其他条件或招标文件列明的其他实质性要求</w:t>
            </w:r>
          </w:p>
        </w:tc>
        <w:tc>
          <w:tcPr>
            <w:tcW w:w="1475" w:type="pct"/>
            <w:vAlign w:val="center"/>
          </w:tcPr>
          <w:p w14:paraId="0B3EBFCE">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p>
        </w:tc>
      </w:tr>
    </w:tbl>
    <w:p w14:paraId="2924059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符合性审查指标通过标准：</w:t>
      </w:r>
      <w:r>
        <w:rPr>
          <w:rFonts w:hint="eastAsia" w:asciiTheme="minorEastAsia" w:hAnsiTheme="minorEastAsia" w:eastAsiaTheme="minorEastAsia"/>
          <w:color w:val="000000" w:themeColor="text1"/>
          <w:sz w:val="24"/>
          <w14:textFill>
            <w14:solidFill>
              <w14:schemeClr w14:val="tx1"/>
            </w14:solidFill>
          </w14:textFill>
        </w:rPr>
        <w:t>投标人必须通过符合性审查表中的全部评审指标。</w:t>
      </w:r>
    </w:p>
    <w:p w14:paraId="65F6CA7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2.3详细审查</w:t>
      </w:r>
    </w:p>
    <w:p w14:paraId="47C2AC5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2.3.1评标委员会按照下表对投标文件进行详细审查和评分。</w:t>
      </w:r>
    </w:p>
    <w:p w14:paraId="125B152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2.3.2本项目综合评分满分为100分，其中：技术资信分值占总分值的权重为</w:t>
      </w:r>
      <w:r>
        <w:rPr>
          <w:rFonts w:hint="eastAsia" w:asciiTheme="minorEastAsia" w:hAnsiTheme="minorEastAsia" w:eastAsia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0%，价格分值占总分值的权重为</w:t>
      </w:r>
      <w:r>
        <w:rPr>
          <w:rFonts w:hint="eastAsia" w:asciiTheme="minorEastAsia" w:hAnsiTheme="minorEastAsia" w:eastAsiaTheme="minorEastAsia"/>
          <w:color w:val="000000" w:themeColor="text1"/>
          <w:sz w:val="24"/>
          <w:lang w:val="en-US" w:eastAsia="zh-CN"/>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0 %。具体评分细则如下：</w:t>
      </w:r>
    </w:p>
    <w:tbl>
      <w:tblPr>
        <w:tblStyle w:val="27"/>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084"/>
        <w:gridCol w:w="5811"/>
        <w:gridCol w:w="1106"/>
      </w:tblGrid>
      <w:tr w14:paraId="5B49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4B471078">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类别</w:t>
            </w:r>
          </w:p>
        </w:tc>
        <w:tc>
          <w:tcPr>
            <w:tcW w:w="597" w:type="pct"/>
            <w:tcBorders>
              <w:top w:val="single" w:color="auto" w:sz="4" w:space="0"/>
              <w:left w:val="single" w:color="auto" w:sz="4" w:space="0"/>
              <w:bottom w:val="single" w:color="auto" w:sz="4" w:space="0"/>
              <w:right w:val="single" w:color="auto" w:sz="4" w:space="0"/>
            </w:tcBorders>
            <w:vAlign w:val="center"/>
          </w:tcPr>
          <w:p w14:paraId="004FB83E">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评分内容</w:t>
            </w:r>
          </w:p>
        </w:tc>
        <w:tc>
          <w:tcPr>
            <w:tcW w:w="3200" w:type="pct"/>
            <w:tcBorders>
              <w:top w:val="single" w:color="auto" w:sz="4" w:space="0"/>
              <w:left w:val="single" w:color="auto" w:sz="4" w:space="0"/>
              <w:bottom w:val="single" w:color="auto" w:sz="4" w:space="0"/>
              <w:right w:val="single" w:color="auto" w:sz="4" w:space="0"/>
            </w:tcBorders>
            <w:vAlign w:val="center"/>
          </w:tcPr>
          <w:p w14:paraId="0D5BE48A">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评分标准</w:t>
            </w:r>
          </w:p>
        </w:tc>
        <w:tc>
          <w:tcPr>
            <w:tcW w:w="609" w:type="pct"/>
            <w:tcBorders>
              <w:top w:val="single" w:color="auto" w:sz="4" w:space="0"/>
              <w:left w:val="single" w:color="auto" w:sz="4" w:space="0"/>
              <w:bottom w:val="single" w:color="auto" w:sz="4" w:space="0"/>
              <w:right w:val="single" w:color="auto" w:sz="4" w:space="0"/>
            </w:tcBorders>
            <w:vAlign w:val="center"/>
          </w:tcPr>
          <w:p w14:paraId="195B3696">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分值范围</w:t>
            </w:r>
          </w:p>
        </w:tc>
      </w:tr>
      <w:tr w14:paraId="1BD1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592" w:type="pct"/>
            <w:vMerge w:val="restart"/>
            <w:tcBorders>
              <w:left w:val="single" w:color="auto" w:sz="4" w:space="0"/>
              <w:right w:val="single" w:color="auto" w:sz="4" w:space="0"/>
            </w:tcBorders>
            <w:vAlign w:val="center"/>
          </w:tcPr>
          <w:p w14:paraId="3C246024">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技术资信分</w:t>
            </w:r>
          </w:p>
          <w:p w14:paraId="5DEF77B0">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b/>
                <w:bCs/>
                <w:color w:val="000000" w:themeColor="text1"/>
                <w:sz w:val="24"/>
                <w:szCs w:val="24"/>
                <w14:textFill>
                  <w14:solidFill>
                    <w14:schemeClr w14:val="tx1"/>
                  </w14:solidFill>
                </w14:textFill>
              </w:rPr>
              <w:t>分）</w:t>
            </w:r>
          </w:p>
        </w:tc>
        <w:tc>
          <w:tcPr>
            <w:tcW w:w="597" w:type="pct"/>
            <w:tcBorders>
              <w:top w:val="single" w:color="auto" w:sz="4" w:space="0"/>
              <w:left w:val="single" w:color="auto" w:sz="4" w:space="0"/>
              <w:bottom w:val="single" w:color="auto" w:sz="4" w:space="0"/>
              <w:right w:val="single" w:color="auto" w:sz="4" w:space="0"/>
            </w:tcBorders>
            <w:vAlign w:val="center"/>
          </w:tcPr>
          <w:p w14:paraId="506396FF">
            <w:pPr>
              <w:adjustRightInd w:val="0"/>
              <w:snapToGrid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消防维保</w:t>
            </w:r>
          </w:p>
          <w:p w14:paraId="5E48C026">
            <w:pPr>
              <w:adjustRightInd w:val="0"/>
              <w:snapToGrid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业绩</w:t>
            </w:r>
          </w:p>
          <w:p w14:paraId="2660E4EB">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tc>
        <w:tc>
          <w:tcPr>
            <w:tcW w:w="3200" w:type="pct"/>
            <w:tcBorders>
              <w:top w:val="single" w:color="auto" w:sz="4" w:space="0"/>
              <w:left w:val="single" w:color="auto" w:sz="4" w:space="0"/>
              <w:bottom w:val="single" w:color="auto" w:sz="4" w:space="0"/>
              <w:right w:val="single" w:color="auto" w:sz="4" w:space="0"/>
            </w:tcBorders>
            <w:vAlign w:val="center"/>
          </w:tcPr>
          <w:p w14:paraId="139091A7">
            <w:pPr>
              <w:keepNext w:val="0"/>
              <w:keepLines w:val="0"/>
              <w:widowControl/>
              <w:suppressLineNumbers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自 </w:t>
            </w:r>
            <w:r>
              <w:rPr>
                <w:rFonts w:hint="eastAsia" w:ascii="宋体" w:hAnsi="宋体" w:eastAsia="宋体" w:cs="宋体"/>
                <w:color w:val="000000" w:themeColor="text1"/>
                <w:kern w:val="0"/>
                <w:sz w:val="24"/>
                <w:szCs w:val="24"/>
                <w:lang w:val="en-US" w:eastAsia="zh-CN" w:bidi="ar-SA"/>
                <w14:textFill>
                  <w14:solidFill>
                    <w14:schemeClr w14:val="tx1"/>
                  </w14:solidFill>
                </w14:textFill>
              </w:rPr>
              <w:t>2023年1月1日以来（以合同签订时间为准），投标人具有单项消防维保、维护类合同，且合同金额在五万元人民币及以上，并切实开展了消防维保实质性工作的业绩，每提供一个有效业绩，得2.5分，本项最高得5分。</w:t>
            </w:r>
          </w:p>
          <w:p w14:paraId="0D2D0BE5">
            <w:pPr>
              <w:pStyle w:val="22"/>
              <w:spacing w:before="0" w:beforeAutospacing="0" w:after="0" w:afterAutospacing="0" w:line="0" w:lineRule="atLeas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注：</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1</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投标文件中需提供业绩合同原件（或加盖投标人公章复印件），</w:t>
            </w:r>
            <w:r>
              <w:rPr>
                <w:rFonts w:hint="eastAsia" w:ascii="宋体" w:hAnsi="宋体" w:eastAsia="宋体" w:cs="宋体"/>
                <w:color w:val="000000" w:themeColor="text1"/>
                <w:szCs w:val="24"/>
                <w:lang w:val="en-US" w:eastAsia="zh-CN"/>
                <w14:textFill>
                  <w14:solidFill>
                    <w14:schemeClr w14:val="tx1"/>
                  </w14:solidFill>
                </w14:textFill>
              </w:rPr>
              <w:t>合同</w:t>
            </w:r>
            <w:r>
              <w:rPr>
                <w:rFonts w:hint="eastAsia" w:ascii="宋体" w:hAnsi="宋体" w:eastAsia="宋体" w:cs="宋体"/>
                <w:color w:val="000000" w:themeColor="text1"/>
                <w14:textFill>
                  <w14:solidFill>
                    <w14:schemeClr w14:val="tx1"/>
                  </w14:solidFill>
                </w14:textFill>
              </w:rPr>
              <w:t>至少能反映</w:t>
            </w:r>
            <w:r>
              <w:rPr>
                <w:rFonts w:hint="eastAsia" w:ascii="宋体" w:hAnsi="宋体" w:eastAsia="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内容、签订时间、签字盖章等内容的关键页面</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附甲方联系人及号码</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如合同中无法体现合同签订时间、项目内容等关键评审因素的，须同时提供合同甲方（或采购方）盖章的证明材料原件（或加盖投标人公章的复印件），否则该项业绩视为无效，不予计分。</w:t>
            </w:r>
          </w:p>
          <w:p w14:paraId="44AE1DA3">
            <w:pPr>
              <w:pStyle w:val="22"/>
              <w:spacing w:before="0" w:beforeAutospacing="0" w:after="0" w:afterAutospacing="0" w:line="0" w:lineRule="atLeas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日期以合同签订时间为准，无明确签订时间的不得分</w:t>
            </w:r>
            <w:r>
              <w:rPr>
                <w:rFonts w:hint="eastAsia" w:ascii="宋体" w:hAnsi="宋体" w:eastAsia="宋体" w:cs="宋体"/>
                <w:color w:val="000000" w:themeColor="text1"/>
                <w:lang w:eastAsia="zh-CN"/>
                <w14:textFill>
                  <w14:solidFill>
                    <w14:schemeClr w14:val="tx1"/>
                  </w14:solidFill>
                </w14:textFill>
              </w:rPr>
              <w:t>。</w:t>
            </w:r>
          </w:p>
        </w:tc>
        <w:tc>
          <w:tcPr>
            <w:tcW w:w="609" w:type="pct"/>
            <w:tcBorders>
              <w:top w:val="single" w:color="auto" w:sz="4" w:space="0"/>
              <w:left w:val="single" w:color="auto" w:sz="4" w:space="0"/>
              <w:bottom w:val="single" w:color="auto" w:sz="4" w:space="0"/>
              <w:right w:val="single" w:color="auto" w:sz="4" w:space="0"/>
            </w:tcBorders>
            <w:vAlign w:val="center"/>
          </w:tcPr>
          <w:p w14:paraId="66B3D3CC">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0-</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b/>
                <w:bCs/>
                <w:color w:val="000000" w:themeColor="text1"/>
                <w:sz w:val="24"/>
                <w:szCs w:val="24"/>
                <w14:textFill>
                  <w14:solidFill>
                    <w14:schemeClr w14:val="tx1"/>
                  </w14:solidFill>
                </w14:textFill>
              </w:rPr>
              <w:t>分</w:t>
            </w:r>
          </w:p>
        </w:tc>
      </w:tr>
      <w:tr w14:paraId="53EA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jc w:val="center"/>
        </w:trPr>
        <w:tc>
          <w:tcPr>
            <w:tcW w:w="592" w:type="pct"/>
            <w:vMerge w:val="continue"/>
            <w:tcBorders>
              <w:left w:val="single" w:color="auto" w:sz="4" w:space="0"/>
              <w:right w:val="single" w:color="auto" w:sz="4" w:space="0"/>
            </w:tcBorders>
            <w:vAlign w:val="center"/>
          </w:tcPr>
          <w:p w14:paraId="43CFEC66">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p>
        </w:tc>
        <w:tc>
          <w:tcPr>
            <w:tcW w:w="597" w:type="pct"/>
            <w:tcBorders>
              <w:top w:val="single" w:color="auto" w:sz="4" w:space="0"/>
              <w:left w:val="single" w:color="auto" w:sz="4" w:space="0"/>
              <w:right w:val="single" w:color="auto" w:sz="4" w:space="0"/>
            </w:tcBorders>
            <w:vAlign w:val="center"/>
          </w:tcPr>
          <w:p w14:paraId="25B6B127">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default" w:ascii="宋体" w:hAnsi="宋体" w:eastAsia="宋体" w:cs="宋体"/>
                <w:b w:val="0"/>
                <w:bCs w:val="0"/>
                <w:color w:val="000000" w:themeColor="text1"/>
                <w:sz w:val="21"/>
                <w:szCs w:val="21"/>
                <w:lang w:val="en-US"/>
                <w14:textFill>
                  <w14:solidFill>
                    <w14:schemeClr w14:val="tx1"/>
                  </w14:solidFill>
                </w14:textFill>
              </w:rPr>
              <w:t>维护保养</w:t>
            </w:r>
            <w:r>
              <w:rPr>
                <w:rFonts w:hint="eastAsia" w:ascii="宋体" w:hAnsi="宋体" w:eastAsia="宋体" w:cs="宋体"/>
                <w:b w:val="0"/>
                <w:bCs w:val="0"/>
                <w:color w:val="000000" w:themeColor="text1"/>
                <w:sz w:val="21"/>
                <w:szCs w:val="21"/>
                <w:lang w:val="en-US" w:eastAsia="zh-CN"/>
                <w14:textFill>
                  <w14:solidFill>
                    <w14:schemeClr w14:val="tx1"/>
                  </w14:solidFill>
                </w14:textFill>
              </w:rPr>
              <w:t>、培训方案</w:t>
            </w:r>
          </w:p>
          <w:p w14:paraId="26BE6C80">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200" w:type="pct"/>
            <w:tcBorders>
              <w:top w:val="single" w:color="auto" w:sz="4" w:space="0"/>
              <w:left w:val="single" w:color="auto" w:sz="4" w:space="0"/>
              <w:right w:val="single" w:color="auto" w:sz="4" w:space="0"/>
            </w:tcBorders>
            <w:vAlign w:val="center"/>
          </w:tcPr>
          <w:p w14:paraId="58E0F58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根据</w:t>
            </w:r>
            <w:r>
              <w:rPr>
                <w:rFonts w:hint="eastAsia" w:ascii="宋体" w:hAnsi="宋体" w:eastAsia="宋体" w:cs="宋体"/>
                <w:b w:val="0"/>
                <w:bCs w:val="0"/>
                <w:color w:val="000000" w:themeColor="text1"/>
                <w:sz w:val="21"/>
                <w:szCs w:val="21"/>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14:textFill>
                  <w14:solidFill>
                    <w14:schemeClr w14:val="tx1"/>
                  </w14:solidFill>
                </w14:textFill>
              </w:rPr>
              <w:t>的科学性</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计划安排</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培训措施等方面，评审时按各投标响应横向分析比较</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评议</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综合打分。</w:t>
            </w:r>
          </w:p>
          <w:p w14:paraId="2DE35801">
            <w:pPr>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default" w:ascii="宋体" w:hAnsi="宋体" w:eastAsia="宋体" w:cs="宋体"/>
                <w:b w:val="0"/>
                <w:bCs w:val="0"/>
                <w:color w:val="000000" w:themeColor="text1"/>
                <w:sz w:val="21"/>
                <w:szCs w:val="21"/>
                <w:lang w:val="en-US" w:eastAsia="zh-CN"/>
                <w14:textFill>
                  <w14:solidFill>
                    <w14:schemeClr w14:val="tx1"/>
                  </w14:solidFill>
                </w14:textFill>
              </w:rPr>
              <w:t>对现状的熟悉和理解提供维护服务分析，质量技术保证措施和手段，工器具、设备保证措施，针对性强，与项目实际贴合度高，优于采购需求</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default" w:ascii="宋体" w:hAnsi="宋体" w:eastAsia="宋体" w:cs="宋体"/>
                <w:b w:val="0"/>
                <w:bCs w:val="0"/>
                <w:color w:val="000000" w:themeColor="text1"/>
                <w:sz w:val="21"/>
                <w:szCs w:val="21"/>
                <w:lang w:val="en-US" w:eastAsia="zh-CN"/>
                <w14:textFill>
                  <w14:solidFill>
                    <w14:schemeClr w14:val="tx1"/>
                  </w14:solidFill>
                </w14:textFill>
              </w:rPr>
              <w:t xml:space="preserve">得 </w:t>
            </w: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r>
              <w:rPr>
                <w:rFonts w:hint="default" w:ascii="宋体" w:hAnsi="宋体" w:eastAsia="宋体" w:cs="宋体"/>
                <w:b w:val="0"/>
                <w:bCs w:val="0"/>
                <w:color w:val="000000" w:themeColor="text1"/>
                <w:sz w:val="21"/>
                <w:szCs w:val="21"/>
                <w:lang w:val="en-US" w:eastAsia="zh-CN"/>
                <w14:textFill>
                  <w14:solidFill>
                    <w14:schemeClr w14:val="tx1"/>
                  </w14:solidFill>
                </w14:textFill>
              </w:rPr>
              <w:t>分;</w:t>
            </w:r>
          </w:p>
          <w:p w14:paraId="7BA8FACD">
            <w:pPr>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r>
              <w:rPr>
                <w:rFonts w:hint="default" w:ascii="宋体" w:hAnsi="宋体" w:eastAsia="宋体" w:cs="宋体"/>
                <w:b w:val="0"/>
                <w:bCs w:val="0"/>
                <w:color w:val="000000" w:themeColor="text1"/>
                <w:sz w:val="21"/>
                <w:szCs w:val="21"/>
                <w:lang w:val="en-US" w:eastAsia="zh-CN"/>
                <w14:textFill>
                  <w14:solidFill>
                    <w14:schemeClr w14:val="tx1"/>
                  </w14:solidFill>
                </w14:textFill>
              </w:rPr>
              <w:t>对现状的熟悉和理解提供维护服务分析，质量技术保证措施和手段，工器具、设备保证措施，针对性</w:t>
            </w:r>
            <w:r>
              <w:rPr>
                <w:rFonts w:hint="eastAsia" w:ascii="宋体" w:hAnsi="宋体" w:eastAsia="宋体" w:cs="宋体"/>
                <w:b w:val="0"/>
                <w:bCs w:val="0"/>
                <w:color w:val="000000" w:themeColor="text1"/>
                <w:sz w:val="21"/>
                <w:szCs w:val="21"/>
                <w:lang w:val="en-US" w:eastAsia="zh-CN"/>
                <w14:textFill>
                  <w14:solidFill>
                    <w14:schemeClr w14:val="tx1"/>
                  </w14:solidFill>
                </w14:textFill>
              </w:rPr>
              <w:t>较</w:t>
            </w:r>
            <w:r>
              <w:rPr>
                <w:rFonts w:hint="default" w:ascii="宋体" w:hAnsi="宋体" w:eastAsia="宋体" w:cs="宋体"/>
                <w:b w:val="0"/>
                <w:bCs w:val="0"/>
                <w:color w:val="000000" w:themeColor="text1"/>
                <w:sz w:val="21"/>
                <w:szCs w:val="21"/>
                <w:lang w:val="en-US" w:eastAsia="zh-CN"/>
                <w14:textFill>
                  <w14:solidFill>
                    <w14:schemeClr w14:val="tx1"/>
                  </w14:solidFill>
                </w14:textFill>
              </w:rPr>
              <w:t>强，与项目实际贴合度</w:t>
            </w:r>
            <w:r>
              <w:rPr>
                <w:rFonts w:hint="eastAsia" w:ascii="宋体" w:hAnsi="宋体" w:eastAsia="宋体" w:cs="宋体"/>
                <w:b w:val="0"/>
                <w:bCs w:val="0"/>
                <w:color w:val="000000" w:themeColor="text1"/>
                <w:sz w:val="21"/>
                <w:szCs w:val="21"/>
                <w:lang w:val="en-US" w:eastAsia="zh-CN"/>
                <w14:textFill>
                  <w14:solidFill>
                    <w14:schemeClr w14:val="tx1"/>
                  </w14:solidFill>
                </w14:textFill>
              </w:rPr>
              <w:t>较</w:t>
            </w:r>
            <w:r>
              <w:rPr>
                <w:rFonts w:hint="default" w:ascii="宋体" w:hAnsi="宋体" w:eastAsia="宋体" w:cs="宋体"/>
                <w:b w:val="0"/>
                <w:bCs w:val="0"/>
                <w:color w:val="000000" w:themeColor="text1"/>
                <w:sz w:val="21"/>
                <w:szCs w:val="21"/>
                <w:lang w:val="en-US" w:eastAsia="zh-CN"/>
                <w14:textFill>
                  <w14:solidFill>
                    <w14:schemeClr w14:val="tx1"/>
                  </w14:solidFill>
                </w14:textFill>
              </w:rPr>
              <w:t>高，符合采购需求，得</w:t>
            </w:r>
            <w:r>
              <w:rPr>
                <w:rFonts w:hint="eastAsia" w:ascii="宋体" w:hAnsi="宋体" w:eastAsia="宋体" w:cs="宋体"/>
                <w:b w:val="0"/>
                <w:bCs w:val="0"/>
                <w:color w:val="000000" w:themeColor="text1"/>
                <w:sz w:val="21"/>
                <w:szCs w:val="21"/>
                <w:lang w:val="en-US" w:eastAsia="zh-CN"/>
                <w14:textFill>
                  <w14:solidFill>
                    <w14:schemeClr w14:val="tx1"/>
                  </w14:solidFill>
                </w14:textFill>
              </w:rPr>
              <w:t>4</w:t>
            </w:r>
            <w:r>
              <w:rPr>
                <w:rFonts w:hint="default" w:ascii="宋体" w:hAnsi="宋体" w:eastAsia="宋体" w:cs="宋体"/>
                <w:b w:val="0"/>
                <w:bCs w:val="0"/>
                <w:color w:val="000000" w:themeColor="text1"/>
                <w:sz w:val="21"/>
                <w:szCs w:val="21"/>
                <w:lang w:val="en-US" w:eastAsia="zh-CN"/>
                <w14:textFill>
                  <w14:solidFill>
                    <w14:schemeClr w14:val="tx1"/>
                  </w14:solidFill>
                </w14:textFill>
              </w:rPr>
              <w:t>分;</w:t>
            </w:r>
          </w:p>
          <w:p w14:paraId="40CD2297">
            <w:pPr>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r>
              <w:rPr>
                <w:rFonts w:hint="default" w:ascii="宋体" w:hAnsi="宋体" w:eastAsia="宋体" w:cs="宋体"/>
                <w:b w:val="0"/>
                <w:bCs w:val="0"/>
                <w:color w:val="000000" w:themeColor="text1"/>
                <w:sz w:val="21"/>
                <w:szCs w:val="21"/>
                <w:lang w:val="en-US" w:eastAsia="zh-CN"/>
                <w14:textFill>
                  <w14:solidFill>
                    <w14:schemeClr w14:val="tx1"/>
                  </w14:solidFill>
                </w14:textFill>
              </w:rPr>
              <w:t>对现状的熟悉和理解提供维护服务分析，质量技术保证措施和手段，工器具、设备保证措施，针对性</w:t>
            </w:r>
            <w:r>
              <w:rPr>
                <w:rFonts w:hint="eastAsia" w:ascii="宋体" w:hAnsi="宋体" w:eastAsia="宋体" w:cs="宋体"/>
                <w:b w:val="0"/>
                <w:bCs w:val="0"/>
                <w:color w:val="000000" w:themeColor="text1"/>
                <w:sz w:val="21"/>
                <w:szCs w:val="21"/>
                <w:lang w:val="en-US" w:eastAsia="zh-CN"/>
                <w14:textFill>
                  <w14:solidFill>
                    <w14:schemeClr w14:val="tx1"/>
                  </w14:solidFill>
                </w14:textFill>
              </w:rPr>
              <w:t>较少</w:t>
            </w:r>
            <w:r>
              <w:rPr>
                <w:rFonts w:hint="default"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基本满足</w:t>
            </w:r>
            <w:r>
              <w:rPr>
                <w:rFonts w:hint="default" w:ascii="宋体" w:hAnsi="宋体" w:eastAsia="宋体" w:cs="宋体"/>
                <w:b w:val="0"/>
                <w:bCs w:val="0"/>
                <w:color w:val="000000" w:themeColor="text1"/>
                <w:sz w:val="21"/>
                <w:szCs w:val="21"/>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lang w:val="en-US" w:eastAsia="zh-CN"/>
                <w14:textFill>
                  <w14:solidFill>
                    <w14:schemeClr w14:val="tx1"/>
                  </w14:solidFill>
                </w14:textFill>
              </w:rPr>
              <w:t>，得3分</w:t>
            </w:r>
          </w:p>
          <w:p w14:paraId="1A04A749">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w:t>
            </w:r>
            <w:r>
              <w:rPr>
                <w:rFonts w:hint="default" w:ascii="宋体" w:hAnsi="宋体" w:eastAsia="宋体" w:cs="宋体"/>
                <w:b w:val="0"/>
                <w:bCs w:val="0"/>
                <w:color w:val="000000" w:themeColor="text1"/>
                <w:sz w:val="21"/>
                <w:szCs w:val="21"/>
                <w:lang w:val="en-US" w:eastAsia="zh-CN"/>
                <w14:textFill>
                  <w14:solidFill>
                    <w14:schemeClr w14:val="tx1"/>
                  </w14:solidFill>
                </w14:textFill>
              </w:rPr>
              <w:t>缺项或未提供的不得分。</w:t>
            </w:r>
          </w:p>
        </w:tc>
        <w:tc>
          <w:tcPr>
            <w:tcW w:w="609" w:type="pct"/>
            <w:tcBorders>
              <w:top w:val="single" w:color="auto" w:sz="4" w:space="0"/>
              <w:left w:val="single" w:color="auto" w:sz="4" w:space="0"/>
              <w:right w:val="single" w:color="auto" w:sz="4" w:space="0"/>
            </w:tcBorders>
            <w:vAlign w:val="center"/>
          </w:tcPr>
          <w:p w14:paraId="5D384CE2">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0-</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b/>
                <w:bCs/>
                <w:color w:val="000000" w:themeColor="text1"/>
                <w:sz w:val="24"/>
                <w:szCs w:val="24"/>
                <w14:textFill>
                  <w14:solidFill>
                    <w14:schemeClr w14:val="tx1"/>
                  </w14:solidFill>
                </w14:textFill>
              </w:rPr>
              <w:t>分</w:t>
            </w:r>
          </w:p>
        </w:tc>
      </w:tr>
      <w:tr w14:paraId="56E3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592" w:type="pct"/>
            <w:tcBorders>
              <w:left w:val="single" w:color="auto" w:sz="4" w:space="0"/>
              <w:right w:val="single" w:color="auto" w:sz="4" w:space="0"/>
            </w:tcBorders>
            <w:vAlign w:val="center"/>
          </w:tcPr>
          <w:p w14:paraId="0AD0E68D">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价格分</w:t>
            </w:r>
          </w:p>
          <w:p w14:paraId="615E4638">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u w:val="single"/>
                <w:lang w:val="en-US" w:eastAsia="zh-CN"/>
                <w14:textFill>
                  <w14:solidFill>
                    <w14:schemeClr w14:val="tx1"/>
                  </w14:solidFill>
                </w14:textFill>
              </w:rPr>
              <w:t>9</w:t>
            </w:r>
            <w:r>
              <w:rPr>
                <w:rFonts w:hint="eastAsia" w:asciiTheme="minorEastAsia" w:hAnsiTheme="minorEastAsia" w:eastAsiaTheme="minorEastAsia"/>
                <w:b/>
                <w:bCs/>
                <w:color w:val="000000" w:themeColor="text1"/>
                <w:sz w:val="24"/>
                <w:szCs w:val="24"/>
                <w:u w:val="single"/>
                <w14:textFill>
                  <w14:solidFill>
                    <w14:schemeClr w14:val="tx1"/>
                  </w14:solidFill>
                </w14:textFill>
              </w:rPr>
              <w:t>0</w:t>
            </w:r>
            <w:r>
              <w:rPr>
                <w:rFonts w:hint="eastAsia" w:asciiTheme="minorEastAsia" w:hAnsiTheme="minorEastAsia" w:eastAsiaTheme="minorEastAsia"/>
                <w:b/>
                <w:bCs/>
                <w:color w:val="000000" w:themeColor="text1"/>
                <w:sz w:val="24"/>
                <w:szCs w:val="24"/>
                <w14:textFill>
                  <w14:solidFill>
                    <w14:schemeClr w14:val="tx1"/>
                  </w14:solidFill>
                </w14:textFill>
              </w:rPr>
              <w:t>分）</w:t>
            </w:r>
          </w:p>
        </w:tc>
        <w:tc>
          <w:tcPr>
            <w:tcW w:w="597" w:type="pct"/>
            <w:tcBorders>
              <w:top w:val="single" w:color="auto" w:sz="4" w:space="0"/>
              <w:left w:val="single" w:color="auto" w:sz="4" w:space="0"/>
              <w:right w:val="single" w:color="auto" w:sz="4" w:space="0"/>
            </w:tcBorders>
            <w:vAlign w:val="center"/>
          </w:tcPr>
          <w:p w14:paraId="43AD8B42">
            <w:pPr>
              <w:adjustRightInd w:val="0"/>
              <w:snapToGrid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维保</w:t>
            </w:r>
            <w:r>
              <w:rPr>
                <w:rFonts w:hint="eastAsia" w:ascii="宋体" w:hAnsi="宋体" w:eastAsia="宋体" w:cs="宋体"/>
                <w:color w:val="000000" w:themeColor="text1"/>
                <w14:textFill>
                  <w14:solidFill>
                    <w14:schemeClr w14:val="tx1"/>
                  </w14:solidFill>
                </w14:textFill>
              </w:rPr>
              <w:t>报价</w:t>
            </w:r>
          </w:p>
          <w:p w14:paraId="5F1E22E0">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0分）</w:t>
            </w:r>
          </w:p>
        </w:tc>
        <w:tc>
          <w:tcPr>
            <w:tcW w:w="3200" w:type="pct"/>
            <w:tcBorders>
              <w:top w:val="single" w:color="auto" w:sz="4" w:space="0"/>
              <w:left w:val="single" w:color="auto" w:sz="4" w:space="0"/>
              <w:right w:val="single" w:color="auto" w:sz="4" w:space="0"/>
            </w:tcBorders>
            <w:vAlign w:val="center"/>
          </w:tcPr>
          <w:p w14:paraId="55167F30">
            <w:pPr>
              <w:adjustRightInd w:val="0"/>
              <w:snapToGrid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招标人设置投标报价最高限价，各投标人有效报价不得高于本项目设置的最高限价,否则，其投标文件按无效标处理。</w:t>
            </w:r>
          </w:p>
          <w:p w14:paraId="53D7C4BA">
            <w:pPr>
              <w:numPr>
                <w:ilvl w:val="0"/>
                <w:numId w:val="0"/>
              </w:numPr>
              <w:adjustRightInd w:val="0"/>
              <w:snapToGrid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kern w:val="2"/>
                <w:sz w:val="21"/>
                <w:lang w:val="en-US" w:eastAsia="zh-CN" w:bidi="ar-SA"/>
                <w14:textFill>
                  <w14:solidFill>
                    <w14:schemeClr w14:val="tx1"/>
                  </w14:solidFill>
                </w14:textFill>
              </w:rPr>
              <w:t>1.</w:t>
            </w:r>
            <w:r>
              <w:rPr>
                <w:rFonts w:hint="eastAsia" w:ascii="宋体" w:hAnsi="宋体" w:eastAsia="宋体" w:cs="宋体"/>
                <w:b/>
                <w:bCs/>
                <w:color w:val="000000" w:themeColor="text1"/>
                <w14:textFill>
                  <w14:solidFill>
                    <w14:schemeClr w14:val="tx1"/>
                  </w14:solidFill>
                </w14:textFill>
              </w:rPr>
              <w:t>评标基准价=通过详细评审的所有有效投标人报价的最低价</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其维保报价得分为满分80分</w:t>
            </w:r>
            <w:r>
              <w:rPr>
                <w:rFonts w:hint="eastAsia" w:ascii="宋体" w:hAnsi="宋体" w:eastAsia="宋体" w:cs="宋体"/>
                <w:color w:val="000000" w:themeColor="text1"/>
                <w:lang w:val="en-US" w:eastAsia="zh-CN"/>
                <w14:textFill>
                  <w14:solidFill>
                    <w14:schemeClr w14:val="tx1"/>
                  </w14:solidFill>
                </w14:textFill>
              </w:rPr>
              <w:t>；</w:t>
            </w:r>
          </w:p>
          <w:p w14:paraId="7F587C47">
            <w:pPr>
              <w:numPr>
                <w:ilvl w:val="0"/>
                <w:numId w:val="0"/>
              </w:numPr>
              <w:adjustRightInd w:val="0"/>
              <w:snapToGrid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2.</w:t>
            </w:r>
            <w:r>
              <w:rPr>
                <w:rFonts w:hint="eastAsia" w:ascii="宋体" w:hAnsi="宋体" w:eastAsia="宋体" w:cs="宋体"/>
                <w:b/>
                <w:bCs/>
                <w:color w:val="000000" w:themeColor="text1"/>
                <w14:textFill>
                  <w14:solidFill>
                    <w14:schemeClr w14:val="tx1"/>
                  </w14:solidFill>
                </w14:textFill>
              </w:rPr>
              <w:t>各投标人的</w:t>
            </w:r>
            <w:r>
              <w:rPr>
                <w:rFonts w:hint="eastAsia" w:ascii="宋体" w:hAnsi="宋体" w:eastAsia="宋体" w:cs="宋体"/>
                <w:b/>
                <w:bCs/>
                <w:color w:val="000000" w:themeColor="text1"/>
                <w:lang w:val="en-US" w:eastAsia="zh-CN"/>
                <w14:textFill>
                  <w14:solidFill>
                    <w14:schemeClr w14:val="tx1"/>
                  </w14:solidFill>
                </w14:textFill>
              </w:rPr>
              <w:t>投标</w:t>
            </w:r>
            <w:r>
              <w:rPr>
                <w:rFonts w:hint="eastAsia" w:ascii="宋体" w:hAnsi="宋体" w:eastAsia="宋体" w:cs="宋体"/>
                <w:b/>
                <w:bCs/>
                <w:color w:val="000000" w:themeColor="text1"/>
                <w14:textFill>
                  <w14:solidFill>
                    <w14:schemeClr w14:val="tx1"/>
                  </w14:solidFill>
                </w14:textFill>
              </w:rPr>
              <w:t>报价得分=</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评标基准价/投标报价</w:t>
            </w:r>
            <w:r>
              <w:rPr>
                <w:rFonts w:hint="eastAsia" w:ascii="宋体" w:hAnsi="宋体" w:eastAsia="宋体" w:cs="宋体"/>
                <w:b/>
                <w:bCs/>
                <w:color w:val="000000" w:themeColor="text1"/>
                <w:lang w:eastAsia="zh-CN"/>
                <w14:textFill>
                  <w14:solidFill>
                    <w14:schemeClr w14:val="tx1"/>
                  </w14:solidFill>
                </w14:textFill>
              </w:rPr>
              <w:t>）</w:t>
            </w: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80%</w:t>
            </w: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100分</w:t>
            </w:r>
            <w:r>
              <w:rPr>
                <w:rFonts w:hint="eastAsia" w:ascii="宋体" w:hAnsi="宋体" w:eastAsia="宋体" w:cs="宋体"/>
                <w:color w:val="000000" w:themeColor="text1"/>
                <w14:textFill>
                  <w14:solidFill>
                    <w14:schemeClr w14:val="tx1"/>
                  </w14:solidFill>
                </w14:textFill>
              </w:rPr>
              <w:t>，在计算报价得分时，取两位小数，小数点后第三位四舍五入</w:t>
            </w:r>
            <w:r>
              <w:rPr>
                <w:rFonts w:hint="eastAsia" w:ascii="宋体" w:hAnsi="宋体" w:eastAsia="宋体" w:cs="宋体"/>
                <w:color w:val="000000" w:themeColor="text1"/>
                <w:lang w:val="en-US" w:eastAsia="zh-CN"/>
                <w14:textFill>
                  <w14:solidFill>
                    <w14:schemeClr w14:val="tx1"/>
                  </w14:solidFill>
                </w14:textFill>
              </w:rPr>
              <w:t>；</w:t>
            </w:r>
          </w:p>
          <w:p w14:paraId="0B8C07B1">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本项分值由评标委员会负责组织计算。</w:t>
            </w:r>
          </w:p>
        </w:tc>
        <w:tc>
          <w:tcPr>
            <w:tcW w:w="609" w:type="pct"/>
            <w:tcBorders>
              <w:top w:val="single" w:color="auto" w:sz="4" w:space="0"/>
              <w:left w:val="single" w:color="auto" w:sz="4" w:space="0"/>
              <w:right w:val="single" w:color="auto" w:sz="4" w:space="0"/>
            </w:tcBorders>
            <w:vAlign w:val="center"/>
          </w:tcPr>
          <w:p w14:paraId="1BBE8BD0">
            <w:pPr>
              <w:spacing w:line="360" w:lineRule="auto"/>
              <w:jc w:val="center"/>
              <w:rPr>
                <w:rFonts w:hint="default"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0-80分</w:t>
            </w:r>
          </w:p>
        </w:tc>
      </w:tr>
      <w:tr w14:paraId="09F3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jc w:val="center"/>
        </w:trPr>
        <w:tc>
          <w:tcPr>
            <w:tcW w:w="592" w:type="pct"/>
            <w:tcBorders>
              <w:left w:val="single" w:color="auto" w:sz="4" w:space="0"/>
              <w:right w:val="single" w:color="auto" w:sz="4" w:space="0"/>
            </w:tcBorders>
            <w:vAlign w:val="center"/>
          </w:tcPr>
          <w:p w14:paraId="63880DB3">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p>
        </w:tc>
        <w:tc>
          <w:tcPr>
            <w:tcW w:w="597" w:type="pct"/>
            <w:tcBorders>
              <w:top w:val="single" w:color="auto" w:sz="4" w:space="0"/>
              <w:left w:val="single" w:color="auto" w:sz="4" w:space="0"/>
              <w:right w:val="single" w:color="auto" w:sz="4" w:space="0"/>
            </w:tcBorders>
            <w:vAlign w:val="center"/>
          </w:tcPr>
          <w:p w14:paraId="7C361C67">
            <w:pPr>
              <w:adjustRightInd w:val="0"/>
              <w:snapToGrid w:val="0"/>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计费类器材、配件折扣率</w:t>
            </w:r>
          </w:p>
          <w:p w14:paraId="77F7F32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0分）</w:t>
            </w:r>
          </w:p>
        </w:tc>
        <w:tc>
          <w:tcPr>
            <w:tcW w:w="3200" w:type="pct"/>
            <w:tcBorders>
              <w:top w:val="single" w:color="auto" w:sz="4" w:space="0"/>
              <w:left w:val="single" w:color="auto" w:sz="4" w:space="0"/>
              <w:right w:val="single" w:color="auto" w:sz="4" w:space="0"/>
            </w:tcBorders>
            <w:vAlign w:val="center"/>
          </w:tcPr>
          <w:p w14:paraId="26271C32">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计费类器材、配件部分【</w:t>
            </w:r>
            <w:r>
              <w:rPr>
                <w:rFonts w:hint="eastAsia" w:ascii="宋体" w:hAnsi="宋体" w:eastAsia="宋体"/>
                <w:b/>
                <w:bCs/>
                <w:color w:val="000000" w:themeColor="text1"/>
                <w:sz w:val="24"/>
                <w:szCs w:val="24"/>
                <w:lang w:val="en-US" w:eastAsia="zh-CN"/>
                <w14:textFill>
                  <w14:solidFill>
                    <w14:schemeClr w14:val="tx1"/>
                  </w14:solidFill>
                </w14:textFill>
              </w:rPr>
              <w:t>见附件2：消防器材、配件单价表2025（计费类）</w:t>
            </w:r>
            <w:r>
              <w:rPr>
                <w:rFonts w:hint="eastAsia" w:ascii="宋体" w:hAnsi="宋体" w:eastAsia="宋体"/>
                <w:color w:val="000000" w:themeColor="text1"/>
                <w:sz w:val="24"/>
                <w:szCs w:val="24"/>
                <w:lang w:val="en-US" w:eastAsia="zh-CN"/>
                <w14:textFill>
                  <w14:solidFill>
                    <w14:schemeClr w14:val="tx1"/>
                  </w14:solidFill>
                </w14:textFill>
              </w:rPr>
              <w:t>】投标人需采用折扣率的形式进行报价，价格分统一采用低价优先法，即满足招标文件要求且折扣率投标价格最低，具体评审标准如下：</w:t>
            </w:r>
          </w:p>
          <w:p w14:paraId="5594391A">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1.有效折扣率报价：</w:t>
            </w:r>
            <w:r>
              <w:rPr>
                <w:rFonts w:hint="eastAsia" w:ascii="宋体" w:hAnsi="宋体" w:eastAsia="宋体"/>
                <w:color w:val="000000" w:themeColor="text1"/>
                <w:sz w:val="24"/>
                <w:szCs w:val="24"/>
                <w:lang w:val="en-US" w:eastAsia="zh-CN"/>
                <w14:textFill>
                  <w14:solidFill>
                    <w14:schemeClr w14:val="tx1"/>
                  </w14:solidFill>
                </w14:textFill>
              </w:rPr>
              <w:t>大于0且 ≤ 100%（100%为无折扣）；</w:t>
            </w:r>
          </w:p>
          <w:p w14:paraId="39B61E8B">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2.评标基准价：</w:t>
            </w:r>
            <w:r>
              <w:rPr>
                <w:rFonts w:hint="eastAsia" w:ascii="宋体" w:hAnsi="宋体" w:eastAsia="宋体"/>
                <w:color w:val="000000" w:themeColor="text1"/>
                <w:sz w:val="24"/>
                <w:szCs w:val="24"/>
                <w:lang w:val="en-US" w:eastAsia="zh-CN"/>
                <w14:textFill>
                  <w14:solidFill>
                    <w14:schemeClr w14:val="tx1"/>
                  </w14:solidFill>
                </w14:textFill>
              </w:rPr>
              <w:t>所有通过评审的有效投标人报价最低的折扣率（即最优惠的折扣，如80%优于85%），此基准价得分为满分10分。</w:t>
            </w:r>
          </w:p>
          <w:p w14:paraId="4AAAF1DD">
            <w:pPr>
              <w:pStyle w:val="2"/>
              <w:rPr>
                <w:rFonts w:hint="default"/>
                <w:highlight w:val="none"/>
                <w:lang w:val="en-US" w:eastAsia="zh-CN"/>
              </w:rPr>
            </w:pPr>
            <w:r>
              <w:rPr>
                <w:rFonts w:hint="eastAsia" w:ascii="宋体" w:hAnsi="宋体" w:eastAsia="宋体"/>
                <w:b/>
                <w:bCs w:val="0"/>
                <w:color w:val="000000" w:themeColor="text1"/>
                <w:sz w:val="24"/>
                <w:szCs w:val="24"/>
                <w:highlight w:val="none"/>
                <w:lang w:val="en-US" w:eastAsia="zh-CN"/>
                <w14:textFill>
                  <w14:solidFill>
                    <w14:schemeClr w14:val="tx1"/>
                  </w14:solidFill>
                </w14:textFill>
              </w:rPr>
              <w:t>注：附件2计费类注明的消防器材、配件费用结算方式见P21</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w:t>
            </w:r>
          </w:p>
          <w:p w14:paraId="0888803C">
            <w:pPr>
              <w:rPr>
                <w:rFonts w:hint="eastAsia"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3.其他投标人的价格分统一按照下列公式计算：</w:t>
            </w:r>
          </w:p>
          <w:p w14:paraId="5DFB8E86">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投标报价（折扣率）得分＝（评标基准价/投标折扣率）× 10％×100</w:t>
            </w:r>
          </w:p>
        </w:tc>
        <w:tc>
          <w:tcPr>
            <w:tcW w:w="609" w:type="pct"/>
            <w:tcBorders>
              <w:top w:val="single" w:color="auto" w:sz="4" w:space="0"/>
              <w:left w:val="single" w:color="auto" w:sz="4" w:space="0"/>
              <w:right w:val="single" w:color="auto" w:sz="4" w:space="0"/>
            </w:tcBorders>
            <w:vAlign w:val="center"/>
          </w:tcPr>
          <w:p w14:paraId="5FA68F55">
            <w:pPr>
              <w:spacing w:line="360" w:lineRule="auto"/>
              <w:jc w:val="center"/>
              <w:rPr>
                <w:rFonts w:hint="default"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0-10分</w:t>
            </w:r>
          </w:p>
        </w:tc>
      </w:tr>
    </w:tbl>
    <w:p w14:paraId="6B003FA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2.3.3分值汇总</w:t>
      </w:r>
    </w:p>
    <w:p w14:paraId="0397B1B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（1）评标委员会各成员应当独立对每个有效投标人的投标文件进行评分，并汇总每个投标人的得分。取各位评委评分之平均值，四舍五入保留至小数点后两位数，得到该投标人的</w:t>
      </w:r>
      <w:r>
        <w:rPr>
          <w:rFonts w:hint="eastAsia" w:asciiTheme="minorEastAsia" w:hAnsiTheme="minorEastAsia" w:eastAsiaTheme="minorEastAsia"/>
          <w:color w:val="000000" w:themeColor="text1"/>
          <w:sz w:val="24"/>
          <w:lang w:val="en-US" w:eastAsia="zh-CN"/>
          <w14:textFill>
            <w14:solidFill>
              <w14:schemeClr w14:val="tx1"/>
            </w14:solidFill>
          </w14:textFill>
        </w:rPr>
        <w:t>得</w:t>
      </w:r>
      <w:r>
        <w:rPr>
          <w:rFonts w:hint="eastAsia" w:asciiTheme="minorEastAsia" w:hAnsiTheme="minorEastAsia" w:eastAsiaTheme="minorEastAsia"/>
          <w:color w:val="000000" w:themeColor="text1"/>
          <w:sz w:val="24"/>
          <w14:textFill>
            <w14:solidFill>
              <w14:schemeClr w14:val="tx1"/>
            </w14:solidFill>
          </w14:textFill>
        </w:rPr>
        <w:t>分。</w:t>
      </w:r>
    </w:p>
    <w:p w14:paraId="438DC673">
      <w:pPr>
        <w:spacing w:line="360" w:lineRule="auto"/>
        <w:ind w:firstLine="435"/>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（2）将投标人的技术资信分加上根据上述标准计算出的价格分，即为该投标人的综合总得分。</w:t>
      </w:r>
      <w:bookmarkStart w:id="57" w:name="_Toc4682"/>
    </w:p>
    <w:p w14:paraId="17D4372B">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0C150854">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1DC15481">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5ECE2944">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78F9780E">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613CFB54">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64D3ABAB">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304C5263">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30E1BEC1">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70B12175">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21F7714E">
      <w:pPr>
        <w:widowControl/>
        <w:jc w:val="center"/>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 xml:space="preserve">第五章  </w:t>
      </w:r>
      <w:r>
        <w:rPr>
          <w:rFonts w:asciiTheme="minorEastAsia" w:hAnsiTheme="minorEastAsia" w:eastAsiaTheme="minorEastAsia"/>
          <w:b/>
          <w:color w:val="000000" w:themeColor="text1"/>
          <w:sz w:val="28"/>
          <w14:textFill>
            <w14:solidFill>
              <w14:schemeClr w14:val="tx1"/>
            </w14:solidFill>
          </w14:textFill>
        </w:rPr>
        <w:t>政府采购合同</w:t>
      </w:r>
      <w:bookmarkEnd w:id="57"/>
    </w:p>
    <w:p w14:paraId="2CC27742">
      <w:pPr>
        <w:pStyle w:val="10"/>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bookmarkStart w:id="58" w:name="_Toc22492"/>
    </w:p>
    <w:p w14:paraId="5E4099F3">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59" w:name="_Toc3714"/>
      <w:bookmarkStart w:id="60" w:name="_Toc7291"/>
      <w:r>
        <w:rPr>
          <w:rFonts w:ascii="宋体" w:hAnsi="宋体" w:eastAsia="宋体" w:cs="Times New Roman"/>
          <w:b/>
          <w:color w:val="000000" w:themeColor="text1"/>
          <w:sz w:val="28"/>
          <w:szCs w:val="28"/>
          <w14:textFill>
            <w14:solidFill>
              <w14:schemeClr w14:val="tx1"/>
            </w14:solidFill>
          </w14:textFill>
        </w:rPr>
        <w:t>政府采购合同</w:t>
      </w:r>
      <w:bookmarkEnd w:id="59"/>
      <w:r>
        <w:rPr>
          <w:rFonts w:hint="eastAsia" w:ascii="宋体" w:hAnsi="宋体" w:eastAsia="宋体" w:cs="Times New Roman"/>
          <w:b/>
          <w:color w:val="000000" w:themeColor="text1"/>
          <w:sz w:val="28"/>
          <w:szCs w:val="28"/>
          <w14:textFill>
            <w14:solidFill>
              <w14:schemeClr w14:val="tx1"/>
            </w14:solidFill>
          </w14:textFill>
        </w:rPr>
        <w:t>（参考）</w:t>
      </w:r>
      <w:bookmarkEnd w:id="60"/>
      <w:r>
        <w:rPr>
          <w:rFonts w:hint="eastAsia" w:ascii="宋体" w:hAnsi="宋体" w:eastAsia="宋体" w:cs="Times New Roman"/>
          <w:b/>
          <w:color w:val="000000" w:themeColor="text1"/>
          <w:sz w:val="28"/>
          <w:szCs w:val="28"/>
          <w14:textFill>
            <w14:solidFill>
              <w14:schemeClr w14:val="tx1"/>
            </w14:solidFill>
          </w14:textFill>
        </w:rPr>
        <w:t xml:space="preserve"> </w:t>
      </w:r>
    </w:p>
    <w:p w14:paraId="6F5EE3D4">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61" w:name="_Toc8560"/>
      <w:bookmarkStart w:id="62" w:name="_Toc4812"/>
      <w:r>
        <w:rPr>
          <w:rFonts w:hint="eastAsia" w:ascii="宋体" w:hAnsi="宋体" w:eastAsia="宋体" w:cs="Times New Roman"/>
          <w:b/>
          <w:color w:val="000000" w:themeColor="text1"/>
          <w:sz w:val="28"/>
          <w:szCs w:val="28"/>
          <w14:textFill>
            <w14:solidFill>
              <w14:schemeClr w14:val="tx1"/>
            </w14:solidFill>
          </w14:textFill>
        </w:rPr>
        <w:t>（服务类）</w:t>
      </w:r>
      <w:bookmarkEnd w:id="61"/>
      <w:bookmarkEnd w:id="62"/>
    </w:p>
    <w:p w14:paraId="26573314">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7A4F51DD">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5004960D">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63" w:name="_Toc2449"/>
      <w:bookmarkStart w:id="64" w:name="_Toc236"/>
      <w:r>
        <w:rPr>
          <w:rFonts w:hint="eastAsia" w:ascii="宋体" w:hAnsi="宋体" w:eastAsia="宋体" w:cs="Times New Roman"/>
          <w:b/>
          <w:color w:val="000000" w:themeColor="text1"/>
          <w:sz w:val="28"/>
          <w:szCs w:val="28"/>
          <w14:textFill>
            <w14:solidFill>
              <w14:schemeClr w14:val="tx1"/>
            </w14:solidFill>
          </w14:textFill>
        </w:rPr>
        <w:t xml:space="preserve">第一部分 </w:t>
      </w:r>
      <w:bookmarkEnd w:id="63"/>
      <w:r>
        <w:rPr>
          <w:rFonts w:hint="eastAsia" w:ascii="宋体" w:hAnsi="宋体" w:eastAsia="宋体" w:cs="Times New Roman"/>
          <w:b/>
          <w:color w:val="000000" w:themeColor="text1"/>
          <w:sz w:val="28"/>
          <w:szCs w:val="28"/>
          <w14:textFill>
            <w14:solidFill>
              <w14:schemeClr w14:val="tx1"/>
            </w14:solidFill>
          </w14:textFill>
        </w:rPr>
        <w:t>合同协议</w:t>
      </w:r>
      <w:bookmarkEnd w:id="64"/>
    </w:p>
    <w:p w14:paraId="5AFD59D9">
      <w:pPr>
        <w:spacing w:line="360" w:lineRule="auto"/>
        <w:jc w:val="center"/>
        <w:outlineLvl w:val="1"/>
        <w:rPr>
          <w:rFonts w:hint="eastAsia" w:ascii="宋体" w:hAnsi="宋体" w:eastAsia="宋体"/>
          <w:b/>
          <w:color w:val="000000" w:themeColor="text1"/>
          <w:sz w:val="24"/>
          <w14:textFill>
            <w14:solidFill>
              <w14:schemeClr w14:val="tx1"/>
            </w14:solidFill>
          </w14:textFill>
        </w:rPr>
      </w:pPr>
    </w:p>
    <w:p w14:paraId="446CAD9A">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184CC9A2">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54E019C7">
      <w:pPr>
        <w:pStyle w:val="10"/>
        <w:rPr>
          <w:rFonts w:hint="eastAsia"/>
          <w:color w:val="000000" w:themeColor="text1"/>
          <w14:textFill>
            <w14:solidFill>
              <w14:schemeClr w14:val="tx1"/>
            </w14:solidFill>
          </w14:textFill>
        </w:rPr>
      </w:pPr>
    </w:p>
    <w:p w14:paraId="3449BD89">
      <w:pPr>
        <w:pStyle w:val="10"/>
        <w:rPr>
          <w:rFonts w:hint="eastAsia"/>
          <w:color w:val="000000" w:themeColor="text1"/>
          <w14:textFill>
            <w14:solidFill>
              <w14:schemeClr w14:val="tx1"/>
            </w14:solidFill>
          </w14:textFill>
        </w:rPr>
      </w:pPr>
    </w:p>
    <w:p w14:paraId="0BF90D3C">
      <w:pPr>
        <w:spacing w:before="120" w:line="480" w:lineRule="auto"/>
        <w:ind w:left="960"/>
        <w:rPr>
          <w:rFonts w:hint="eastAsia" w:ascii="宋体" w:hAnsi="宋体" w:eastAsia="宋体" w:cs="Times New Roman"/>
          <w:color w:val="000000" w:themeColor="text1"/>
          <w:sz w:val="24"/>
          <w:szCs w:val="24"/>
          <w:u w:val="single"/>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项目名称：</w:t>
      </w:r>
      <w:r>
        <w:rPr>
          <w:rFonts w:hint="eastAsia" w:ascii="宋体" w:hAnsi="宋体" w:eastAsia="宋体" w:cs="Times New Roman"/>
          <w:color w:val="000000" w:themeColor="text1"/>
          <w:sz w:val="24"/>
          <w:szCs w:val="24"/>
          <w:u w:val="single"/>
          <w:lang w:eastAsia="zh-CN"/>
          <w14:textFill>
            <w14:solidFill>
              <w14:schemeClr w14:val="tx1"/>
            </w14:solidFill>
          </w14:textFill>
        </w:rPr>
        <w:t>滁州市第一人民医院消防系统维保项目（二次）</w:t>
      </w:r>
    </w:p>
    <w:p w14:paraId="6C7D6FD1">
      <w:pPr>
        <w:spacing w:line="480" w:lineRule="auto"/>
        <w:ind w:firstLine="960" w:firstLineChars="4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项目编号：</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甲方（采购人）：</w:t>
      </w:r>
      <w:r>
        <w:rPr>
          <w:rFonts w:hint="eastAsia" w:ascii="宋体" w:hAnsi="宋体" w:eastAsia="宋体" w:cs="Times New Roman"/>
          <w:color w:val="000000" w:themeColor="text1"/>
          <w:sz w:val="24"/>
          <w:szCs w:val="24"/>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乙方（中标人）：</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签订地：</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签订日期：</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年</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月</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14:textFill>
            <w14:solidFill>
              <w14:schemeClr w14:val="tx1"/>
            </w14:solidFill>
          </w14:textFill>
        </w:rPr>
      </w:pPr>
    </w:p>
    <w:p w14:paraId="7F8D7B74">
      <w:pPr>
        <w:widowControl/>
        <w:jc w:val="left"/>
        <w:rPr>
          <w:rFonts w:hint="eastAsia"/>
          <w:color w:val="000000" w:themeColor="text1"/>
          <w14:textFill>
            <w14:solidFill>
              <w14:schemeClr w14:val="tx1"/>
            </w14:solidFill>
          </w14:textFill>
        </w:rPr>
      </w:pPr>
      <w:r>
        <w:rPr>
          <w:rFonts w:ascii="仿宋" w:hAnsi="仿宋" w:eastAsia="仿宋" w:cs="仿宋"/>
          <w:b/>
          <w:bCs/>
          <w:color w:val="000000" w:themeColor="text1"/>
          <w:kern w:val="0"/>
          <w:sz w:val="24"/>
          <w:szCs w:val="24"/>
          <w:lang w:bidi="ar"/>
          <w14:textFill>
            <w14:solidFill>
              <w14:schemeClr w14:val="tx1"/>
            </w14:solidFill>
          </w14:textFill>
        </w:rPr>
        <w:t>注：本合同仅为合同的参考文本，合同签订双方可根据项目的具体要求进行修订。</w:t>
      </w:r>
    </w:p>
    <w:p w14:paraId="71C6177C">
      <w:pPr>
        <w:widowControl/>
        <w:jc w:val="left"/>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u w:val="single"/>
          <w14:textFill>
            <w14:solidFill>
              <w14:schemeClr w14:val="tx1"/>
            </w14:solidFill>
          </w14:textFill>
        </w:rPr>
        <w:t>滁州市第一人民医院</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Times New Roman"/>
          <w:color w:val="000000" w:themeColor="text1"/>
          <w:sz w:val="24"/>
          <w:szCs w:val="24"/>
          <w:lang w:val="zh-CN"/>
          <w14:textFill>
            <w14:solidFill>
              <w14:schemeClr w14:val="tx1"/>
            </w14:solidFill>
          </w14:textFill>
        </w:rPr>
        <w:t>以下简称：甲方</w:t>
      </w:r>
      <w:r>
        <w:rPr>
          <w:rFonts w:hint="eastAsia" w:ascii="宋体" w:hAnsi="宋体" w:eastAsia="宋体"/>
          <w:color w:val="000000" w:themeColor="text1"/>
          <w:sz w:val="24"/>
          <w14:textFill>
            <w14:solidFill>
              <w14:schemeClr w14:val="tx1"/>
            </w14:solidFill>
          </w14:textFill>
        </w:rPr>
        <w:t>）通过</w:t>
      </w:r>
      <w:r>
        <w:rPr>
          <w:rFonts w:hint="eastAsia" w:ascii="宋体" w:hAnsi="宋体" w:eastAsia="宋体"/>
          <w:color w:val="000000" w:themeColor="text1"/>
          <w:sz w:val="24"/>
          <w:u w:val="single"/>
          <w:lang w:eastAsia="zh-CN"/>
          <w14:textFill>
            <w14:solidFill>
              <w14:schemeClr w14:val="tx1"/>
            </w14:solidFill>
          </w14:textFill>
        </w:rPr>
        <w:t>滁州市第一人民医院消防系统维保项目（二次）</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组织的</w:t>
      </w:r>
      <w:r>
        <w:rPr>
          <w:rFonts w:hint="eastAsia" w:ascii="宋体" w:hAnsi="宋体" w:eastAsia="宋体"/>
          <w:color w:val="000000" w:themeColor="text1"/>
          <w:sz w:val="24"/>
          <w:u w:val="single"/>
          <w14:textFill>
            <w14:solidFill>
              <w14:schemeClr w14:val="tx1"/>
            </w14:solidFill>
          </w14:textFill>
        </w:rPr>
        <w:t>公开招标</w:t>
      </w:r>
      <w:r>
        <w:rPr>
          <w:rFonts w:hint="eastAsia" w:ascii="宋体" w:hAnsi="宋体" w:eastAsia="宋体"/>
          <w:color w:val="000000" w:themeColor="text1"/>
          <w:sz w:val="24"/>
          <w14:textFill>
            <w14:solidFill>
              <w14:schemeClr w14:val="tx1"/>
            </w14:solidFill>
          </w14:textFill>
        </w:rPr>
        <w:t>方式采购活动，经</w:t>
      </w:r>
      <w:r>
        <w:rPr>
          <w:rFonts w:hint="eastAsia" w:ascii="宋体" w:hAnsi="宋体" w:eastAsia="宋体"/>
          <w:color w:val="000000" w:themeColor="text1"/>
          <w:sz w:val="24"/>
          <w:u w:val="single"/>
          <w14:textFill>
            <w14:solidFill>
              <w14:schemeClr w14:val="tx1"/>
            </w14:solidFill>
          </w14:textFill>
        </w:rPr>
        <w:t>评标委员会</w:t>
      </w:r>
      <w:r>
        <w:rPr>
          <w:rFonts w:hint="eastAsia" w:ascii="宋体" w:hAnsi="宋体" w:eastAsia="宋体"/>
          <w:color w:val="000000" w:themeColor="text1"/>
          <w:sz w:val="24"/>
          <w14:textFill>
            <w14:solidFill>
              <w14:schemeClr w14:val="tx1"/>
            </w14:solidFill>
          </w14:textFill>
        </w:rPr>
        <w:t>评定，（</w:t>
      </w:r>
      <w:r>
        <w:rPr>
          <w:rFonts w:hint="eastAsia" w:ascii="宋体" w:hAnsi="宋体" w:eastAsia="宋体" w:cs="Times New Roman"/>
          <w:color w:val="000000" w:themeColor="text1"/>
          <w:sz w:val="24"/>
          <w:szCs w:val="24"/>
          <w:lang w:val="zh-CN"/>
          <w14:textFill>
            <w14:solidFill>
              <w14:schemeClr w14:val="tx1"/>
            </w14:solidFill>
          </w14:textFill>
        </w:rPr>
        <w:t>以下简称：乙方</w:t>
      </w:r>
      <w:r>
        <w:rPr>
          <w:rFonts w:hint="eastAsia" w:ascii="宋体" w:hAnsi="宋体" w:eastAsia="宋体"/>
          <w:color w:val="000000" w:themeColor="text1"/>
          <w:sz w:val="24"/>
          <w14:textFill>
            <w14:solidFill>
              <w14:schemeClr w14:val="tx1"/>
            </w14:solidFill>
          </w14:textFill>
        </w:rPr>
        <w:t>）为本项目中标人，现</w:t>
      </w:r>
      <w:r>
        <w:rPr>
          <w:rFonts w:hint="eastAsia" w:ascii="宋体" w:hAnsi="宋体" w:eastAsia="宋体" w:cs="Times New Roman"/>
          <w:color w:val="000000" w:themeColor="text1"/>
          <w:sz w:val="24"/>
          <w:szCs w:val="24"/>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65" w:name="_Toc3029"/>
      <w:bookmarkStart w:id="66" w:name="_Toc2232"/>
      <w:bookmarkStart w:id="67" w:name="_Toc24059"/>
      <w:r>
        <w:rPr>
          <w:rFonts w:hint="eastAsia" w:ascii="宋体" w:hAnsi="宋体" w:eastAsia="宋体" w:cs="Times New Roman"/>
          <w:b/>
          <w:bCs/>
          <w:color w:val="000000" w:themeColor="text1"/>
          <w:sz w:val="24"/>
          <w:szCs w:val="24"/>
          <w:lang w:val="zh-CN"/>
          <w14:textFill>
            <w14:solidFill>
              <w14:schemeClr w14:val="tx1"/>
            </w14:solidFill>
          </w14:textFill>
        </w:rPr>
        <w:t>1.1合同组成部分</w:t>
      </w:r>
      <w:bookmarkEnd w:id="65"/>
      <w:bookmarkEnd w:id="66"/>
      <w:bookmarkEnd w:id="67"/>
    </w:p>
    <w:p w14:paraId="5C1A95E4">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68" w:name="_Toc6311"/>
      <w:bookmarkStart w:id="69" w:name="_Toc18585"/>
      <w:bookmarkStart w:id="70" w:name="_Toc22185"/>
      <w:bookmarkStart w:id="71" w:name="_Toc6773"/>
      <w:bookmarkStart w:id="72" w:name="_Toc2918"/>
      <w:r>
        <w:rPr>
          <w:rFonts w:hint="eastAsia" w:ascii="宋体" w:hAnsi="宋体" w:eastAsia="宋体" w:cs="Times New Roman"/>
          <w:b/>
          <w:bCs/>
          <w:color w:val="000000" w:themeColor="text1"/>
          <w:sz w:val="24"/>
          <w:szCs w:val="24"/>
          <w:lang w:val="zh-CN"/>
          <w14:textFill>
            <w14:solidFill>
              <w14:schemeClr w14:val="tx1"/>
            </w14:solidFill>
          </w14:textFill>
        </w:rPr>
        <w:t xml:space="preserve">1.2 </w:t>
      </w:r>
      <w:bookmarkEnd w:id="68"/>
      <w:bookmarkEnd w:id="69"/>
      <w:bookmarkEnd w:id="70"/>
      <w:bookmarkEnd w:id="71"/>
      <w:bookmarkEnd w:id="72"/>
      <w:r>
        <w:rPr>
          <w:rFonts w:hint="eastAsia" w:ascii="宋体" w:hAnsi="宋体" w:eastAsia="宋体" w:cs="Times New Roman"/>
          <w:b/>
          <w:bCs/>
          <w:color w:val="000000" w:themeColor="text1"/>
          <w:sz w:val="24"/>
          <w:szCs w:val="24"/>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1.2.1服务</w:t>
      </w:r>
      <w:r>
        <w:rPr>
          <w:rFonts w:ascii="宋体" w:hAnsi="宋体" w:eastAsia="宋体" w:cs="Times New Roman"/>
          <w:color w:val="000000" w:themeColor="text1"/>
          <w:sz w:val="24"/>
          <w:szCs w:val="24"/>
          <w14:textFill>
            <w14:solidFill>
              <w14:schemeClr w14:val="tx1"/>
            </w14:solidFill>
          </w14:textFill>
        </w:rPr>
        <w:t>名称：</w:t>
      </w:r>
      <w:r>
        <w:rPr>
          <w:rFonts w:hint="eastAsia" w:ascii="宋体" w:hAnsi="宋体" w:eastAsia="宋体" w:cs="Times New Roman"/>
          <w:color w:val="000000" w:themeColor="text1"/>
          <w:sz w:val="24"/>
          <w:szCs w:val="24"/>
          <w:u w:val="single"/>
          <w:lang w:eastAsia="zh-CN"/>
          <w14:textFill>
            <w14:solidFill>
              <w14:schemeClr w14:val="tx1"/>
            </w14:solidFill>
          </w14:textFill>
        </w:rPr>
        <w:t>滁州市第一人民医院消防系统维保项目（二次）</w:t>
      </w:r>
      <w:r>
        <w:rPr>
          <w:rFonts w:hint="eastAsia" w:ascii="宋体" w:hAnsi="宋体" w:eastAsia="宋体" w:cs="Times New Roman"/>
          <w:color w:val="000000" w:themeColor="text1"/>
          <w:sz w:val="24"/>
          <w:szCs w:val="24"/>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1.2.2服务内容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1.2.3服务质量：</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73" w:name="_Toc21631"/>
      <w:bookmarkStart w:id="74" w:name="_Toc23292"/>
      <w:bookmarkStart w:id="75" w:name="_Toc21551"/>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lang w:val="zh-CN"/>
          <w14:textFill>
            <w14:solidFill>
              <w14:schemeClr w14:val="tx1"/>
            </w14:solidFill>
          </w14:textFill>
        </w:rPr>
        <w:t>价款</w:t>
      </w:r>
      <w:bookmarkEnd w:id="73"/>
      <w:bookmarkEnd w:id="74"/>
      <w:bookmarkEnd w:id="75"/>
    </w:p>
    <w:p w14:paraId="2A05DEF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本合同总价为：￥</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元（大写：人民币</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分项价格：</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序号</w:t>
            </w:r>
          </w:p>
        </w:tc>
        <w:tc>
          <w:tcPr>
            <w:tcW w:w="4316" w:type="dxa"/>
            <w:vAlign w:val="center"/>
          </w:tcPr>
          <w:p w14:paraId="6495B7C2">
            <w:pPr>
              <w:ind w:firstLine="20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分项名称</w:t>
            </w:r>
          </w:p>
        </w:tc>
        <w:tc>
          <w:tcPr>
            <w:tcW w:w="3237" w:type="dxa"/>
            <w:gridSpan w:val="2"/>
            <w:vAlign w:val="center"/>
          </w:tcPr>
          <w:p w14:paraId="5EB780CA">
            <w:pPr>
              <w:jc w:val="center"/>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w:t>
            </w:r>
          </w:p>
        </w:tc>
        <w:tc>
          <w:tcPr>
            <w:tcW w:w="4316" w:type="dxa"/>
            <w:vAlign w:val="center"/>
          </w:tcPr>
          <w:p w14:paraId="4D970D1F">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36DF4849">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2</w:t>
            </w:r>
          </w:p>
        </w:tc>
        <w:tc>
          <w:tcPr>
            <w:tcW w:w="4316" w:type="dxa"/>
            <w:vAlign w:val="center"/>
          </w:tcPr>
          <w:p w14:paraId="0A2F4FE9">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541949A0">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3</w:t>
            </w:r>
          </w:p>
        </w:tc>
        <w:tc>
          <w:tcPr>
            <w:tcW w:w="4316" w:type="dxa"/>
            <w:vAlign w:val="center"/>
          </w:tcPr>
          <w:p w14:paraId="48C9B4EE">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7D2EE11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w:t>
            </w:r>
          </w:p>
        </w:tc>
        <w:tc>
          <w:tcPr>
            <w:tcW w:w="4316" w:type="dxa"/>
            <w:vAlign w:val="center"/>
          </w:tcPr>
          <w:p w14:paraId="44729961">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7B7300E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ind w:firstLine="20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总价</w:t>
            </w:r>
          </w:p>
        </w:tc>
        <w:tc>
          <w:tcPr>
            <w:tcW w:w="3237" w:type="dxa"/>
            <w:gridSpan w:val="2"/>
            <w:vAlign w:val="center"/>
          </w:tcPr>
          <w:p w14:paraId="7EE4ABE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76" w:name="_Toc10340"/>
      <w:bookmarkStart w:id="77" w:name="_Toc1814"/>
      <w:bookmarkStart w:id="78" w:name="_Toc22618"/>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4 付款方式和发票开具方式</w:t>
      </w:r>
      <w:bookmarkEnd w:id="76"/>
      <w:bookmarkEnd w:id="77"/>
      <w:bookmarkEnd w:id="78"/>
    </w:p>
    <w:p w14:paraId="0E21C814">
      <w:pPr>
        <w:spacing w:line="360" w:lineRule="auto"/>
        <w:ind w:firstLine="437"/>
        <w:outlineLvl w:val="2"/>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1.4.1</w:t>
      </w:r>
      <w:r>
        <w:rPr>
          <w:rFonts w:ascii="宋体" w:hAnsi="宋体" w:eastAsia="宋体" w:cs="Times New Roman"/>
          <w:color w:val="000000" w:themeColor="text1"/>
          <w:sz w:val="24"/>
          <w:szCs w:val="24"/>
          <w14:textFill>
            <w14:solidFill>
              <w14:schemeClr w14:val="tx1"/>
            </w14:solidFill>
          </w14:textFill>
        </w:rPr>
        <w:t>付款方式：</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4105724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1.4.2发票开具方式：</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8FD9417">
      <w:pPr>
        <w:spacing w:line="360" w:lineRule="auto"/>
        <w:ind w:firstLine="437"/>
        <w:outlineLvl w:val="2"/>
        <w:rPr>
          <w:rFonts w:hint="eastAsia"/>
          <w:color w:val="000000" w:themeColor="text1"/>
          <w:lang w:val="zh-CN"/>
          <w14:textFill>
            <w14:solidFill>
              <w14:schemeClr w14:val="tx1"/>
            </w14:solidFill>
          </w14:textFill>
        </w:rPr>
      </w:pPr>
      <w:bookmarkStart w:id="79" w:name="_Toc19304"/>
      <w:bookmarkStart w:id="80" w:name="_Toc32071"/>
      <w:bookmarkStart w:id="81" w:name="_Toc2846"/>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lang w:val="zh-CN"/>
          <w14:textFill>
            <w14:solidFill>
              <w14:schemeClr w14:val="tx1"/>
            </w14:solidFill>
          </w14:textFill>
        </w:rPr>
        <w:t>服务</w:t>
      </w:r>
      <w:r>
        <w:rPr>
          <w:rFonts w:ascii="宋体" w:hAnsi="宋体" w:eastAsia="宋体" w:cs="Times New Roman"/>
          <w:b/>
          <w:bCs/>
          <w:color w:val="000000" w:themeColor="text1"/>
          <w:sz w:val="24"/>
          <w:szCs w:val="24"/>
          <w:lang w:val="zh-CN"/>
          <w14:textFill>
            <w14:solidFill>
              <w14:schemeClr w14:val="tx1"/>
            </w14:solidFill>
          </w14:textFill>
        </w:rPr>
        <w:t>期限</w:t>
      </w:r>
      <w:r>
        <w:rPr>
          <w:rFonts w:hint="eastAsia" w:ascii="宋体" w:hAnsi="宋体" w:eastAsia="宋体" w:cs="Times New Roman"/>
          <w:b/>
          <w:bCs/>
          <w:color w:val="000000" w:themeColor="text1"/>
          <w:sz w:val="24"/>
          <w:szCs w:val="24"/>
          <w:lang w:val="zh-CN"/>
          <w14:textFill>
            <w14:solidFill>
              <w14:schemeClr w14:val="tx1"/>
            </w14:solidFill>
          </w14:textFill>
        </w:rPr>
        <w:t>、地点和方式</w:t>
      </w:r>
      <w:bookmarkEnd w:id="79"/>
      <w:bookmarkEnd w:id="80"/>
      <w:bookmarkEnd w:id="81"/>
    </w:p>
    <w:p w14:paraId="0326F3BA">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1.5.1服务期限</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1.5.2服务地点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53DFFB0">
      <w:pPr>
        <w:ind w:firstLine="480" w:firstLineChars="200"/>
        <w:rPr>
          <w:rFonts w:hint="eastAsia"/>
          <w:color w:val="000000" w:themeColor="text1"/>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1.5.3</w:t>
      </w:r>
      <w:r>
        <w:rPr>
          <w:rFonts w:hint="eastAsia" w:ascii="宋体" w:hAnsi="宋体" w:eastAsia="宋体" w:cs="宋体"/>
          <w:color w:val="000000" w:themeColor="text1"/>
          <w:sz w:val="24"/>
          <w:szCs w:val="24"/>
          <w:lang w:bidi="ar"/>
          <w14:textFill>
            <w14:solidFill>
              <w14:schemeClr w14:val="tx1"/>
            </w14:solidFill>
          </w14:textFill>
        </w:rPr>
        <w:t>服务方式：</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82" w:name="_Toc27250"/>
      <w:bookmarkStart w:id="83" w:name="_Toc21423"/>
      <w:bookmarkStart w:id="84" w:name="_Toc19554"/>
      <w:r>
        <w:rPr>
          <w:rFonts w:hint="eastAsia" w:ascii="宋体" w:hAnsi="宋体" w:eastAsia="宋体" w:cs="Times New Roman"/>
          <w:b/>
          <w:bCs/>
          <w:color w:val="000000" w:themeColor="text1"/>
          <w:sz w:val="24"/>
          <w:szCs w:val="24"/>
          <w:lang w:val="zh-CN"/>
          <w14:textFill>
            <w14:solidFill>
              <w14:schemeClr w14:val="tx1"/>
            </w14:solidFill>
          </w14:textFill>
        </w:rPr>
        <w:t>1.6 违约责任</w:t>
      </w:r>
      <w:bookmarkEnd w:id="82"/>
      <w:bookmarkEnd w:id="83"/>
      <w:bookmarkEnd w:id="84"/>
    </w:p>
    <w:p w14:paraId="66AF119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1.6.1</w:t>
      </w:r>
      <w:r>
        <w:rPr>
          <w:rFonts w:ascii="宋体" w:hAnsi="宋体" w:eastAsia="宋体" w:cs="Times New Roman"/>
          <w:color w:val="000000" w:themeColor="text1"/>
          <w:sz w:val="24"/>
          <w:szCs w:val="24"/>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地点和方式</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违约金按每迟延</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一日的应提供而未</w:t>
      </w:r>
      <w:r>
        <w:rPr>
          <w:rFonts w:hint="eastAsia" w:ascii="宋体" w:hAnsi="宋体" w:eastAsia="宋体" w:cs="Times New Roman"/>
          <w:color w:val="000000" w:themeColor="text1"/>
          <w:sz w:val="24"/>
          <w:szCs w:val="24"/>
          <w14:textFill>
            <w14:solidFill>
              <w14:schemeClr w14:val="tx1"/>
            </w14:solidFill>
          </w14:textFill>
        </w:rPr>
        <w:t>提供</w:t>
      </w:r>
      <w:r>
        <w:rPr>
          <w:rFonts w:ascii="宋体" w:hAnsi="宋体" w:eastAsia="宋体" w:cs="Times New Roman"/>
          <w:color w:val="000000" w:themeColor="text1"/>
          <w:sz w:val="24"/>
          <w:szCs w:val="24"/>
          <w14:textFill>
            <w14:solidFill>
              <w14:schemeClr w14:val="tx1"/>
            </w14:solidFill>
          </w14:textFill>
        </w:rPr>
        <w:t>服务价格的</w:t>
      </w:r>
      <w:r>
        <w:rPr>
          <w:rFonts w:hint="eastAsia" w:ascii="宋体" w:hAnsi="宋体" w:eastAsia="宋体" w:cs="Times New Roman"/>
          <w:color w:val="000000" w:themeColor="text1"/>
          <w:sz w:val="24"/>
          <w:szCs w:val="24"/>
          <w:u w:val="single"/>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%计算</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最高限额为</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合同总价的</w:t>
      </w:r>
      <w:r>
        <w:rPr>
          <w:rFonts w:hint="eastAsia" w:ascii="宋体" w:hAnsi="宋体" w:eastAsia="宋体" w:cs="Times New Roman"/>
          <w:color w:val="000000" w:themeColor="text1"/>
          <w:sz w:val="24"/>
          <w:szCs w:val="24"/>
          <w:u w:val="single"/>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迟延</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14:textFill>
            <w14:solidFill>
              <w14:schemeClr w14:val="tx1"/>
            </w14:solidFill>
          </w14:textFill>
        </w:rPr>
        <w:t>，书面通知乙方</w:t>
      </w:r>
      <w:r>
        <w:rPr>
          <w:rFonts w:ascii="宋体" w:hAnsi="宋体" w:eastAsia="宋体" w:cs="Times New Roman"/>
          <w:color w:val="000000" w:themeColor="text1"/>
          <w:sz w:val="24"/>
          <w:szCs w:val="24"/>
          <w14:textFill>
            <w14:solidFill>
              <w14:schemeClr w14:val="tx1"/>
            </w14:solidFill>
          </w14:textFill>
        </w:rPr>
        <w:t>解除本合同</w:t>
      </w:r>
      <w:r>
        <w:rPr>
          <w:rFonts w:hint="eastAsia" w:ascii="宋体" w:hAnsi="宋体" w:eastAsia="宋体" w:cs="Times New Roman"/>
          <w:color w:val="000000" w:themeColor="text1"/>
          <w:sz w:val="24"/>
          <w:szCs w:val="24"/>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1.6.2</w:t>
      </w:r>
      <w:r>
        <w:rPr>
          <w:rFonts w:ascii="宋体" w:hAnsi="宋体" w:eastAsia="宋体" w:cs="Times New Roman"/>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违约金按每迟延</w:t>
      </w:r>
      <w:r>
        <w:rPr>
          <w:rFonts w:hint="eastAsia" w:ascii="宋体" w:hAnsi="宋体" w:eastAsia="宋体" w:cs="Times New Roman"/>
          <w:color w:val="000000" w:themeColor="text1"/>
          <w:sz w:val="24"/>
          <w:szCs w:val="24"/>
          <w14:textFill>
            <w14:solidFill>
              <w14:schemeClr w14:val="tx1"/>
            </w14:solidFill>
          </w14:textFill>
        </w:rPr>
        <w:t>付款</w:t>
      </w:r>
      <w:r>
        <w:rPr>
          <w:rFonts w:ascii="宋体" w:hAnsi="宋体" w:eastAsia="宋体" w:cs="Times New Roman"/>
          <w:color w:val="000000" w:themeColor="text1"/>
          <w:sz w:val="24"/>
          <w:szCs w:val="24"/>
          <w14:textFill>
            <w14:solidFill>
              <w14:schemeClr w14:val="tx1"/>
            </w14:solidFill>
          </w14:textFill>
        </w:rPr>
        <w:t>一日的应付而未付款的</w:t>
      </w:r>
      <w:r>
        <w:rPr>
          <w:rFonts w:hint="eastAsia" w:ascii="宋体" w:hAnsi="宋体" w:eastAsia="宋体" w:cs="Times New Roman"/>
          <w:color w:val="000000" w:themeColor="text1"/>
          <w:sz w:val="24"/>
          <w:szCs w:val="24"/>
          <w:u w:val="single"/>
          <w14:textFill>
            <w14:solidFill>
              <w14:schemeClr w14:val="tx1"/>
            </w14:solidFill>
          </w14:textFill>
        </w:rPr>
        <w:t>0.2</w:t>
      </w:r>
      <w:r>
        <w:rPr>
          <w:rFonts w:ascii="宋体" w:hAnsi="宋体" w:eastAsia="宋体" w:cs="Times New Roman"/>
          <w:color w:val="000000" w:themeColor="text1"/>
          <w:sz w:val="24"/>
          <w:szCs w:val="24"/>
          <w14:textFill>
            <w14:solidFill>
              <w14:schemeClr w14:val="tx1"/>
            </w14:solidFill>
          </w14:textFill>
        </w:rPr>
        <w:t>%计算</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最高限额为</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合同总价的</w:t>
      </w:r>
      <w:r>
        <w:rPr>
          <w:rFonts w:hint="eastAsia" w:ascii="宋体" w:hAnsi="宋体" w:eastAsia="宋体" w:cs="Times New Roman"/>
          <w:color w:val="000000" w:themeColor="text1"/>
          <w:sz w:val="24"/>
          <w:szCs w:val="24"/>
          <w:u w:val="single"/>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迟延</w:t>
      </w:r>
      <w:r>
        <w:rPr>
          <w:rFonts w:hint="eastAsia" w:ascii="宋体" w:hAnsi="宋体" w:eastAsia="宋体" w:cs="Times New Roman"/>
          <w:color w:val="000000" w:themeColor="text1"/>
          <w:sz w:val="24"/>
          <w:szCs w:val="24"/>
          <w14:textFill>
            <w14:solidFill>
              <w14:schemeClr w14:val="tx1"/>
            </w14:solidFill>
          </w14:textFill>
        </w:rPr>
        <w:t>付款</w:t>
      </w:r>
      <w:r>
        <w:rPr>
          <w:rFonts w:ascii="宋体" w:hAnsi="宋体" w:eastAsia="宋体" w:cs="Times New Roman"/>
          <w:color w:val="000000" w:themeColor="text1"/>
          <w:sz w:val="24"/>
          <w:szCs w:val="24"/>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14:textFill>
            <w14:solidFill>
              <w14:schemeClr w14:val="tx1"/>
            </w14:solidFill>
          </w14:textFill>
        </w:rPr>
        <w:t>，乙</w:t>
      </w:r>
      <w:r>
        <w:rPr>
          <w:rFonts w:ascii="宋体" w:hAnsi="宋体" w:eastAsia="宋体" w:cs="Times New Roman"/>
          <w:color w:val="000000" w:themeColor="text1"/>
          <w:sz w:val="24"/>
          <w:szCs w:val="24"/>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14:textFill>
            <w14:solidFill>
              <w14:schemeClr w14:val="tx1"/>
            </w14:solidFill>
          </w14:textFill>
        </w:rPr>
        <w:t>，书面通知甲方</w:t>
      </w:r>
      <w:r>
        <w:rPr>
          <w:rFonts w:ascii="宋体" w:hAnsi="宋体" w:eastAsia="宋体" w:cs="Times New Roman"/>
          <w:color w:val="000000" w:themeColor="text1"/>
          <w:sz w:val="24"/>
          <w:szCs w:val="24"/>
          <w14:textFill>
            <w14:solidFill>
              <w14:schemeClr w14:val="tx1"/>
            </w14:solidFill>
          </w14:textFill>
        </w:rPr>
        <w:t>解除本合同</w:t>
      </w:r>
      <w:r>
        <w:rPr>
          <w:rFonts w:hint="eastAsia" w:ascii="宋体" w:hAnsi="宋体" w:eastAsia="宋体" w:cs="Times New Roman"/>
          <w:color w:val="000000" w:themeColor="text1"/>
          <w:sz w:val="24"/>
          <w:szCs w:val="24"/>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14:textFill>
            <w14:solidFill>
              <w14:schemeClr w14:val="tx1"/>
            </w14:solidFill>
          </w14:textFill>
        </w:rPr>
        <w:t>、逾期退还履约保证金</w:t>
      </w:r>
      <w:r>
        <w:rPr>
          <w:rFonts w:ascii="宋体" w:hAnsi="宋体" w:eastAsia="宋体" w:cs="Times New Roman"/>
          <w:color w:val="000000" w:themeColor="text1"/>
          <w:sz w:val="24"/>
          <w:szCs w:val="24"/>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85" w:name="_Toc16021"/>
      <w:bookmarkStart w:id="86" w:name="_Toc15583"/>
      <w:bookmarkStart w:id="87" w:name="_Toc28375"/>
      <w:r>
        <w:rPr>
          <w:rFonts w:hint="eastAsia" w:ascii="宋体" w:hAnsi="宋体" w:eastAsia="宋体" w:cs="Times New Roman"/>
          <w:b/>
          <w:bCs/>
          <w:color w:val="000000" w:themeColor="text1"/>
          <w:sz w:val="24"/>
          <w:szCs w:val="24"/>
          <w:lang w:val="zh-CN"/>
          <w14:textFill>
            <w14:solidFill>
              <w14:schemeClr w14:val="tx1"/>
            </w14:solidFill>
          </w14:textFill>
        </w:rPr>
        <w:t>1.7合同</w:t>
      </w:r>
      <w:r>
        <w:rPr>
          <w:rFonts w:ascii="宋体" w:hAnsi="宋体" w:eastAsia="宋体" w:cs="Times New Roman"/>
          <w:b/>
          <w:bCs/>
          <w:color w:val="000000" w:themeColor="text1"/>
          <w:sz w:val="24"/>
          <w:szCs w:val="24"/>
          <w:lang w:val="zh-CN"/>
          <w14:textFill>
            <w14:solidFill>
              <w14:schemeClr w14:val="tx1"/>
            </w14:solidFill>
          </w14:textFill>
        </w:rPr>
        <w:t>争议的解决</w:t>
      </w:r>
      <w:bookmarkEnd w:id="85"/>
      <w:bookmarkEnd w:id="86"/>
      <w:bookmarkEnd w:id="87"/>
    </w:p>
    <w:p w14:paraId="6DB17CB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88" w:name="_Toc11173"/>
      <w:bookmarkStart w:id="89" w:name="_Toc7245"/>
      <w:bookmarkStart w:id="90" w:name="_Toc15322"/>
      <w:r>
        <w:rPr>
          <w:rFonts w:hint="eastAsia" w:ascii="宋体" w:hAnsi="宋体" w:eastAsia="宋体" w:cs="宋体"/>
          <w:color w:val="000000" w:themeColor="text1"/>
          <w:sz w:val="24"/>
          <w:szCs w:val="24"/>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1.7.1将争议提交</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1.7.2向</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r>
        <w:rPr>
          <w:rFonts w:hint="eastAsia" w:ascii="宋体" w:hAnsi="宋体" w:eastAsia="宋体" w:cs="Times New Roman"/>
          <w:b/>
          <w:bCs/>
          <w:color w:val="000000" w:themeColor="text1"/>
          <w:sz w:val="24"/>
          <w:szCs w:val="24"/>
          <w:lang w:val="zh-CN"/>
          <w14:textFill>
            <w14:solidFill>
              <w14:schemeClr w14:val="tx1"/>
            </w14:solidFill>
          </w14:textFill>
        </w:rPr>
        <w:t>1.8</w:t>
      </w:r>
      <w:r>
        <w:rPr>
          <w:rFonts w:ascii="宋体" w:hAnsi="宋体" w:eastAsia="宋体" w:cs="Times New Roman"/>
          <w:b/>
          <w:bCs/>
          <w:color w:val="000000" w:themeColor="text1"/>
          <w:sz w:val="24"/>
          <w:szCs w:val="24"/>
          <w:lang w:val="zh-CN"/>
          <w14:textFill>
            <w14:solidFill>
              <w14:schemeClr w14:val="tx1"/>
            </w14:solidFill>
          </w14:textFill>
        </w:rPr>
        <w:t xml:space="preserve"> 合同生效</w:t>
      </w:r>
      <w:bookmarkEnd w:id="88"/>
      <w:bookmarkEnd w:id="89"/>
      <w:bookmarkEnd w:id="90"/>
    </w:p>
    <w:p w14:paraId="54EE516F">
      <w:pPr>
        <w:spacing w:line="400" w:lineRule="exact"/>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本合同自</w:t>
      </w:r>
      <w:r>
        <w:rPr>
          <w:rFonts w:hint="eastAsia" w:ascii="宋体" w:hAnsi="宋体" w:eastAsia="宋体" w:cs="Times New Roman"/>
          <w:color w:val="000000" w:themeColor="text1"/>
          <w:sz w:val="24"/>
          <w:szCs w:val="24"/>
          <w14:textFill>
            <w14:solidFill>
              <w14:schemeClr w14:val="tx1"/>
            </w14:solidFill>
          </w14:textFill>
        </w:rPr>
        <w:t>双方当事人盖章时</w:t>
      </w:r>
      <w:r>
        <w:rPr>
          <w:rFonts w:ascii="宋体" w:hAnsi="宋体" w:eastAsia="宋体" w:cs="Times New Roman"/>
          <w:color w:val="000000" w:themeColor="text1"/>
          <w:sz w:val="24"/>
          <w:szCs w:val="24"/>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14:textFill>
            <w14:solidFill>
              <w14:schemeClr w14:val="tx1"/>
            </w14:solidFill>
          </w14:textFill>
        </w:rPr>
      </w:pPr>
      <w:bookmarkStart w:id="91" w:name="_Toc331685783"/>
      <w:r>
        <w:rPr>
          <w:rFonts w:hint="eastAsia" w:ascii="宋体" w:hAnsi="宋体" w:eastAsia="宋体" w:cs="宋体"/>
          <w:bCs/>
          <w:color w:val="000000" w:themeColor="text1"/>
          <w:sz w:val="24"/>
          <w:szCs w:val="24"/>
          <w:lang w:bidi="ar"/>
          <w14:textFill>
            <w14:solidFill>
              <w14:schemeClr w14:val="tx1"/>
            </w14:solidFill>
          </w14:textFill>
        </w:rPr>
        <w:t>甲</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方：</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乙方：</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法定代表人</w:t>
      </w:r>
      <w:r>
        <w:rPr>
          <w:rFonts w:hint="eastAsia" w:ascii="宋体" w:hAnsi="宋体" w:eastAsia="宋体" w:cs="Times New Roman"/>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或授权代表（签字）：</w:t>
      </w:r>
      <w:r>
        <w:rPr>
          <w:rFonts w:hint="eastAsia" w:ascii="宋体" w:hAnsi="宋体" w:eastAsia="宋体" w:cs="Times New Roman"/>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月</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日</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月</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户名：</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账号：</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开户银行：</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br w:type="page"/>
      </w:r>
      <w:bookmarkStart w:id="92" w:name="_Toc415"/>
      <w:r>
        <w:rPr>
          <w:rFonts w:hint="eastAsia" w:ascii="宋体" w:hAnsi="宋体" w:eastAsia="宋体"/>
          <w:b/>
          <w:color w:val="000000" w:themeColor="text1"/>
          <w:sz w:val="24"/>
          <w14:textFill>
            <w14:solidFill>
              <w14:schemeClr w14:val="tx1"/>
            </w14:solidFill>
          </w14:textFill>
        </w:rPr>
        <w:t>第二部分 合同一般条款</w:t>
      </w:r>
      <w:bookmarkEnd w:id="91"/>
      <w:bookmarkEnd w:id="92"/>
    </w:p>
    <w:p w14:paraId="582BC59D">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93" w:name="_Ref467379094"/>
      <w:bookmarkStart w:id="94" w:name="_Ref467378499"/>
      <w:bookmarkStart w:id="95" w:name="_Ref467379109"/>
      <w:bookmarkStart w:id="96" w:name="_Toc19614"/>
      <w:bookmarkStart w:id="97" w:name="_Ref467378404"/>
      <w:bookmarkStart w:id="98" w:name="_Ref467378463"/>
      <w:bookmarkStart w:id="99" w:name="_Ref467379205"/>
      <w:bookmarkStart w:id="100" w:name="_Toc259093669"/>
      <w:bookmarkStart w:id="101" w:name="_Toc279701240"/>
      <w:bookmarkStart w:id="102" w:name="_Ref467379195"/>
      <w:bookmarkStart w:id="103" w:name="_Toc16917"/>
      <w:bookmarkStart w:id="104" w:name="_Ref467379101"/>
      <w:bookmarkStart w:id="105" w:name="_Ref467379214"/>
      <w:bookmarkStart w:id="106" w:name="_Ref467379225"/>
      <w:bookmarkStart w:id="107" w:name="_Toc28763"/>
      <w:bookmarkStart w:id="108" w:name="_Toc487900349"/>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 xml:space="preserve"> 定义</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2490AC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本合同中的下列</w:t>
      </w:r>
      <w:r>
        <w:rPr>
          <w:rFonts w:hint="eastAsia" w:ascii="宋体" w:hAnsi="宋体" w:eastAsia="宋体" w:cs="Times New Roman"/>
          <w:color w:val="000000" w:themeColor="text1"/>
          <w:sz w:val="24"/>
          <w:szCs w:val="24"/>
          <w14:textFill>
            <w14:solidFill>
              <w14:schemeClr w14:val="tx1"/>
            </w14:solidFill>
          </w14:textFill>
        </w:rPr>
        <w:t>词</w:t>
      </w:r>
      <w:r>
        <w:rPr>
          <w:rFonts w:ascii="宋体" w:hAnsi="宋体" w:eastAsia="宋体" w:cs="Times New Roman"/>
          <w:color w:val="000000" w:themeColor="text1"/>
          <w:sz w:val="24"/>
          <w:szCs w:val="24"/>
          <w14:textFill>
            <w14:solidFill>
              <w14:schemeClr w14:val="tx1"/>
            </w14:solidFill>
          </w14:textFill>
        </w:rPr>
        <w:t>语应</w:t>
      </w:r>
      <w:r>
        <w:rPr>
          <w:rFonts w:hint="eastAsia" w:ascii="宋体" w:hAnsi="宋体" w:eastAsia="宋体" w:cs="Times New Roman"/>
          <w:color w:val="000000" w:themeColor="text1"/>
          <w:sz w:val="24"/>
          <w:szCs w:val="24"/>
          <w14:textFill>
            <w14:solidFill>
              <w14:schemeClr w14:val="tx1"/>
            </w14:solidFill>
          </w14:textFill>
        </w:rPr>
        <w:t>按以下内容进行</w:t>
      </w:r>
      <w:r>
        <w:rPr>
          <w:rFonts w:ascii="宋体" w:hAnsi="宋体" w:eastAsia="宋体" w:cs="Times New Roman"/>
          <w:color w:val="000000" w:themeColor="text1"/>
          <w:sz w:val="24"/>
          <w:szCs w:val="24"/>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1.3“</w:t>
      </w:r>
      <w:r>
        <w:rPr>
          <w:rFonts w:hint="eastAsia" w:ascii="宋体" w:hAnsi="宋体" w:eastAsia="宋体" w:cs="Times New Roman"/>
          <w:color w:val="000000" w:themeColor="text1"/>
          <w:sz w:val="24"/>
          <w:szCs w:val="24"/>
          <w14:textFill>
            <w14:solidFill>
              <w14:schemeClr w14:val="tx1"/>
            </w14:solidFill>
          </w14:textFill>
        </w:rPr>
        <w:t>服务</w:t>
      </w:r>
      <w:r>
        <w:rPr>
          <w:rFonts w:ascii="宋体" w:hAnsi="宋体" w:eastAsia="宋体" w:cs="Times New Roman"/>
          <w:color w:val="000000" w:themeColor="text1"/>
          <w:sz w:val="24"/>
          <w:szCs w:val="24"/>
          <w14:textFill>
            <w14:solidFill>
              <w14:schemeClr w14:val="tx1"/>
            </w14:solidFill>
          </w14:textFill>
        </w:rPr>
        <w:t>”系指</w:t>
      </w:r>
      <w:r>
        <w:rPr>
          <w:rFonts w:hint="eastAsia" w:ascii="宋体" w:hAnsi="宋体" w:eastAsia="宋体" w:cs="Times New Roman"/>
          <w:color w:val="000000" w:themeColor="text1"/>
          <w:sz w:val="24"/>
          <w:szCs w:val="24"/>
          <w14:textFill>
            <w14:solidFill>
              <w14:schemeClr w14:val="tx1"/>
            </w14:solidFill>
          </w14:textFill>
        </w:rPr>
        <w:t>中标人</w:t>
      </w:r>
      <w:r>
        <w:rPr>
          <w:rFonts w:ascii="宋体" w:hAnsi="宋体" w:eastAsia="宋体" w:cs="Times New Roman"/>
          <w:color w:val="000000" w:themeColor="text1"/>
          <w:sz w:val="24"/>
          <w:szCs w:val="24"/>
          <w14:textFill>
            <w14:solidFill>
              <w14:schemeClr w14:val="tx1"/>
            </w14:solidFill>
          </w14:textFill>
        </w:rPr>
        <w:t>根据合同约定应向采购人</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w:t>
      </w:r>
      <w:r>
        <w:rPr>
          <w:rFonts w:hint="eastAsia" w:ascii="宋体" w:hAnsi="宋体" w:eastAsia="宋体" w:cs="Times New Roman"/>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09" w:name="_Ref467378840"/>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甲方</w:t>
      </w:r>
      <w:r>
        <w:rPr>
          <w:rFonts w:ascii="宋体" w:hAnsi="宋体" w:eastAsia="宋体" w:cs="Times New Roman"/>
          <w:color w:val="000000" w:themeColor="text1"/>
          <w:sz w:val="24"/>
          <w:szCs w:val="24"/>
          <w14:textFill>
            <w14:solidFill>
              <w14:schemeClr w14:val="tx1"/>
            </w14:solidFill>
          </w14:textFill>
        </w:rPr>
        <w:t>”系指与</w:t>
      </w:r>
      <w:r>
        <w:rPr>
          <w:rFonts w:hint="eastAsia" w:ascii="宋体" w:hAnsi="宋体" w:eastAsia="宋体" w:cs="Times New Roman"/>
          <w:color w:val="000000" w:themeColor="text1"/>
          <w:sz w:val="24"/>
          <w:szCs w:val="24"/>
          <w14:textFill>
            <w14:solidFill>
              <w14:schemeClr w14:val="tx1"/>
            </w14:solidFill>
          </w14:textFill>
        </w:rPr>
        <w:t>中标人</w:t>
      </w:r>
      <w:r>
        <w:rPr>
          <w:rFonts w:ascii="宋体" w:hAnsi="宋体" w:eastAsia="宋体" w:cs="Times New Roman"/>
          <w:color w:val="000000" w:themeColor="text1"/>
          <w:sz w:val="24"/>
          <w:szCs w:val="24"/>
          <w14:textFill>
            <w14:solidFill>
              <w14:schemeClr w14:val="tx1"/>
            </w14:solidFill>
          </w14:textFill>
        </w:rPr>
        <w:t>签署合同的采购人</w:t>
      </w:r>
      <w:bookmarkEnd w:id="109"/>
      <w:r>
        <w:rPr>
          <w:rFonts w:hint="eastAsia" w:ascii="宋体" w:hAnsi="宋体" w:eastAsia="宋体" w:cs="Times New Roman"/>
          <w:color w:val="000000" w:themeColor="text1"/>
          <w:sz w:val="24"/>
          <w:szCs w:val="24"/>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10" w:name="_Ref467379400"/>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“乙方”系指根据合同约定</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的中标人</w:t>
      </w:r>
      <w:bookmarkEnd w:id="110"/>
      <w:r>
        <w:rPr>
          <w:rFonts w:hint="eastAsia" w:ascii="宋体" w:hAnsi="宋体" w:eastAsia="宋体" w:cs="Times New Roman"/>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11" w:name="_Ref467379436"/>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6</w:t>
      </w:r>
      <w:r>
        <w:rPr>
          <w:rFonts w:ascii="宋体" w:hAnsi="宋体" w:eastAsia="宋体" w:cs="Times New Roman"/>
          <w:color w:val="000000" w:themeColor="text1"/>
          <w:sz w:val="24"/>
          <w:szCs w:val="24"/>
          <w14:textFill>
            <w14:solidFill>
              <w14:schemeClr w14:val="tx1"/>
            </w14:solidFill>
          </w14:textFill>
        </w:rPr>
        <w:t>“现场”系指合同约定</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的地点。</w:t>
      </w:r>
      <w:bookmarkEnd w:id="111"/>
    </w:p>
    <w:p w14:paraId="54E46740">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12" w:name="_Toc32504"/>
      <w:bookmarkStart w:id="113" w:name="_Toc279701241"/>
      <w:bookmarkStart w:id="114" w:name="_Toc259093670"/>
      <w:bookmarkStart w:id="115" w:name="_Toc13336"/>
      <w:bookmarkStart w:id="116" w:name="_Toc27635"/>
      <w:bookmarkStart w:id="117" w:name="_Toc487900350"/>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2 技术规范</w:t>
      </w:r>
      <w:bookmarkEnd w:id="112"/>
      <w:bookmarkEnd w:id="113"/>
      <w:bookmarkEnd w:id="114"/>
      <w:bookmarkEnd w:id="115"/>
      <w:bookmarkEnd w:id="116"/>
      <w:bookmarkEnd w:id="117"/>
    </w:p>
    <w:p w14:paraId="5959E72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14:textFill>
            <w14:solidFill>
              <w14:schemeClr w14:val="tx1"/>
            </w14:solidFill>
          </w14:textFill>
        </w:rPr>
        <w:t>和</w:t>
      </w:r>
      <w:r>
        <w:rPr>
          <w:rFonts w:ascii="宋体" w:hAnsi="宋体" w:eastAsia="宋体" w:cs="Times New Roman"/>
          <w:color w:val="000000" w:themeColor="text1"/>
          <w:sz w:val="24"/>
          <w:szCs w:val="24"/>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18" w:name="_Toc259093671"/>
      <w:bookmarkStart w:id="119" w:name="_Toc279701242"/>
      <w:bookmarkStart w:id="120" w:name="_Toc9829"/>
      <w:bookmarkStart w:id="121" w:name="_Toc487900351"/>
      <w:bookmarkStart w:id="122" w:name="_Toc27853"/>
      <w:bookmarkStart w:id="123" w:name="_Toc31634"/>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3 知识产权</w:t>
      </w:r>
      <w:bookmarkEnd w:id="118"/>
      <w:bookmarkEnd w:id="119"/>
      <w:bookmarkEnd w:id="120"/>
      <w:bookmarkEnd w:id="121"/>
      <w:bookmarkEnd w:id="122"/>
      <w:bookmarkEnd w:id="123"/>
    </w:p>
    <w:p w14:paraId="3DBD8DC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2.3.1乙</w:t>
      </w:r>
      <w:r>
        <w:rPr>
          <w:rFonts w:ascii="宋体" w:hAnsi="宋体" w:eastAsia="宋体" w:cs="Times New Roman"/>
          <w:color w:val="000000" w:themeColor="text1"/>
          <w:sz w:val="24"/>
          <w:szCs w:val="24"/>
          <w14:textFill>
            <w14:solidFill>
              <w14:schemeClr w14:val="tx1"/>
            </w14:solidFill>
          </w14:textFill>
        </w:rPr>
        <w:t>方应保证</w:t>
      </w:r>
      <w:r>
        <w:rPr>
          <w:rFonts w:hint="eastAsia" w:ascii="宋体" w:hAnsi="宋体" w:eastAsia="宋体" w:cs="Times New Roman"/>
          <w:color w:val="000000" w:themeColor="text1"/>
          <w:sz w:val="24"/>
          <w:szCs w:val="24"/>
          <w14:textFill>
            <w14:solidFill>
              <w14:schemeClr w14:val="tx1"/>
            </w14:solidFill>
          </w14:textFill>
        </w:rPr>
        <w:t>其提供的服务</w:t>
      </w:r>
      <w:r>
        <w:rPr>
          <w:rFonts w:ascii="宋体" w:hAnsi="宋体" w:eastAsia="宋体" w:cs="Times New Roman"/>
          <w:color w:val="000000" w:themeColor="text1"/>
          <w:sz w:val="24"/>
          <w:szCs w:val="24"/>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如果任何第三方提出侵权</w:t>
      </w:r>
      <w:r>
        <w:rPr>
          <w:rFonts w:hint="eastAsia" w:ascii="宋体" w:hAnsi="宋体" w:eastAsia="宋体" w:cs="Times New Roman"/>
          <w:color w:val="000000" w:themeColor="text1"/>
          <w:sz w:val="24"/>
          <w:szCs w:val="24"/>
          <w14:textFill>
            <w14:solidFill>
              <w14:schemeClr w14:val="tx1"/>
            </w14:solidFill>
          </w14:textFill>
        </w:rPr>
        <w:t>指控</w:t>
      </w:r>
      <w:r>
        <w:rPr>
          <w:rFonts w:ascii="宋体" w:hAnsi="宋体" w:eastAsia="宋体" w:cs="Times New Roman"/>
          <w:color w:val="000000" w:themeColor="text1"/>
          <w:sz w:val="24"/>
          <w:szCs w:val="24"/>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14:textFill>
            <w14:solidFill>
              <w14:schemeClr w14:val="tx1"/>
            </w14:solidFill>
          </w14:textFill>
        </w:rPr>
        <w:t>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24" w:name="_Ref467379536"/>
      <w:bookmarkStart w:id="125" w:name="_Ref467378541"/>
      <w:bookmarkStart w:id="126" w:name="_Toc487900354"/>
      <w:bookmarkStart w:id="127" w:name="_Ref467379542"/>
      <w:bookmarkStart w:id="128" w:name="_Toc259093674"/>
      <w:bookmarkStart w:id="129" w:name="_Toc279701245"/>
      <w:bookmarkStart w:id="130" w:name="_Ref467379527"/>
      <w:bookmarkStart w:id="131" w:name="_Ref467378591"/>
      <w:bookmarkStart w:id="132" w:name="_Toc30272"/>
      <w:bookmarkStart w:id="133" w:name="_Toc26182"/>
      <w:bookmarkStart w:id="134" w:name="_Toc19074"/>
      <w:r>
        <w:rPr>
          <w:rFonts w:hint="eastAsia" w:ascii="宋体" w:hAnsi="宋体" w:eastAsia="宋体" w:cs="Times New Roman"/>
          <w:b/>
          <w:bCs/>
          <w:color w:val="000000" w:themeColor="text1"/>
          <w:sz w:val="24"/>
          <w:szCs w:val="24"/>
          <w:lang w:val="zh-CN"/>
          <w14:textFill>
            <w14:solidFill>
              <w14:schemeClr w14:val="tx1"/>
            </w14:solidFill>
          </w14:textFill>
        </w:rPr>
        <w:t>2.</w:t>
      </w:r>
      <w:bookmarkEnd w:id="124"/>
      <w:bookmarkEnd w:id="125"/>
      <w:bookmarkEnd w:id="126"/>
      <w:bookmarkEnd w:id="127"/>
      <w:bookmarkEnd w:id="128"/>
      <w:bookmarkEnd w:id="129"/>
      <w:bookmarkEnd w:id="130"/>
      <w:bookmarkEnd w:id="131"/>
      <w:r>
        <w:rPr>
          <w:rFonts w:ascii="宋体" w:hAnsi="宋体" w:eastAsia="宋体" w:cs="Times New Roman"/>
          <w:b/>
          <w:bCs/>
          <w:color w:val="000000" w:themeColor="text1"/>
          <w:sz w:val="24"/>
          <w:szCs w:val="24"/>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lang w:val="zh-CN"/>
          <w14:textFill>
            <w14:solidFill>
              <w14:schemeClr w14:val="tx1"/>
            </w14:solidFill>
          </w14:textFill>
        </w:rPr>
        <w:t>履约检查和问题反馈</w:t>
      </w:r>
      <w:bookmarkEnd w:id="132"/>
      <w:bookmarkEnd w:id="133"/>
      <w:bookmarkEnd w:id="134"/>
    </w:p>
    <w:p w14:paraId="5CEE4873">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35" w:name="_Toc186431854"/>
      <w:bookmarkStart w:id="136" w:name="_Ref467379807"/>
      <w:bookmarkStart w:id="137" w:name="_Toc487900357"/>
      <w:bookmarkStart w:id="138" w:name="_Toc259093676"/>
      <w:bookmarkStart w:id="139" w:name="_Ref467379793"/>
      <w:bookmarkStart w:id="140" w:name="_Toc279701247"/>
      <w:r>
        <w:rPr>
          <w:rFonts w:hint="eastAsia" w:ascii="宋体" w:hAnsi="宋体" w:eastAsia="宋体" w:cs="Times New Roman"/>
          <w:color w:val="000000" w:themeColor="text1"/>
          <w:sz w:val="24"/>
          <w:szCs w:val="24"/>
          <w14:textFill>
            <w14:solidFill>
              <w14:schemeClr w14:val="tx1"/>
            </w14:solidFill>
          </w14:textFill>
        </w:rPr>
        <w:t>2.4</w:t>
      </w:r>
      <w:r>
        <w:rPr>
          <w:rFonts w:ascii="宋体" w:hAnsi="宋体" w:eastAsia="宋体" w:cs="Times New Roman"/>
          <w:color w:val="000000" w:themeColor="text1"/>
          <w:sz w:val="24"/>
          <w:szCs w:val="24"/>
          <w14:textFill>
            <w14:solidFill>
              <w14:schemeClr w14:val="tx1"/>
            </w14:solidFill>
          </w14:textFill>
        </w:rPr>
        <w:t>.1甲方</w:t>
      </w:r>
      <w:r>
        <w:rPr>
          <w:rFonts w:hint="eastAsia" w:ascii="宋体" w:hAnsi="宋体" w:eastAsia="宋体" w:cs="Times New Roman"/>
          <w:color w:val="000000" w:themeColor="text1"/>
          <w:sz w:val="24"/>
          <w:szCs w:val="24"/>
          <w14:textFill>
            <w14:solidFill>
              <w14:schemeClr w14:val="tx1"/>
            </w14:solidFill>
          </w14:textFill>
        </w:rPr>
        <w:t>有权</w:t>
      </w:r>
      <w:r>
        <w:rPr>
          <w:rFonts w:ascii="宋体" w:hAnsi="宋体" w:eastAsia="宋体" w:cs="Times New Roman"/>
          <w:color w:val="000000" w:themeColor="text1"/>
          <w:sz w:val="24"/>
          <w:szCs w:val="24"/>
          <w14:textFill>
            <w14:solidFill>
              <w14:schemeClr w14:val="tx1"/>
            </w14:solidFill>
          </w14:textFill>
        </w:rPr>
        <w:t>在其认为必要时</w:t>
      </w:r>
      <w:r>
        <w:rPr>
          <w:rFonts w:hint="eastAsia" w:ascii="宋体" w:hAnsi="宋体" w:eastAsia="宋体" w:cs="Times New Roman"/>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35"/>
      <w:bookmarkStart w:id="141" w:name="_Toc186431855"/>
      <w:r>
        <w:rPr>
          <w:rFonts w:hint="eastAsia" w:ascii="宋体" w:hAnsi="宋体" w:eastAsia="宋体" w:cs="Times New Roman"/>
          <w:color w:val="000000" w:themeColor="text1"/>
          <w:sz w:val="24"/>
          <w:szCs w:val="24"/>
          <w14:textFill>
            <w14:solidFill>
              <w14:schemeClr w14:val="tx1"/>
            </w14:solidFill>
          </w14:textFill>
        </w:rPr>
        <w:t>。</w:t>
      </w:r>
    </w:p>
    <w:bookmarkEnd w:id="141"/>
    <w:p w14:paraId="08CA4CEA">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42" w:name="_Toc28451"/>
      <w:bookmarkStart w:id="143" w:name="_Toc19219"/>
      <w:bookmarkStart w:id="144" w:name="_Toc7836"/>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5结算方式和付款条件</w:t>
      </w:r>
      <w:bookmarkEnd w:id="136"/>
      <w:bookmarkEnd w:id="137"/>
      <w:bookmarkEnd w:id="138"/>
      <w:bookmarkEnd w:id="139"/>
      <w:bookmarkEnd w:id="140"/>
      <w:bookmarkEnd w:id="142"/>
      <w:bookmarkEnd w:id="143"/>
      <w:bookmarkEnd w:id="144"/>
    </w:p>
    <w:p w14:paraId="53F570F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45" w:name="_Toc259093677"/>
      <w:bookmarkStart w:id="146" w:name="_Ref467379863"/>
      <w:bookmarkStart w:id="147" w:name="_Ref467379852"/>
      <w:bookmarkStart w:id="148" w:name="_Toc279701248"/>
      <w:bookmarkStart w:id="149" w:name="_Ref467379923"/>
      <w:bookmarkStart w:id="150" w:name="_Toc487900358"/>
      <w:bookmarkStart w:id="151" w:name="_Toc16110"/>
      <w:bookmarkStart w:id="152" w:name="_Toc774"/>
      <w:bookmarkStart w:id="153" w:name="_Toc3225"/>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6技术资料</w:t>
      </w:r>
      <w:bookmarkEnd w:id="145"/>
      <w:bookmarkEnd w:id="146"/>
      <w:bookmarkEnd w:id="147"/>
      <w:bookmarkEnd w:id="148"/>
      <w:bookmarkEnd w:id="149"/>
      <w:bookmarkEnd w:id="150"/>
      <w:r>
        <w:rPr>
          <w:rFonts w:ascii="宋体" w:hAnsi="宋体" w:eastAsia="宋体" w:cs="Times New Roman"/>
          <w:b/>
          <w:bCs/>
          <w:color w:val="000000" w:themeColor="text1"/>
          <w:sz w:val="24"/>
          <w:szCs w:val="24"/>
          <w:lang w:val="zh-CN"/>
          <w14:textFill>
            <w14:solidFill>
              <w14:schemeClr w14:val="tx1"/>
            </w14:solidFill>
          </w14:textFill>
        </w:rPr>
        <w:t>和保密义务</w:t>
      </w:r>
      <w:bookmarkEnd w:id="151"/>
      <w:bookmarkEnd w:id="152"/>
      <w:bookmarkEnd w:id="153"/>
    </w:p>
    <w:p w14:paraId="16BFDA2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6.1</w:t>
      </w:r>
      <w:r>
        <w:rPr>
          <w:rFonts w:hint="eastAsia" w:ascii="宋体" w:hAnsi="宋体" w:eastAsia="宋体" w:cs="Times New Roman"/>
          <w:color w:val="000000" w:themeColor="text1"/>
          <w:sz w:val="24"/>
          <w:szCs w:val="24"/>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14:textFill>
            <w14:solidFill>
              <w14:schemeClr w14:val="tx1"/>
            </w14:solidFill>
          </w14:textFill>
        </w:rPr>
        <w:t>技术情报</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技术资料</w:t>
      </w:r>
      <w:r>
        <w:rPr>
          <w:rFonts w:hint="eastAsia" w:ascii="宋体" w:hAnsi="宋体" w:eastAsia="宋体" w:cs="Times New Roman"/>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54" w:name="_Toc7860"/>
      <w:r>
        <w:rPr>
          <w:rFonts w:ascii="宋体" w:hAnsi="宋体" w:eastAsia="宋体" w:cs="Times New Roman"/>
          <w:b/>
          <w:bCs/>
          <w:color w:val="000000" w:themeColor="text1"/>
          <w:sz w:val="24"/>
          <w:szCs w:val="24"/>
          <w:lang w:val="zh-CN"/>
          <w14:textFill>
            <w14:solidFill>
              <w14:schemeClr w14:val="tx1"/>
            </w14:solidFill>
          </w14:textFill>
        </w:rPr>
        <w:t>2.7 质量保证</w:t>
      </w:r>
      <w:bookmarkEnd w:id="154"/>
    </w:p>
    <w:p w14:paraId="736F565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55" w:name="_Toc22267"/>
      <w:r>
        <w:rPr>
          <w:rFonts w:hint="eastAsia" w:ascii="宋体" w:hAnsi="宋体" w:eastAsia="宋体" w:cs="Times New Roman"/>
          <w:b/>
          <w:color w:val="000000" w:themeColor="text1"/>
          <w:sz w:val="24"/>
          <w:szCs w:val="24"/>
          <w14:textFill>
            <w14:solidFill>
              <w14:schemeClr w14:val="tx1"/>
            </w14:solidFill>
          </w14:textFill>
        </w:rPr>
        <w:t>2.8 延迟履行</w:t>
      </w:r>
      <w:bookmarkEnd w:id="155"/>
    </w:p>
    <w:p w14:paraId="4D6FC9D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的理由、预期延误时间通知甲方</w:t>
      </w:r>
      <w:r>
        <w:rPr>
          <w:rFonts w:hint="eastAsia" w:ascii="宋体" w:hAnsi="宋体" w:eastAsia="宋体" w:cs="Times New Roman"/>
          <w:color w:val="000000" w:themeColor="text1"/>
          <w:sz w:val="24"/>
          <w:szCs w:val="24"/>
          <w14:textFill>
            <w14:solidFill>
              <w14:schemeClr w14:val="tx1"/>
            </w14:solidFill>
          </w14:textFill>
        </w:rPr>
        <w:t>；甲</w:t>
      </w:r>
      <w:r>
        <w:rPr>
          <w:rFonts w:ascii="宋体" w:hAnsi="宋体" w:eastAsia="宋体" w:cs="Times New Roman"/>
          <w:color w:val="000000" w:themeColor="text1"/>
          <w:sz w:val="24"/>
          <w:szCs w:val="24"/>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56" w:name="_Toc7502"/>
      <w:bookmarkStart w:id="157" w:name="_Toc279701254"/>
      <w:bookmarkStart w:id="158" w:name="_Toc259093683"/>
      <w:bookmarkStart w:id="159" w:name="_Ref467378121"/>
      <w:bookmarkStart w:id="160" w:name="_Toc487900364"/>
      <w:r>
        <w:rPr>
          <w:rFonts w:ascii="宋体" w:hAnsi="宋体" w:eastAsia="宋体" w:cs="Times New Roman"/>
          <w:b/>
          <w:bCs/>
          <w:color w:val="000000" w:themeColor="text1"/>
          <w:sz w:val="24"/>
          <w:szCs w:val="24"/>
          <w:lang w:val="zh-CN"/>
          <w14:textFill>
            <w14:solidFill>
              <w14:schemeClr w14:val="tx1"/>
            </w14:solidFill>
          </w14:textFill>
        </w:rPr>
        <w:t>2.9 合同变更</w:t>
      </w:r>
      <w:bookmarkEnd w:id="156"/>
    </w:p>
    <w:p w14:paraId="4EB41B1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61" w:name="_Toc487900369"/>
      <w:bookmarkStart w:id="162" w:name="_Toc259093688"/>
      <w:bookmarkStart w:id="163" w:name="_Toc279701259"/>
    </w:p>
    <w:p w14:paraId="28C4542F">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64" w:name="_Toc22955"/>
      <w:bookmarkStart w:id="165" w:name="_Toc10366"/>
      <w:bookmarkStart w:id="166" w:name="_Toc15237"/>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0合同转让</w:t>
      </w:r>
      <w:bookmarkEnd w:id="161"/>
      <w:bookmarkEnd w:id="162"/>
      <w:bookmarkEnd w:id="163"/>
      <w:r>
        <w:rPr>
          <w:rFonts w:ascii="宋体" w:hAnsi="宋体" w:eastAsia="宋体" w:cs="Times New Roman"/>
          <w:b/>
          <w:bCs/>
          <w:color w:val="000000" w:themeColor="text1"/>
          <w:sz w:val="24"/>
          <w:szCs w:val="24"/>
          <w:lang w:val="zh-CN"/>
          <w14:textFill>
            <w14:solidFill>
              <w14:schemeClr w14:val="tx1"/>
            </w14:solidFill>
          </w14:textFill>
        </w:rPr>
        <w:t>和分包</w:t>
      </w:r>
      <w:bookmarkEnd w:id="164"/>
      <w:bookmarkEnd w:id="165"/>
      <w:bookmarkEnd w:id="166"/>
    </w:p>
    <w:p w14:paraId="0EDE66D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合同的权利义务依法不</w:t>
      </w:r>
      <w:r>
        <w:rPr>
          <w:rFonts w:hint="eastAsia" w:ascii="宋体" w:hAnsi="宋体" w:eastAsia="宋体" w:cs="Times New Roman"/>
          <w:color w:val="000000" w:themeColor="text1"/>
          <w:sz w:val="24"/>
          <w:szCs w:val="24"/>
          <w14:textFill>
            <w14:solidFill>
              <w14:schemeClr w14:val="tx1"/>
            </w14:solidFill>
          </w14:textFill>
        </w:rPr>
        <w:t>得</w:t>
      </w:r>
      <w:r>
        <w:rPr>
          <w:rFonts w:ascii="宋体" w:hAnsi="宋体" w:eastAsia="宋体" w:cs="Times New Roman"/>
          <w:color w:val="000000" w:themeColor="text1"/>
          <w:sz w:val="24"/>
          <w:szCs w:val="24"/>
          <w14:textFill>
            <w14:solidFill>
              <w14:schemeClr w14:val="tx1"/>
            </w14:solidFill>
          </w14:textFill>
        </w:rPr>
        <w:t>转让</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但经甲方</w:t>
      </w:r>
      <w:r>
        <w:rPr>
          <w:rFonts w:hint="eastAsia" w:ascii="宋体" w:hAnsi="宋体" w:eastAsia="宋体" w:cs="Times New Roman"/>
          <w:color w:val="000000" w:themeColor="text1"/>
          <w:sz w:val="24"/>
          <w:szCs w:val="24"/>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并</w:t>
      </w:r>
      <w:r>
        <w:rPr>
          <w:rFonts w:hint="eastAsia" w:ascii="宋体" w:hAnsi="宋体" w:eastAsia="宋体" w:cs="Times New Roman"/>
          <w:color w:val="000000" w:themeColor="text1"/>
          <w:sz w:val="24"/>
          <w:szCs w:val="24"/>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67" w:name="_Toc16508"/>
      <w:bookmarkStart w:id="168" w:name="_Toc14066"/>
      <w:bookmarkStart w:id="169" w:name="_Toc13566"/>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1 不可抗力</w:t>
      </w:r>
      <w:bookmarkEnd w:id="167"/>
      <w:bookmarkEnd w:id="168"/>
      <w:bookmarkEnd w:id="169"/>
    </w:p>
    <w:p w14:paraId="7ECC19A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.3因</w:t>
      </w:r>
      <w:r>
        <w:rPr>
          <w:rFonts w:ascii="宋体" w:hAnsi="宋体" w:eastAsia="宋体" w:cs="Times New Roman"/>
          <w:color w:val="000000" w:themeColor="text1"/>
          <w:sz w:val="24"/>
          <w:szCs w:val="24"/>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受</w:t>
      </w:r>
      <w:r>
        <w:rPr>
          <w:rFonts w:hint="eastAsia" w:ascii="宋体" w:hAnsi="宋体" w:eastAsia="宋体" w:cs="Times New Roman"/>
          <w:color w:val="000000" w:themeColor="text1"/>
          <w:sz w:val="24"/>
          <w:szCs w:val="24"/>
          <w14:textFill>
            <w14:solidFill>
              <w14:schemeClr w14:val="tx1"/>
            </w14:solidFill>
          </w14:textFill>
        </w:rPr>
        <w:t>不可抗力</w:t>
      </w:r>
      <w:r>
        <w:rPr>
          <w:rFonts w:ascii="宋体" w:hAnsi="宋体" w:eastAsia="宋体" w:cs="Times New Roman"/>
          <w:color w:val="000000" w:themeColor="text1"/>
          <w:sz w:val="24"/>
          <w:szCs w:val="24"/>
          <w14:textFill>
            <w14:solidFill>
              <w14:schemeClr w14:val="tx1"/>
            </w14:solidFill>
          </w14:textFill>
        </w:rPr>
        <w:t>影响的一方在不可抗力发生后</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应在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约定时间内以书面形式通知</w:t>
      </w:r>
      <w:r>
        <w:rPr>
          <w:rFonts w:hint="eastAsia" w:ascii="宋体" w:hAnsi="宋体" w:eastAsia="宋体" w:cs="Times New Roman"/>
          <w:color w:val="000000" w:themeColor="text1"/>
          <w:sz w:val="24"/>
          <w:szCs w:val="24"/>
          <w14:textFill>
            <w14:solidFill>
              <w14:schemeClr w14:val="tx1"/>
            </w14:solidFill>
          </w14:textFill>
        </w:rPr>
        <w:t>对</w:t>
      </w:r>
      <w:r>
        <w:rPr>
          <w:rFonts w:ascii="宋体" w:hAnsi="宋体" w:eastAsia="宋体" w:cs="Times New Roman"/>
          <w:color w:val="000000" w:themeColor="text1"/>
          <w:sz w:val="24"/>
          <w:szCs w:val="24"/>
          <w14:textFill>
            <w14:solidFill>
              <w14:schemeClr w14:val="tx1"/>
            </w14:solidFill>
          </w14:textFill>
        </w:rPr>
        <w:t>方当事人，并在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14:textFill>
            <w14:solidFill>
              <w14:schemeClr w14:val="tx1"/>
            </w14:solidFill>
          </w14:textFill>
        </w:rPr>
        <w:t>对方当事人</w:t>
      </w:r>
      <w:r>
        <w:rPr>
          <w:rFonts w:ascii="宋体" w:hAnsi="宋体" w:eastAsia="宋体" w:cs="Times New Roman"/>
          <w:color w:val="000000" w:themeColor="text1"/>
          <w:sz w:val="24"/>
          <w:szCs w:val="24"/>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70" w:name="_Toc487900365"/>
      <w:bookmarkStart w:id="171" w:name="_Toc279701255"/>
      <w:bookmarkStart w:id="172" w:name="_Toc689"/>
      <w:bookmarkStart w:id="173" w:name="_Toc30676"/>
      <w:bookmarkStart w:id="174" w:name="_Toc6969"/>
      <w:bookmarkStart w:id="175" w:name="_Toc259093684"/>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12税费</w:t>
      </w:r>
      <w:bookmarkEnd w:id="170"/>
      <w:bookmarkEnd w:id="171"/>
      <w:bookmarkEnd w:id="172"/>
      <w:bookmarkEnd w:id="173"/>
      <w:bookmarkEnd w:id="174"/>
      <w:bookmarkEnd w:id="175"/>
    </w:p>
    <w:p w14:paraId="5C1E7EA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与合同有关的一切税费</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14:textFill>
            <w14:solidFill>
              <w14:schemeClr w14:val="tx1"/>
            </w14:solidFill>
          </w14:textFill>
        </w:rPr>
        <w:t>缴纳</w:t>
      </w:r>
      <w:r>
        <w:rPr>
          <w:rFonts w:ascii="宋体" w:hAnsi="宋体" w:eastAsia="宋体" w:cs="Times New Roman"/>
          <w:color w:val="000000" w:themeColor="text1"/>
          <w:sz w:val="24"/>
          <w:szCs w:val="24"/>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76" w:name="_Toc279701258"/>
      <w:bookmarkStart w:id="177" w:name="_Toc8298"/>
      <w:bookmarkStart w:id="178" w:name="_Toc7102"/>
      <w:bookmarkStart w:id="179" w:name="_Toc259093687"/>
      <w:bookmarkStart w:id="180" w:name="_Toc16959"/>
      <w:bookmarkStart w:id="181" w:name="_Toc487900368"/>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13乙方破产</w:t>
      </w:r>
      <w:bookmarkEnd w:id="176"/>
      <w:bookmarkEnd w:id="177"/>
      <w:bookmarkEnd w:id="178"/>
      <w:bookmarkEnd w:id="179"/>
      <w:bookmarkEnd w:id="180"/>
      <w:bookmarkEnd w:id="181"/>
    </w:p>
    <w:p w14:paraId="6526F8F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14:textFill>
            <w14:solidFill>
              <w14:schemeClr w14:val="tx1"/>
            </w14:solidFill>
          </w14:textFill>
        </w:rPr>
        <w:t>，但合同的</w:t>
      </w:r>
      <w:r>
        <w:rPr>
          <w:rFonts w:ascii="宋体" w:hAnsi="宋体" w:eastAsia="宋体" w:cs="Times New Roman"/>
          <w:color w:val="000000" w:themeColor="text1"/>
          <w:sz w:val="24"/>
          <w:szCs w:val="24"/>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82" w:name="_Toc6134"/>
      <w:bookmarkStart w:id="183" w:name="_Toc15387"/>
      <w:bookmarkStart w:id="184" w:name="_Toc29333"/>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4</w:t>
      </w:r>
      <w:r>
        <w:rPr>
          <w:rFonts w:hint="eastAsia" w:ascii="宋体" w:hAnsi="宋体" w:eastAsia="宋体" w:cs="Times New Roman"/>
          <w:b/>
          <w:bCs/>
          <w:color w:val="000000" w:themeColor="text1"/>
          <w:sz w:val="24"/>
          <w:szCs w:val="24"/>
          <w:lang w:val="zh-CN"/>
          <w14:textFill>
            <w14:solidFill>
              <w14:schemeClr w14:val="tx1"/>
            </w14:solidFill>
          </w14:textFill>
        </w:rPr>
        <w:t xml:space="preserve"> 合同中止、终止</w:t>
      </w:r>
      <w:bookmarkEnd w:id="182"/>
      <w:bookmarkEnd w:id="183"/>
      <w:bookmarkEnd w:id="184"/>
    </w:p>
    <w:p w14:paraId="4267967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85" w:name="_Toc6596"/>
      <w:bookmarkStart w:id="186" w:name="_Toc1125"/>
      <w:bookmarkStart w:id="187" w:name="_Toc14563"/>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5</w:t>
      </w:r>
      <w:r>
        <w:rPr>
          <w:rFonts w:hint="eastAsia" w:ascii="宋体" w:hAnsi="宋体" w:eastAsia="宋体" w:cs="Times New Roman"/>
          <w:b/>
          <w:bCs/>
          <w:color w:val="000000" w:themeColor="text1"/>
          <w:sz w:val="24"/>
          <w:szCs w:val="24"/>
          <w:lang w:val="zh-CN"/>
          <w14:textFill>
            <w14:solidFill>
              <w14:schemeClr w14:val="tx1"/>
            </w14:solidFill>
          </w14:textFill>
        </w:rPr>
        <w:t xml:space="preserve"> 检验和验收</w:t>
      </w:r>
      <w:bookmarkEnd w:id="185"/>
      <w:bookmarkEnd w:id="186"/>
      <w:bookmarkEnd w:id="187"/>
    </w:p>
    <w:p w14:paraId="07D4145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1乙方按照</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的约定</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定期提交服务报告</w:t>
      </w:r>
      <w:r>
        <w:rPr>
          <w:rFonts w:hint="eastAsia" w:ascii="宋体" w:hAnsi="宋体" w:eastAsia="宋体" w:cs="Times New Roman"/>
          <w:color w:val="000000" w:themeColor="text1"/>
          <w:sz w:val="24"/>
          <w:szCs w:val="24"/>
          <w14:textFill>
            <w14:solidFill>
              <w14:schemeClr w14:val="tx1"/>
            </w14:solidFill>
          </w14:textFill>
        </w:rPr>
        <w:t>，甲方按照</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的约定进行定期验收</w:t>
      </w:r>
      <w:r>
        <w:rPr>
          <w:rFonts w:hint="eastAsia" w:ascii="宋体" w:hAnsi="宋体" w:eastAsia="宋体" w:cs="Times New Roman"/>
          <w:color w:val="000000" w:themeColor="text1"/>
          <w:sz w:val="24"/>
          <w:szCs w:val="24"/>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hint="eastAsia" w:ascii="宋体" w:hAnsi="宋体" w:eastAsia="宋体" w:cs="Times New Roman"/>
          <w:i/>
          <w:color w:val="000000" w:themeColor="text1"/>
          <w:sz w:val="24"/>
          <w:szCs w:val="24"/>
          <w14:textFill>
            <w14:solidFill>
              <w14:schemeClr w14:val="tx1"/>
            </w14:solidFill>
          </w14:textFill>
        </w:rPr>
        <w:t>。</w:t>
      </w:r>
    </w:p>
    <w:bookmarkEnd w:id="157"/>
    <w:bookmarkEnd w:id="158"/>
    <w:bookmarkEnd w:id="159"/>
    <w:bookmarkEnd w:id="160"/>
    <w:p w14:paraId="5DFC0EA0">
      <w:pPr>
        <w:spacing w:line="360" w:lineRule="auto"/>
        <w:ind w:firstLine="437"/>
        <w:outlineLvl w:val="2"/>
        <w:rPr>
          <w:rFonts w:hint="eastAsia" w:ascii="宋体" w:hAnsi="宋体" w:eastAsia="宋体" w:cs="Times New Roman"/>
          <w:b/>
          <w:bCs/>
          <w:color w:val="000000" w:themeColor="text1"/>
          <w:sz w:val="24"/>
          <w:szCs w:val="24"/>
          <w14:textFill>
            <w14:solidFill>
              <w14:schemeClr w14:val="tx1"/>
            </w14:solidFill>
          </w14:textFill>
        </w:rPr>
      </w:pPr>
      <w:bookmarkStart w:id="188" w:name="_Toc18567"/>
      <w:bookmarkStart w:id="189" w:name="_Toc279701263"/>
      <w:bookmarkStart w:id="190" w:name="_Toc12773"/>
      <w:bookmarkStart w:id="191" w:name="_Toc10330"/>
      <w:bookmarkStart w:id="192" w:name="_Toc259093692"/>
      <w:bookmarkStart w:id="193" w:name="_Toc487900373"/>
      <w:r>
        <w:rPr>
          <w:rFonts w:hint="eastAsia" w:ascii="宋体" w:hAnsi="宋体" w:eastAsia="宋体" w:cs="Times New Roman"/>
          <w:b/>
          <w:bCs/>
          <w:color w:val="000000" w:themeColor="text1"/>
          <w:sz w:val="24"/>
          <w:szCs w:val="24"/>
          <w14:textFill>
            <w14:solidFill>
              <w14:schemeClr w14:val="tx1"/>
            </w14:solidFill>
          </w14:textFill>
        </w:rPr>
        <w:t>2.</w:t>
      </w:r>
      <w:r>
        <w:rPr>
          <w:rFonts w:ascii="宋体" w:hAnsi="宋体" w:eastAsia="宋体" w:cs="Times New Roman"/>
          <w:b/>
          <w:bCs/>
          <w:color w:val="000000" w:themeColor="text1"/>
          <w:sz w:val="24"/>
          <w:szCs w:val="24"/>
          <w14:textFill>
            <w14:solidFill>
              <w14:schemeClr w14:val="tx1"/>
            </w14:solidFill>
          </w14:textFill>
        </w:rPr>
        <w:t>16</w:t>
      </w:r>
      <w:r>
        <w:rPr>
          <w:rFonts w:hint="eastAsia" w:ascii="宋体" w:hAnsi="宋体" w:eastAsia="宋体" w:cs="Times New Roman"/>
          <w:b/>
          <w:bCs/>
          <w:color w:val="000000" w:themeColor="text1"/>
          <w:sz w:val="24"/>
          <w:szCs w:val="24"/>
          <w:lang w:val="zh-CN"/>
          <w14:textFill>
            <w14:solidFill>
              <w14:schemeClr w14:val="tx1"/>
            </w14:solidFill>
          </w14:textFill>
        </w:rPr>
        <w:t>合同使用的文字和</w:t>
      </w:r>
      <w:r>
        <w:rPr>
          <w:rFonts w:ascii="宋体" w:hAnsi="宋体" w:eastAsia="宋体" w:cs="Times New Roman"/>
          <w:b/>
          <w:bCs/>
          <w:color w:val="000000" w:themeColor="text1"/>
          <w:sz w:val="24"/>
          <w:szCs w:val="24"/>
          <w:lang w:val="zh-CN"/>
          <w14:textFill>
            <w14:solidFill>
              <w14:schemeClr w14:val="tx1"/>
            </w14:solidFill>
          </w14:textFill>
        </w:rPr>
        <w:t>适用的法律</w:t>
      </w:r>
      <w:bookmarkEnd w:id="188"/>
      <w:bookmarkEnd w:id="189"/>
      <w:bookmarkEnd w:id="190"/>
      <w:bookmarkEnd w:id="191"/>
      <w:bookmarkEnd w:id="192"/>
      <w:bookmarkEnd w:id="193"/>
    </w:p>
    <w:p w14:paraId="29C9FF3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16.1合同使用汉语书就</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变更和解释</w:t>
      </w:r>
      <w:r>
        <w:rPr>
          <w:rFonts w:hint="eastAsia" w:ascii="宋体" w:hAnsi="宋体" w:eastAsia="宋体" w:cs="Times New Roman"/>
          <w:color w:val="000000" w:themeColor="text1"/>
          <w:sz w:val="24"/>
          <w:szCs w:val="24"/>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16</w:t>
      </w:r>
      <w:r>
        <w:rPr>
          <w:rFonts w:hint="eastAsia" w:ascii="宋体" w:hAnsi="宋体" w:eastAsia="宋体" w:cs="Times New Roman"/>
          <w:color w:val="000000" w:themeColor="text1"/>
          <w:sz w:val="24"/>
          <w:szCs w:val="24"/>
          <w14:textFill>
            <w14:solidFill>
              <w14:schemeClr w14:val="tx1"/>
            </w14:solidFill>
          </w14:textFill>
        </w:rPr>
        <w:t>.2合同适用</w:t>
      </w:r>
      <w:r>
        <w:rPr>
          <w:rFonts w:ascii="宋体" w:hAnsi="宋体" w:eastAsia="宋体" w:cs="Times New Roman"/>
          <w:color w:val="000000" w:themeColor="text1"/>
          <w:sz w:val="24"/>
          <w:szCs w:val="24"/>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94" w:name="_Toc3148"/>
      <w:bookmarkStart w:id="195" w:name="_Toc259093693"/>
      <w:bookmarkStart w:id="196" w:name="_Toc279701264"/>
      <w:bookmarkStart w:id="197" w:name="_Toc16673"/>
      <w:bookmarkStart w:id="198" w:name="_Toc12004"/>
      <w:bookmarkStart w:id="199" w:name="_Toc487900374"/>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17履约保证金</w:t>
      </w:r>
      <w:bookmarkEnd w:id="194"/>
      <w:bookmarkEnd w:id="195"/>
      <w:bookmarkEnd w:id="196"/>
      <w:bookmarkEnd w:id="197"/>
      <w:bookmarkEnd w:id="198"/>
    </w:p>
    <w:p w14:paraId="7925BF0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.1采购文件要求乙方提交履约保证金的，乙方</w:t>
      </w:r>
      <w:r>
        <w:rPr>
          <w:rFonts w:ascii="宋体" w:hAnsi="宋体" w:eastAsia="宋体" w:cs="Times New Roman"/>
          <w:color w:val="000000" w:themeColor="text1"/>
          <w:sz w:val="24"/>
          <w:szCs w:val="24"/>
          <w14:textFill>
            <w14:solidFill>
              <w14:schemeClr w14:val="tx1"/>
            </w14:solidFill>
          </w14:textFill>
        </w:rPr>
        <w:t>应按</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约定的方式</w:t>
      </w:r>
      <w:r>
        <w:rPr>
          <w:rFonts w:hint="eastAsia" w:ascii="宋体" w:hAnsi="宋体" w:eastAsia="宋体" w:cs="Times New Roman"/>
          <w:color w:val="000000" w:themeColor="text1"/>
          <w:sz w:val="24"/>
          <w:szCs w:val="24"/>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17.2履约保证金在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14:textFill>
            <w14:solidFill>
              <w14:schemeClr w14:val="tx1"/>
            </w14:solidFill>
          </w14:textFill>
        </w:rPr>
        <w:t>，前述约定期间届满</w:t>
      </w:r>
      <w:r>
        <w:rPr>
          <w:rFonts w:ascii="宋体" w:hAnsi="宋体" w:eastAsia="宋体" w:cs="Times New Roman"/>
          <w:color w:val="000000" w:themeColor="text1"/>
          <w:sz w:val="24"/>
          <w:szCs w:val="24"/>
          <w14:textFill>
            <w14:solidFill>
              <w14:schemeClr w14:val="tx1"/>
            </w14:solidFill>
          </w14:textFill>
        </w:rPr>
        <w:t>之日起</w:t>
      </w:r>
      <w:r>
        <w:rPr>
          <w:rFonts w:hint="eastAsia" w:ascii="宋体" w:hAnsi="宋体" w:eastAsia="宋体" w:cs="Times New Roman"/>
          <w:color w:val="000000" w:themeColor="text1"/>
          <w:sz w:val="24"/>
          <w:szCs w:val="24"/>
          <w14:textFill>
            <w14:solidFill>
              <w14:schemeClr w14:val="tx1"/>
            </w14:solidFill>
          </w14:textFill>
        </w:rPr>
        <w:t>个</w:t>
      </w:r>
      <w:r>
        <w:rPr>
          <w:rFonts w:ascii="宋体" w:hAnsi="宋体" w:eastAsia="宋体" w:cs="Times New Roman"/>
          <w:color w:val="000000" w:themeColor="text1"/>
          <w:sz w:val="24"/>
          <w:szCs w:val="24"/>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如果乙方不履行合同</w:t>
      </w:r>
      <w:r>
        <w:rPr>
          <w:rFonts w:hint="eastAsia" w:ascii="宋体" w:hAnsi="宋体" w:eastAsia="宋体" w:cs="Times New Roman"/>
          <w:color w:val="000000" w:themeColor="text1"/>
          <w:sz w:val="24"/>
          <w:szCs w:val="24"/>
          <w14:textFill>
            <w14:solidFill>
              <w14:schemeClr w14:val="tx1"/>
            </w14:solidFill>
          </w14:textFill>
        </w:rPr>
        <w:t>，履约保证金不予退还；如果乙方</w:t>
      </w:r>
      <w:r>
        <w:rPr>
          <w:rFonts w:ascii="宋体" w:hAnsi="宋体" w:eastAsia="宋体" w:cs="Times New Roman"/>
          <w:color w:val="000000" w:themeColor="text1"/>
          <w:sz w:val="24"/>
          <w:szCs w:val="24"/>
          <w14:textFill>
            <w14:solidFill>
              <w14:schemeClr w14:val="tx1"/>
            </w14:solidFill>
          </w14:textFill>
        </w:rPr>
        <w:t>未能按合同</w:t>
      </w:r>
      <w:r>
        <w:rPr>
          <w:rFonts w:hint="eastAsia" w:ascii="宋体" w:hAnsi="宋体" w:eastAsia="宋体" w:cs="Times New Roman"/>
          <w:color w:val="000000" w:themeColor="text1"/>
          <w:sz w:val="24"/>
          <w:szCs w:val="24"/>
          <w14:textFill>
            <w14:solidFill>
              <w14:schemeClr w14:val="tx1"/>
            </w14:solidFill>
          </w14:textFill>
        </w:rPr>
        <w:t>约</w:t>
      </w:r>
      <w:r>
        <w:rPr>
          <w:rFonts w:ascii="宋体" w:hAnsi="宋体" w:eastAsia="宋体" w:cs="Times New Roman"/>
          <w:color w:val="000000" w:themeColor="text1"/>
          <w:sz w:val="24"/>
          <w:szCs w:val="24"/>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14:textFill>
            <w14:solidFill>
              <w14:schemeClr w14:val="tx1"/>
            </w14:solidFill>
          </w14:textFill>
        </w:rPr>
        <w:t>，同时不影响甲方要求乙方承担合同约定的超过履约保证金的违约责任的权利。</w:t>
      </w:r>
    </w:p>
    <w:bookmarkEnd w:id="199"/>
    <w:p w14:paraId="3AFE9D1B">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200" w:name="_Toc19890"/>
      <w:bookmarkStart w:id="201" w:name="_Toc14001"/>
      <w:bookmarkStart w:id="202" w:name="_Toc6885"/>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18</w:t>
      </w:r>
      <w:r>
        <w:rPr>
          <w:rFonts w:hint="eastAsia" w:ascii="宋体" w:hAnsi="宋体" w:eastAsia="宋体" w:cs="Times New Roman"/>
          <w:b/>
          <w:bCs/>
          <w:color w:val="000000" w:themeColor="text1"/>
          <w:sz w:val="24"/>
          <w:szCs w:val="24"/>
          <w:lang w:val="zh-CN"/>
          <w14:textFill>
            <w14:solidFill>
              <w14:schemeClr w14:val="tx1"/>
            </w14:solidFill>
          </w14:textFill>
        </w:rPr>
        <w:t xml:space="preserve"> 合同份数</w:t>
      </w:r>
      <w:bookmarkEnd w:id="200"/>
      <w:bookmarkEnd w:id="201"/>
      <w:bookmarkEnd w:id="202"/>
    </w:p>
    <w:p w14:paraId="54DDD7B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合同份数按</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规定</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每份均具有同等法律效力</w:t>
      </w:r>
      <w:r>
        <w:rPr>
          <w:rFonts w:hint="eastAsia" w:ascii="宋体" w:hAnsi="宋体" w:eastAsia="宋体" w:cs="Times New Roman"/>
          <w:color w:val="000000" w:themeColor="text1"/>
          <w:sz w:val="24"/>
          <w:szCs w:val="24"/>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br w:type="page"/>
      </w:r>
      <w:bookmarkStart w:id="203" w:name="_Toc3736"/>
      <w:bookmarkStart w:id="204" w:name="_Toc24967"/>
      <w:r>
        <w:rPr>
          <w:rFonts w:hint="eastAsia" w:ascii="宋体" w:hAnsi="宋体" w:eastAsia="宋体"/>
          <w:b/>
          <w:color w:val="000000" w:themeColor="text1"/>
          <w:sz w:val="24"/>
          <w14:textFill>
            <w14:solidFill>
              <w14:schemeClr w14:val="tx1"/>
            </w14:solidFill>
          </w14:textFill>
        </w:rPr>
        <w:t>第三部分合同专用条款</w:t>
      </w:r>
      <w:bookmarkEnd w:id="203"/>
      <w:bookmarkEnd w:id="204"/>
    </w:p>
    <w:p w14:paraId="4CF4E8AB">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本部分</w:t>
      </w:r>
      <w:r>
        <w:rPr>
          <w:rFonts w:ascii="宋体" w:hAnsi="宋体" w:eastAsia="宋体" w:cs="Times New Roman"/>
          <w:color w:val="000000" w:themeColor="text1"/>
          <w:sz w:val="24"/>
          <w:szCs w:val="24"/>
          <w14:textFill>
            <w14:solidFill>
              <w14:schemeClr w14:val="tx1"/>
            </w14:solidFill>
          </w14:textFill>
        </w:rPr>
        <w:t>是对</w:t>
      </w:r>
      <w:r>
        <w:rPr>
          <w:rFonts w:hint="eastAsia" w:ascii="宋体" w:hAnsi="宋体" w:eastAsia="宋体" w:cs="Times New Roman"/>
          <w:color w:val="000000" w:themeColor="text1"/>
          <w:sz w:val="24"/>
          <w:szCs w:val="24"/>
          <w14:textFill>
            <w14:solidFill>
              <w14:schemeClr w14:val="tx1"/>
            </w14:solidFill>
          </w14:textFill>
        </w:rPr>
        <w:t>前两</w:t>
      </w:r>
      <w:r>
        <w:rPr>
          <w:rFonts w:ascii="宋体" w:hAnsi="宋体" w:eastAsia="宋体" w:cs="Times New Roman"/>
          <w:color w:val="000000" w:themeColor="text1"/>
          <w:sz w:val="24"/>
          <w:szCs w:val="24"/>
          <w14:textFill>
            <w14:solidFill>
              <w14:schemeClr w14:val="tx1"/>
            </w14:solidFill>
          </w14:textFill>
        </w:rPr>
        <w:t>部分的补充和修改</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w:t>
      </w:r>
      <w:r>
        <w:rPr>
          <w:rFonts w:hint="eastAsia" w:ascii="宋体" w:hAnsi="宋体" w:eastAsia="宋体" w:cs="Times New Roman"/>
          <w:color w:val="000000" w:themeColor="text1"/>
          <w:sz w:val="24"/>
          <w:szCs w:val="24"/>
          <w14:textFill>
            <w14:solidFill>
              <w14:schemeClr w14:val="tx1"/>
            </w14:solidFill>
          </w14:textFill>
        </w:rPr>
        <w:t>前两</w:t>
      </w:r>
      <w:r>
        <w:rPr>
          <w:rFonts w:ascii="宋体" w:hAnsi="宋体" w:eastAsia="宋体" w:cs="Times New Roman"/>
          <w:color w:val="000000" w:themeColor="text1"/>
          <w:sz w:val="24"/>
          <w:szCs w:val="24"/>
          <w14:textFill>
            <w14:solidFill>
              <w14:schemeClr w14:val="tx1"/>
            </w14:solidFill>
          </w14:textFill>
        </w:rPr>
        <w:t>部分和本部分的约定不一致</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应以本部分的约定为准</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本部分的条款号应与</w:t>
      </w:r>
      <w:r>
        <w:rPr>
          <w:rFonts w:hint="eastAsia" w:ascii="宋体" w:hAnsi="宋体" w:eastAsia="宋体" w:cs="Times New Roman"/>
          <w:color w:val="000000" w:themeColor="text1"/>
          <w:sz w:val="24"/>
          <w:szCs w:val="24"/>
          <w14:textFill>
            <w14:solidFill>
              <w14:schemeClr w14:val="tx1"/>
            </w14:solidFill>
          </w14:textFill>
        </w:rPr>
        <w:t>前两部分</w:t>
      </w:r>
      <w:r>
        <w:rPr>
          <w:rFonts w:ascii="宋体" w:hAnsi="宋体" w:eastAsia="宋体" w:cs="Times New Roman"/>
          <w:color w:val="000000" w:themeColor="text1"/>
          <w:sz w:val="24"/>
          <w:szCs w:val="24"/>
          <w14:textFill>
            <w14:solidFill>
              <w14:schemeClr w14:val="tx1"/>
            </w14:solidFill>
          </w14:textFill>
        </w:rPr>
        <w:t>的条款号保持对应</w:t>
      </w:r>
      <w:r>
        <w:rPr>
          <w:rFonts w:hint="eastAsia" w:ascii="宋体" w:hAnsi="宋体" w:eastAsia="宋体" w:cs="Times New Roman"/>
          <w:color w:val="000000" w:themeColor="text1"/>
          <w:sz w:val="24"/>
          <w:szCs w:val="24"/>
          <w14:textFill>
            <w14:solidFill>
              <w14:schemeClr w14:val="tx1"/>
            </w14:solidFill>
          </w14:textFill>
        </w:rPr>
        <w:t>；与前两部分</w:t>
      </w:r>
      <w:r>
        <w:rPr>
          <w:rFonts w:ascii="宋体" w:hAnsi="宋体" w:eastAsia="宋体" w:cs="Times New Roman"/>
          <w:color w:val="000000" w:themeColor="text1"/>
          <w:sz w:val="24"/>
          <w:szCs w:val="24"/>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14:textFill>
            <w14:solidFill>
              <w14:schemeClr w14:val="tx1"/>
            </w14:solidFill>
          </w14:textFill>
        </w:rPr>
        <w:t>。</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jc w:val="center"/>
              <w:rPr>
                <w:rFonts w:hint="eastAsia"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条款号</w:t>
            </w:r>
          </w:p>
        </w:tc>
        <w:tc>
          <w:tcPr>
            <w:tcW w:w="7568" w:type="dxa"/>
            <w:vAlign w:val="center"/>
          </w:tcPr>
          <w:p w14:paraId="00077F50">
            <w:pPr>
              <w:jc w:val="center"/>
              <w:rPr>
                <w:rFonts w:hint="eastAsia"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7D0D5630">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2EA53FD2">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4DDC004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42795BCB">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6F59C2A4">
            <w:pPr>
              <w:spacing w:line="560" w:lineRule="exact"/>
              <w:rPr>
                <w:rFonts w:hint="eastAsia" w:ascii="宋体" w:hAnsi="宋体" w:eastAsia="宋体" w:cs="Times New Roman"/>
                <w:color w:val="000000" w:themeColor="text1"/>
                <w:sz w:val="24"/>
                <w:szCs w:val="24"/>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5921F7D9">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3C81746C">
            <w:pPr>
              <w:spacing w:line="560" w:lineRule="exact"/>
              <w:rPr>
                <w:rFonts w:hint="eastAsia" w:ascii="宋体" w:hAnsi="宋体" w:eastAsia="宋体" w:cs="Times New Roman"/>
                <w:color w:val="000000" w:themeColor="text1"/>
                <w:sz w:val="24"/>
                <w:szCs w:val="24"/>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7003AC3B">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0CE42FF1">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5FF83A6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bl>
    <w:p w14:paraId="4B7839E6">
      <w:pPr>
        <w:spacing w:line="360" w:lineRule="auto"/>
        <w:rPr>
          <w:rFonts w:hint="eastAsia" w:ascii="宋体" w:hAnsi="宋体" w:eastAsia="宋体"/>
          <w:color w:val="000000" w:themeColor="text1"/>
          <w:sz w:val="24"/>
          <w14:textFill>
            <w14:solidFill>
              <w14:schemeClr w14:val="tx1"/>
            </w14:solidFill>
          </w14:textFill>
        </w:rPr>
      </w:pPr>
    </w:p>
    <w:p w14:paraId="58CCD811">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4589F46B">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58728A75">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3D367F53">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6EBF5E4E">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3E91B74B">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773193E1">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479E6BAC">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第六章  投标文件格式</w:t>
      </w:r>
      <w:bookmarkEnd w:id="58"/>
    </w:p>
    <w:p w14:paraId="23958AA4">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3AF4714C">
      <w:pPr>
        <w:jc w:val="center"/>
        <w:rPr>
          <w:rFonts w:hint="eastAsia" w:eastAsia="黑体"/>
          <w:color w:val="000000" w:themeColor="text1"/>
          <w:sz w:val="20"/>
          <w14:textFill>
            <w14:solidFill>
              <w14:schemeClr w14:val="tx1"/>
            </w14:solidFill>
          </w14:textFill>
        </w:rPr>
      </w:pPr>
      <w:bookmarkStart w:id="205" w:name="_Toc28960"/>
      <w:bookmarkStart w:id="206" w:name="_Toc5555"/>
    </w:p>
    <w:p w14:paraId="4EAB4188">
      <w:pPr>
        <w:rPr>
          <w:rFonts w:hint="eastAsia" w:eastAsia="黑体"/>
          <w:color w:val="000000" w:themeColor="text1"/>
          <w:sz w:val="20"/>
          <w14:textFill>
            <w14:solidFill>
              <w14:schemeClr w14:val="tx1"/>
            </w14:solidFill>
          </w14:textFill>
        </w:rPr>
      </w:pPr>
    </w:p>
    <w:p w14:paraId="1AFDDED7">
      <w:pPr>
        <w:spacing w:line="900" w:lineRule="exact"/>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207" w:name="_Toc651"/>
      <w:r>
        <w:rPr>
          <w:rFonts w:hint="eastAsia" w:asciiTheme="minorEastAsia" w:hAnsiTheme="minorEastAsia" w:eastAsiaTheme="minorEastAsia"/>
          <w:b/>
          <w:color w:val="000000" w:themeColor="text1"/>
          <w:sz w:val="72"/>
          <w14:textFill>
            <w14:solidFill>
              <w14:schemeClr w14:val="tx1"/>
            </w14:solidFill>
          </w14:textFill>
        </w:rPr>
        <w:t>投</w:t>
      </w:r>
      <w:bookmarkEnd w:id="207"/>
    </w:p>
    <w:p w14:paraId="185AAF2E">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69FF3FB7">
      <w:pPr>
        <w:spacing w:line="900" w:lineRule="exact"/>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208" w:name="_Toc6148"/>
      <w:r>
        <w:rPr>
          <w:rFonts w:hint="eastAsia" w:asciiTheme="minorEastAsia" w:hAnsiTheme="minorEastAsia" w:eastAsiaTheme="minorEastAsia"/>
          <w:b/>
          <w:color w:val="000000" w:themeColor="text1"/>
          <w:sz w:val="72"/>
          <w14:textFill>
            <w14:solidFill>
              <w14:schemeClr w14:val="tx1"/>
            </w14:solidFill>
          </w14:textFill>
        </w:rPr>
        <w:t>标</w:t>
      </w:r>
      <w:bookmarkEnd w:id="208"/>
    </w:p>
    <w:p w14:paraId="003C3EAE">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223D3B9B">
      <w:pPr>
        <w:spacing w:line="900" w:lineRule="exact"/>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209" w:name="_Toc1338"/>
      <w:r>
        <w:rPr>
          <w:rFonts w:hint="eastAsia" w:asciiTheme="minorEastAsia" w:hAnsiTheme="minorEastAsia" w:eastAsiaTheme="minorEastAsia"/>
          <w:b/>
          <w:color w:val="000000" w:themeColor="text1"/>
          <w:sz w:val="72"/>
          <w14:textFill>
            <w14:solidFill>
              <w14:schemeClr w14:val="tx1"/>
            </w14:solidFill>
          </w14:textFill>
        </w:rPr>
        <w:t>文</w:t>
      </w:r>
      <w:bookmarkEnd w:id="209"/>
    </w:p>
    <w:p w14:paraId="22246B19">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6A2D7260">
      <w:pPr>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210" w:name="_Toc10796"/>
      <w:r>
        <w:rPr>
          <w:rFonts w:hint="eastAsia" w:asciiTheme="minorEastAsia" w:hAnsiTheme="minorEastAsia" w:eastAsiaTheme="minorEastAsia"/>
          <w:b/>
          <w:color w:val="000000" w:themeColor="text1"/>
          <w:sz w:val="72"/>
          <w14:textFill>
            <w14:solidFill>
              <w14:schemeClr w14:val="tx1"/>
            </w14:solidFill>
          </w14:textFill>
        </w:rPr>
        <w:t>件</w:t>
      </w:r>
      <w:bookmarkEnd w:id="210"/>
    </w:p>
    <w:p w14:paraId="6C89B3F9">
      <w:pPr>
        <w:rPr>
          <w:rFonts w:hint="eastAsia" w:ascii="宋体" w:hAnsi="宋体" w:eastAsia="宋体" w:cs="宋体"/>
          <w:color w:val="000000" w:themeColor="text1"/>
          <w:sz w:val="28"/>
          <w:szCs w:val="28"/>
          <w14:textFill>
            <w14:solidFill>
              <w14:schemeClr w14:val="tx1"/>
            </w14:solidFill>
          </w14:textFill>
        </w:rPr>
      </w:pPr>
    </w:p>
    <w:p w14:paraId="79CA5542">
      <w:pPr>
        <w:rPr>
          <w:rFonts w:hint="eastAsia" w:ascii="宋体" w:hAnsi="宋体" w:eastAsia="宋体" w:cs="宋体"/>
          <w:color w:val="000000" w:themeColor="text1"/>
          <w:sz w:val="28"/>
          <w:szCs w:val="28"/>
          <w14:textFill>
            <w14:solidFill>
              <w14:schemeClr w14:val="tx1"/>
            </w14:solidFill>
          </w14:textFill>
        </w:rPr>
      </w:pPr>
    </w:p>
    <w:p w14:paraId="6235C447">
      <w:pPr>
        <w:rPr>
          <w:rFonts w:hint="eastAsia" w:ascii="宋体" w:hAnsi="宋体" w:eastAsia="宋体" w:cs="宋体"/>
          <w:color w:val="000000" w:themeColor="text1"/>
          <w:sz w:val="28"/>
          <w:szCs w:val="28"/>
          <w14:textFill>
            <w14:solidFill>
              <w14:schemeClr w14:val="tx1"/>
            </w14:solidFill>
          </w14:textFill>
        </w:rPr>
      </w:pPr>
    </w:p>
    <w:p w14:paraId="43B7C902">
      <w:pPr>
        <w:tabs>
          <w:tab w:val="left" w:pos="2410"/>
        </w:tabs>
        <w:autoSpaceDE w:val="0"/>
        <w:autoSpaceDN w:val="0"/>
        <w:adjustRightInd w:val="0"/>
        <w:snapToGrid w:val="0"/>
        <w:spacing w:line="360" w:lineRule="auto"/>
        <w:ind w:firstLine="64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项目名称：</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7CA73D2C">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项目编号：</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36E2ACF5">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投 标 人：</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3112031A">
      <w:pPr>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0DDCF5">
      <w:pPr>
        <w:spacing w:line="48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7DE254AE">
      <w:pPr>
        <w:spacing w:line="400" w:lineRule="exact"/>
        <w:ind w:firstLine="562" w:firstLineChars="200"/>
        <w:rPr>
          <w:rFonts w:hint="eastAsia" w:ascii="宋体" w:hAnsi="宋体" w:eastAsia="宋体" w:cs="宋体"/>
          <w:b/>
          <w:color w:val="000000" w:themeColor="text1"/>
          <w:sz w:val="28"/>
          <w:szCs w:val="28"/>
          <w:lang w:bidi="ar"/>
          <w14:textFill>
            <w14:solidFill>
              <w14:schemeClr w14:val="tx1"/>
            </w14:solidFill>
          </w14:textFill>
        </w:rPr>
      </w:pPr>
    </w:p>
    <w:p w14:paraId="6ED78175">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 xml:space="preserve">一、投标人资格声明书 </w:t>
      </w:r>
    </w:p>
    <w:p w14:paraId="5C8E5538">
      <w:pPr>
        <w:pStyle w:val="22"/>
        <w:spacing w:before="0" w:beforeAutospacing="0" w:after="0" w:afterAutospacing="0" w:line="360" w:lineRule="auto"/>
        <w:ind w:firstLine="482"/>
        <w:jc w:val="both"/>
        <w:rPr>
          <w:rFonts w:hint="eastAsia" w:ascii="宋体" w:hAnsi="宋体" w:eastAsia="宋体" w:cs="宋体"/>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致：</w:t>
      </w:r>
      <w:r>
        <w:rPr>
          <w:rFonts w:hint="eastAsia" w:ascii="宋体" w:hAnsi="宋体" w:eastAsia="宋体" w:cs="宋体"/>
          <w:b/>
          <w:color w:val="000000" w:themeColor="text1"/>
          <w:kern w:val="2"/>
          <w:szCs w:val="24"/>
          <w:u w:val="single"/>
          <w:lang w:bidi="ar"/>
          <w14:textFill>
            <w14:solidFill>
              <w14:schemeClr w14:val="tx1"/>
            </w14:solidFill>
          </w14:textFill>
        </w:rPr>
        <w:t>采购人</w:t>
      </w:r>
    </w:p>
    <w:p w14:paraId="5B683EF3">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在参与本次项目投标中，我单位承诺：</w:t>
      </w:r>
    </w:p>
    <w:p w14:paraId="4943E8E9">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（一）具有良好的商业信誉和健全的财务会计制度；</w:t>
      </w:r>
    </w:p>
    <w:p w14:paraId="4D4B1D6B">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（二）具有履行合同所必需的设备和专业技术能力；</w:t>
      </w:r>
    </w:p>
    <w:p w14:paraId="55B4657D">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（三）有依法缴纳税收和社会保障资金的良好记录；</w:t>
      </w:r>
    </w:p>
    <w:p w14:paraId="04A66187">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F827D8">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341D8554">
      <w:pPr>
        <w:widowControl/>
        <w:autoSpaceDE w:val="0"/>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D31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6B90A4BB">
            <w:pPr>
              <w:widowControl/>
              <w:autoSpaceDE w:val="0"/>
              <w:spacing w:before="156" w:beforeLines="50" w:after="1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序号</w:t>
            </w:r>
          </w:p>
        </w:tc>
        <w:tc>
          <w:tcPr>
            <w:tcW w:w="2841" w:type="dxa"/>
            <w:tcBorders>
              <w:top w:val="single" w:color="auto" w:sz="4" w:space="0"/>
              <w:left w:val="nil"/>
              <w:bottom w:val="single" w:color="auto" w:sz="4" w:space="0"/>
              <w:right w:val="single" w:color="auto" w:sz="4" w:space="0"/>
            </w:tcBorders>
            <w:shd w:val="clear" w:color="auto" w:fill="auto"/>
          </w:tcPr>
          <w:p w14:paraId="270C8322">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60F8A17">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相互关系</w:t>
            </w:r>
          </w:p>
        </w:tc>
      </w:tr>
      <w:tr w14:paraId="1797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2C2C6809">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1</w:t>
            </w:r>
          </w:p>
        </w:tc>
        <w:tc>
          <w:tcPr>
            <w:tcW w:w="2841" w:type="dxa"/>
            <w:tcBorders>
              <w:top w:val="single" w:color="auto" w:sz="4" w:space="0"/>
              <w:left w:val="nil"/>
              <w:bottom w:val="single" w:color="auto" w:sz="4" w:space="0"/>
              <w:right w:val="single" w:color="auto" w:sz="4" w:space="0"/>
            </w:tcBorders>
            <w:shd w:val="clear" w:color="auto" w:fill="auto"/>
          </w:tcPr>
          <w:p w14:paraId="3E9FF3FE">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14:paraId="19601F22">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r>
      <w:tr w14:paraId="5E51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A3D3FE3">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2</w:t>
            </w:r>
          </w:p>
        </w:tc>
        <w:tc>
          <w:tcPr>
            <w:tcW w:w="2841" w:type="dxa"/>
            <w:tcBorders>
              <w:top w:val="single" w:color="auto" w:sz="4" w:space="0"/>
              <w:left w:val="nil"/>
              <w:bottom w:val="single" w:color="auto" w:sz="4" w:space="0"/>
              <w:right w:val="single" w:color="auto" w:sz="4" w:space="0"/>
            </w:tcBorders>
            <w:shd w:val="clear" w:color="auto" w:fill="auto"/>
          </w:tcPr>
          <w:p w14:paraId="3AC8A881">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14:paraId="3EF529D1">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r>
    </w:tbl>
    <w:p w14:paraId="0ABC3F03">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本单位对上述声明的真实性负责。如有虚假，将依法承担相应责任。</w:t>
      </w:r>
    </w:p>
    <w:p w14:paraId="72CA0A3D">
      <w:pPr>
        <w:spacing w:line="360" w:lineRule="auto"/>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（盖 章）</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p>
    <w:p w14:paraId="4BF7B02F">
      <w:pPr>
        <w:spacing w:line="360" w:lineRule="auto"/>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   期：</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p>
    <w:p w14:paraId="782ED5CF">
      <w:pPr>
        <w:pStyle w:val="22"/>
        <w:spacing w:before="0" w:after="120" w:afterAutospacing="0"/>
        <w:ind w:firstLine="482"/>
        <w:jc w:val="center"/>
        <w:rPr>
          <w:rFonts w:hint="eastAsia"/>
          <w:b/>
          <w:color w:val="000000" w:themeColor="text1"/>
          <w:lang w:bidi="ar"/>
          <w14:textFill>
            <w14:solidFill>
              <w14:schemeClr w14:val="tx1"/>
            </w14:solidFill>
          </w14:textFill>
        </w:rPr>
      </w:pPr>
    </w:p>
    <w:p w14:paraId="37CD6521">
      <w:pPr>
        <w:pStyle w:val="22"/>
        <w:spacing w:before="0" w:after="120" w:afterAutospacing="0"/>
        <w:ind w:firstLine="482"/>
        <w:jc w:val="center"/>
        <w:rPr>
          <w:rFonts w:hint="eastAsia"/>
          <w:b/>
          <w:color w:val="000000" w:themeColor="text1"/>
          <w:lang w:bidi="ar"/>
          <w14:textFill>
            <w14:solidFill>
              <w14:schemeClr w14:val="tx1"/>
            </w14:solidFill>
          </w14:textFill>
        </w:rPr>
      </w:pPr>
    </w:p>
    <w:p w14:paraId="5DAD7170">
      <w:pPr>
        <w:pStyle w:val="22"/>
        <w:spacing w:before="0" w:after="120" w:afterAutospacing="0"/>
        <w:ind w:firstLine="482"/>
        <w:jc w:val="center"/>
        <w:rPr>
          <w:rFonts w:hint="eastAsia"/>
          <w:b/>
          <w:color w:val="000000" w:themeColor="text1"/>
          <w:lang w:bidi="ar"/>
          <w14:textFill>
            <w14:solidFill>
              <w14:schemeClr w14:val="tx1"/>
            </w14:solidFill>
          </w14:textFill>
        </w:rPr>
      </w:pPr>
    </w:p>
    <w:p w14:paraId="61E5B658">
      <w:pPr>
        <w:pStyle w:val="22"/>
        <w:spacing w:before="0" w:after="120" w:afterAutospacing="0"/>
        <w:ind w:firstLine="482"/>
        <w:jc w:val="center"/>
        <w:rPr>
          <w:rFonts w:hint="eastAsia"/>
          <w:b/>
          <w:color w:val="000000" w:themeColor="text1"/>
          <w:lang w:bidi="ar"/>
          <w14:textFill>
            <w14:solidFill>
              <w14:schemeClr w14:val="tx1"/>
            </w14:solidFill>
          </w14:textFill>
        </w:rPr>
      </w:pPr>
    </w:p>
    <w:p w14:paraId="449133F2">
      <w:pPr>
        <w:pStyle w:val="22"/>
        <w:spacing w:before="0" w:after="120" w:afterAutospacing="0"/>
        <w:ind w:firstLine="482"/>
        <w:jc w:val="center"/>
        <w:rPr>
          <w:rFonts w:hint="eastAsia"/>
          <w:b/>
          <w:color w:val="000000" w:themeColor="text1"/>
          <w:lang w:bidi="ar"/>
          <w14:textFill>
            <w14:solidFill>
              <w14:schemeClr w14:val="tx1"/>
            </w14:solidFill>
          </w14:textFill>
        </w:rPr>
      </w:pPr>
    </w:p>
    <w:p w14:paraId="1182ACEC">
      <w:pPr>
        <w:pStyle w:val="22"/>
        <w:spacing w:before="0" w:after="120" w:afterAutospacing="0"/>
        <w:ind w:firstLine="482"/>
        <w:jc w:val="center"/>
        <w:rPr>
          <w:rFonts w:hint="eastAsia"/>
          <w:b/>
          <w:color w:val="000000" w:themeColor="text1"/>
          <w:lang w:bidi="ar"/>
          <w14:textFill>
            <w14:solidFill>
              <w14:schemeClr w14:val="tx1"/>
            </w14:solidFill>
          </w14:textFill>
        </w:rPr>
      </w:pPr>
    </w:p>
    <w:p w14:paraId="5D30A3B0">
      <w:pPr>
        <w:pStyle w:val="22"/>
        <w:spacing w:before="0" w:after="120" w:afterAutospacing="0"/>
        <w:ind w:firstLine="482"/>
        <w:jc w:val="center"/>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lang w:bidi="ar"/>
          <w14:textFill>
            <w14:solidFill>
              <w14:schemeClr w14:val="tx1"/>
            </w14:solidFill>
          </w14:textFill>
        </w:rPr>
        <w:t>二、授权书</w:t>
      </w:r>
    </w:p>
    <w:p w14:paraId="2E047B7E">
      <w:pPr>
        <w:pStyle w:val="22"/>
        <w:spacing w:before="0" w:beforeAutospacing="0" w:after="0" w:afterAutospacing="0" w:line="360" w:lineRule="auto"/>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 xml:space="preserve"> </w:t>
      </w:r>
    </w:p>
    <w:p w14:paraId="7D02617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本授权书声明：</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（投标人名称）授权</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（投标人授权代表姓名）代表我方参加本项目</w:t>
      </w:r>
      <w:r>
        <w:rPr>
          <w:rFonts w:hint="eastAsia" w:ascii="宋体" w:hAnsi="宋体" w:eastAsia="宋体" w:cs="宋体"/>
          <w:bCs/>
          <w:color w:val="000000" w:themeColor="text1"/>
          <w:sz w:val="24"/>
          <w:szCs w:val="24"/>
          <w:lang w:bidi="ar"/>
          <w14:textFill>
            <w14:solidFill>
              <w14:schemeClr w14:val="tx1"/>
            </w14:solidFill>
          </w14:textFill>
        </w:rPr>
        <w:t>采购活动</w:t>
      </w:r>
      <w:r>
        <w:rPr>
          <w:rFonts w:hint="eastAsia" w:ascii="宋体" w:hAnsi="宋体" w:eastAsia="宋体" w:cs="宋体"/>
          <w:color w:val="000000" w:themeColor="text1"/>
          <w:sz w:val="24"/>
          <w:szCs w:val="24"/>
          <w:lang w:bidi="ar"/>
          <w14:textFill>
            <w14:solidFill>
              <w14:schemeClr w14:val="tx1"/>
            </w14:solidFill>
          </w14:textFill>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5F622A7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本授权书自出具之日起生效。</w:t>
      </w:r>
    </w:p>
    <w:p w14:paraId="5404B47B">
      <w:pPr>
        <w:spacing w:line="360" w:lineRule="auto"/>
        <w:ind w:firstLine="48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授权代表身份证明复印件：</w:t>
      </w:r>
    </w:p>
    <w:p w14:paraId="538CBF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59ABE0D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31DE11C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2F5C6EBC">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授权代表联系方式：</w:t>
      </w:r>
      <w:r>
        <w:rPr>
          <w:rFonts w:hint="eastAsia" w:ascii="宋体" w:hAnsi="宋体" w:eastAsia="宋体" w:cs="宋体"/>
          <w:color w:val="000000" w:themeColor="text1"/>
          <w:sz w:val="24"/>
          <w:szCs w:val="24"/>
          <w:u w:val="single"/>
          <w:lang w:bidi="ar"/>
          <w14:textFill>
            <w14:solidFill>
              <w14:schemeClr w14:val="tx1"/>
            </w14:solidFill>
          </w14:textFill>
        </w:rPr>
        <w:t xml:space="preserve">          （请填写手机号码）</w:t>
      </w:r>
    </w:p>
    <w:p w14:paraId="0810F6A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0DD3C5D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特此声明。</w:t>
      </w:r>
    </w:p>
    <w:p w14:paraId="1059295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4793A17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 xml:space="preserve">            投标人</w:t>
      </w:r>
      <w:r>
        <w:rPr>
          <w:rFonts w:hint="eastAsia" w:asciiTheme="minorEastAsia" w:hAnsiTheme="minorEastAsia" w:eastAsiaTheme="minorEastAsia"/>
          <w:bCs/>
          <w:color w:val="000000" w:themeColor="text1"/>
          <w:sz w:val="24"/>
          <w14:textFill>
            <w14:solidFill>
              <w14:schemeClr w14:val="tx1"/>
            </w14:solidFill>
          </w14:textFill>
        </w:rPr>
        <w:t>盖章</w:t>
      </w:r>
      <w:r>
        <w:rPr>
          <w:rFonts w:hint="eastAsia" w:ascii="宋体" w:hAnsi="宋体" w:eastAsia="宋体" w:cs="宋体"/>
          <w:bCs/>
          <w:color w:val="000000" w:themeColor="text1"/>
          <w:sz w:val="24"/>
          <w:szCs w:val="24"/>
          <w:lang w:bidi="ar"/>
          <w14:textFill>
            <w14:solidFill>
              <w14:schemeClr w14:val="tx1"/>
            </w14:solidFill>
          </w14:textFill>
        </w:rPr>
        <w:t>：</w:t>
      </w:r>
      <w:r>
        <w:rPr>
          <w:rFonts w:hint="eastAsia" w:ascii="宋体" w:hAnsi="宋体" w:eastAsia="宋体" w:cs="宋体"/>
          <w:bCs/>
          <w:color w:val="000000" w:themeColor="text1"/>
          <w:sz w:val="24"/>
          <w:szCs w:val="24"/>
          <w:u w:val="single"/>
          <w:lang w:bidi="ar"/>
          <w14:textFill>
            <w14:solidFill>
              <w14:schemeClr w14:val="tx1"/>
            </w14:solidFill>
          </w14:textFill>
        </w:rPr>
        <w:t xml:space="preserve">                  </w:t>
      </w:r>
    </w:p>
    <w:p w14:paraId="05A6D257">
      <w:pPr>
        <w:spacing w:line="360" w:lineRule="auto"/>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                </w:t>
      </w:r>
    </w:p>
    <w:p w14:paraId="6BE0013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日  期：</w:t>
      </w:r>
      <w:r>
        <w:rPr>
          <w:rFonts w:hint="eastAsia" w:ascii="宋体" w:hAnsi="宋体" w:eastAsia="宋体" w:cs="宋体"/>
          <w:b/>
          <w:bCs/>
          <w:color w:val="000000" w:themeColor="text1"/>
          <w:sz w:val="24"/>
          <w:szCs w:val="24"/>
          <w:u w:val="single"/>
          <w:lang w:bidi="ar"/>
          <w14:textFill>
            <w14:solidFill>
              <w14:schemeClr w14:val="tx1"/>
            </w14:solidFill>
          </w14:textFill>
        </w:rPr>
        <w:t xml:space="preserve">                         </w:t>
      </w:r>
    </w:p>
    <w:p w14:paraId="0B9C4C6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062B59E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4824573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注：</w:t>
      </w:r>
    </w:p>
    <w:p w14:paraId="3531EB1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1.本项目只允许有唯一的投标人授权代表，提供身份证明复印件；</w:t>
      </w:r>
    </w:p>
    <w:p w14:paraId="57138CB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2.法定代表人参加磋商的无需提供授权书，提供身份证明复印件。</w:t>
      </w:r>
    </w:p>
    <w:p w14:paraId="240B3D40">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color w:val="000000" w:themeColor="text1"/>
          <w:lang w:bidi="ar"/>
          <w14:textFill>
            <w14:solidFill>
              <w14:schemeClr w14:val="tx1"/>
            </w14:solidFill>
          </w14:textFill>
        </w:rPr>
        <w:br w:type="page"/>
      </w:r>
    </w:p>
    <w:p w14:paraId="5E398D20">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60E7EC66">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三、开标一览表</w:t>
      </w:r>
    </w:p>
    <w:tbl>
      <w:tblPr>
        <w:tblStyle w:val="27"/>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6305"/>
      </w:tblGrid>
      <w:tr w14:paraId="3608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350" w:type="pct"/>
            <w:tcBorders>
              <w:top w:val="single" w:color="auto" w:sz="4" w:space="0"/>
              <w:bottom w:val="single" w:color="auto" w:sz="4" w:space="0"/>
              <w:right w:val="single" w:color="auto" w:sz="4" w:space="0"/>
            </w:tcBorders>
            <w:vAlign w:val="center"/>
          </w:tcPr>
          <w:p w14:paraId="3C64F4D9">
            <w:pPr>
              <w:widowControl/>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项目名称</w:t>
            </w:r>
          </w:p>
        </w:tc>
        <w:tc>
          <w:tcPr>
            <w:tcW w:w="3649" w:type="pct"/>
            <w:tcBorders>
              <w:top w:val="single" w:color="auto" w:sz="4" w:space="0"/>
              <w:bottom w:val="single" w:color="auto" w:sz="4" w:space="0"/>
              <w:right w:val="single" w:color="auto" w:sz="4" w:space="0"/>
            </w:tcBorders>
            <w:vAlign w:val="center"/>
          </w:tcPr>
          <w:p w14:paraId="081202F9">
            <w:pPr>
              <w:spacing w:line="360" w:lineRule="exact"/>
              <w:jc w:val="center"/>
              <w:rPr>
                <w:rFonts w:hint="eastAsia" w:asciiTheme="minorEastAsia" w:hAnsiTheme="minorEastAsia" w:eastAsiaTheme="minorEastAsia"/>
                <w:bCs/>
                <w:color w:val="000000" w:themeColor="text1"/>
                <w:sz w:val="24"/>
                <w:u w:val="single"/>
                <w14:textFill>
                  <w14:solidFill>
                    <w14:schemeClr w14:val="tx1"/>
                  </w14:solidFill>
                </w14:textFill>
              </w:rPr>
            </w:pPr>
          </w:p>
        </w:tc>
      </w:tr>
      <w:tr w14:paraId="5C1F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50" w:type="pct"/>
            <w:tcBorders>
              <w:top w:val="nil"/>
            </w:tcBorders>
            <w:vAlign w:val="center"/>
          </w:tcPr>
          <w:p w14:paraId="0B5F497D">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投标人全称</w:t>
            </w:r>
          </w:p>
        </w:tc>
        <w:tc>
          <w:tcPr>
            <w:tcW w:w="3649" w:type="pct"/>
            <w:tcBorders>
              <w:top w:val="nil"/>
            </w:tcBorders>
            <w:vAlign w:val="center"/>
          </w:tcPr>
          <w:p w14:paraId="6192E9C5">
            <w:pPr>
              <w:spacing w:line="360" w:lineRule="auto"/>
              <w:rPr>
                <w:rFonts w:hint="eastAsia" w:asciiTheme="minorEastAsia" w:hAnsiTheme="minorEastAsia" w:eastAsiaTheme="minorEastAsia"/>
                <w:color w:val="000000" w:themeColor="text1"/>
                <w:sz w:val="24"/>
                <w14:textFill>
                  <w14:solidFill>
                    <w14:schemeClr w14:val="tx1"/>
                  </w14:solidFill>
                </w14:textFill>
              </w:rPr>
            </w:pPr>
          </w:p>
        </w:tc>
      </w:tr>
      <w:tr w14:paraId="207C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50" w:type="pct"/>
            <w:tcBorders>
              <w:top w:val="nil"/>
            </w:tcBorders>
            <w:vAlign w:val="center"/>
          </w:tcPr>
          <w:p w14:paraId="2E7FC9DE">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投标范围</w:t>
            </w:r>
          </w:p>
        </w:tc>
        <w:tc>
          <w:tcPr>
            <w:tcW w:w="3649" w:type="pct"/>
            <w:tcBorders>
              <w:top w:val="nil"/>
            </w:tcBorders>
            <w:vAlign w:val="center"/>
          </w:tcPr>
          <w:p w14:paraId="77700BA8">
            <w:pPr>
              <w:widowControl/>
              <w:spacing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全部</w:t>
            </w:r>
          </w:p>
        </w:tc>
      </w:tr>
      <w:tr w14:paraId="372B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1350" w:type="pct"/>
            <w:tcBorders>
              <w:top w:val="nil"/>
            </w:tcBorders>
            <w:vAlign w:val="center"/>
          </w:tcPr>
          <w:p w14:paraId="56DF29C9">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投标报价</w:t>
            </w:r>
          </w:p>
        </w:tc>
        <w:tc>
          <w:tcPr>
            <w:tcW w:w="3649" w:type="pct"/>
            <w:tcBorders>
              <w:top w:val="nil"/>
            </w:tcBorders>
            <w:vAlign w:val="center"/>
          </w:tcPr>
          <w:p w14:paraId="4A52F490">
            <w:pPr>
              <w:snapToGrid w:val="0"/>
              <w:spacing w:line="360" w:lineRule="auto"/>
              <w:jc w:val="left"/>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大写：每年</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6B7D0B68">
            <w:pPr>
              <w:spacing w:line="360" w:lineRule="auto"/>
              <w:ind w:right="-670"/>
              <w:rPr>
                <w:rFonts w:hint="eastAsia" w:eastAsia="宋体" w:asciiTheme="minorEastAsia" w:hAnsiTheme="minorEastAsia"/>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小写：</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元/年</w:t>
            </w:r>
          </w:p>
        </w:tc>
      </w:tr>
      <w:tr w14:paraId="5F92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350" w:type="pct"/>
            <w:tcBorders>
              <w:top w:val="nil"/>
              <w:bottom w:val="single" w:color="auto" w:sz="4" w:space="0"/>
            </w:tcBorders>
            <w:vAlign w:val="center"/>
          </w:tcPr>
          <w:p w14:paraId="63524CE8">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lang w:val="en-US" w:eastAsia="zh-CN"/>
                <w14:textFill>
                  <w14:solidFill>
                    <w14:schemeClr w14:val="tx1"/>
                  </w14:solidFill>
                </w14:textFill>
              </w:rPr>
              <w:t>计费类器材、配件折扣率</w:t>
            </w:r>
          </w:p>
        </w:tc>
        <w:tc>
          <w:tcPr>
            <w:tcW w:w="3649" w:type="pct"/>
            <w:tcBorders>
              <w:top w:val="nil"/>
              <w:bottom w:val="single" w:color="auto" w:sz="4" w:space="0"/>
            </w:tcBorders>
            <w:vAlign w:val="center"/>
          </w:tcPr>
          <w:p w14:paraId="471DDC1D">
            <w:pPr>
              <w:spacing w:line="360" w:lineRule="auto"/>
              <w:jc w:val="left"/>
              <w:rPr>
                <w:rFonts w:hint="default" w:asciiTheme="minorEastAsia" w:hAnsiTheme="minorEastAsia" w:eastAsiaTheme="minorEastAsia"/>
                <w:color w:val="000000" w:themeColor="text1"/>
                <w:sz w:val="24"/>
                <w:szCs w:val="28"/>
                <w:lang w:val="en-US" w:eastAsia="zh-CN"/>
                <w14:textFill>
                  <w14:solidFill>
                    <w14:schemeClr w14:val="tx1"/>
                  </w14:solidFill>
                </w14:textFill>
              </w:rPr>
            </w:pPr>
            <w:r>
              <w:rPr>
                <w:rFonts w:hint="eastAsia" w:asciiTheme="minorEastAsia" w:hAnsiTheme="minorEastAsia" w:eastAsiaTheme="minorEastAsia"/>
                <w:color w:val="000000" w:themeColor="text1"/>
                <w:sz w:val="24"/>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8"/>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8"/>
                <w:lang w:val="en-US" w:eastAsia="zh-CN"/>
                <w14:textFill>
                  <w14:solidFill>
                    <w14:schemeClr w14:val="tx1"/>
                  </w14:solidFill>
                </w14:textFill>
              </w:rPr>
              <w:t xml:space="preserve"> %</w:t>
            </w:r>
          </w:p>
        </w:tc>
      </w:tr>
      <w:tr w14:paraId="4D28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6" w:hRule="atLeast"/>
          <w:jc w:val="center"/>
        </w:trPr>
        <w:tc>
          <w:tcPr>
            <w:tcW w:w="1350" w:type="pct"/>
            <w:tcBorders>
              <w:top w:val="single" w:color="auto" w:sz="4" w:space="0"/>
            </w:tcBorders>
            <w:vAlign w:val="center"/>
          </w:tcPr>
          <w:p w14:paraId="68B1D0E6">
            <w:pPr>
              <w:spacing w:line="360" w:lineRule="auto"/>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其他</w:t>
            </w:r>
          </w:p>
        </w:tc>
        <w:tc>
          <w:tcPr>
            <w:tcW w:w="3649" w:type="pct"/>
            <w:tcBorders>
              <w:top w:val="single" w:color="auto" w:sz="4" w:space="0"/>
            </w:tcBorders>
            <w:vAlign w:val="center"/>
          </w:tcPr>
          <w:p w14:paraId="7BCDA1D8">
            <w:pPr>
              <w:spacing w:line="360" w:lineRule="auto"/>
              <w:jc w:val="left"/>
              <w:rPr>
                <w:rFonts w:hint="eastAsia" w:asciiTheme="minorEastAsia" w:hAnsiTheme="minorEastAsia" w:eastAsiaTheme="minorEastAsia"/>
                <w:color w:val="000000" w:themeColor="text1"/>
                <w:sz w:val="24"/>
                <w:szCs w:val="28"/>
                <w14:textFill>
                  <w14:solidFill>
                    <w14:schemeClr w14:val="tx1"/>
                  </w14:solidFill>
                </w14:textFill>
              </w:rPr>
            </w:pPr>
          </w:p>
        </w:tc>
      </w:tr>
    </w:tbl>
    <w:p w14:paraId="79E33C80">
      <w:pPr>
        <w:spacing w:line="360" w:lineRule="auto"/>
        <w:ind w:firstLine="4320" w:firstLineChars="1800"/>
        <w:jc w:val="center"/>
        <w:rPr>
          <w:rFonts w:hint="eastAsia" w:asciiTheme="minorEastAsia" w:hAnsiTheme="minorEastAsia" w:eastAsiaTheme="minorEastAsia"/>
          <w:bCs/>
          <w:color w:val="000000" w:themeColor="text1"/>
          <w:sz w:val="24"/>
          <w14:textFill>
            <w14:solidFill>
              <w14:schemeClr w14:val="tx1"/>
            </w14:solidFill>
          </w14:textFill>
        </w:rPr>
      </w:pPr>
    </w:p>
    <w:p w14:paraId="06C0F028">
      <w:pPr>
        <w:spacing w:line="360" w:lineRule="auto"/>
        <w:ind w:firstLine="4320" w:firstLineChars="1800"/>
        <w:jc w:val="center"/>
        <w:rPr>
          <w:rFonts w:hint="eastAsia"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投标人盖章：</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14:paraId="32C9E887">
      <w:pPr>
        <w:spacing w:line="360" w:lineRule="auto"/>
        <w:ind w:firstLine="4320" w:firstLineChars="1800"/>
        <w:jc w:val="center"/>
        <w:rPr>
          <w:rFonts w:hint="eastAsia"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日      期：</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14:paraId="06EA6425">
      <w:pPr>
        <w:spacing w:line="360" w:lineRule="auto"/>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     </w:t>
      </w:r>
    </w:p>
    <w:p w14:paraId="3BEE0276">
      <w:pPr>
        <w:spacing w:line="360" w:lineRule="auto"/>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w:t>
      </w:r>
    </w:p>
    <w:p w14:paraId="34E142E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此表用于开标唱标之用。</w:t>
      </w:r>
    </w:p>
    <w:p w14:paraId="40D18B0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任何有选择或有条件的投标报价，或者表中某一包别填写多个报价，均为无效报价。</w:t>
      </w:r>
    </w:p>
    <w:p w14:paraId="41CFCBA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3.表中大写金额与小写金额不一致的，以大写金额为准。</w:t>
      </w:r>
      <w:r>
        <w:rPr>
          <w:rFonts w:asciiTheme="minorEastAsia" w:hAnsiTheme="minorEastAsia" w:eastAsiaTheme="minorEastAsia"/>
          <w:color w:val="000000" w:themeColor="text1"/>
          <w:sz w:val="24"/>
          <w14:textFill>
            <w14:solidFill>
              <w14:schemeClr w14:val="tx1"/>
            </w14:solidFill>
          </w14:textFill>
        </w:rPr>
        <w:br w:type="page"/>
      </w:r>
    </w:p>
    <w:p w14:paraId="5BC4E1BE">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四、投标函</w:t>
      </w:r>
    </w:p>
    <w:p w14:paraId="2B151D93">
      <w:pPr>
        <w:pStyle w:val="15"/>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采购人</w:t>
      </w:r>
    </w:p>
    <w:p w14:paraId="641C6B4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根据贵方的招标公告和投标邀请，我方兹宣布同意如下：</w:t>
      </w:r>
    </w:p>
    <w:p w14:paraId="314CDC6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我方根据招标文件的规定，严格履行合同的责任和义务,并保证于买方要求的日期内完成，并通过买方验收。</w:t>
      </w:r>
    </w:p>
    <w:p w14:paraId="6CAF880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14:paraId="250221A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3.我方同意从招标文件规定的开标日期起遵循本招标文件，并在招标文件规定的投标有效期之前均具有约束力。</w:t>
      </w:r>
    </w:p>
    <w:p w14:paraId="5DD1C4A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37140D5">
      <w:pPr>
        <w:spacing w:line="360" w:lineRule="auto"/>
        <w:ind w:firstLine="4800" w:firstLineChars="2000"/>
        <w:rPr>
          <w:rFonts w:hint="eastAsia" w:ascii="宋体" w:hAnsi="宋体" w:eastAsia="宋体"/>
          <w:color w:val="000000" w:themeColor="text1"/>
          <w:sz w:val="24"/>
          <w14:textFill>
            <w14:solidFill>
              <w14:schemeClr w14:val="tx1"/>
            </w14:solidFill>
          </w14:textFill>
        </w:rPr>
      </w:pPr>
    </w:p>
    <w:p w14:paraId="3AD11E3F">
      <w:pPr>
        <w:spacing w:line="360" w:lineRule="auto"/>
        <w:ind w:firstLine="4800" w:firstLineChars="2000"/>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投标人盖章：</w:t>
      </w:r>
      <w:r>
        <w:rPr>
          <w:rFonts w:hint="eastAsia" w:ascii="宋体" w:hAnsi="宋体" w:eastAsia="宋体"/>
          <w:color w:val="000000" w:themeColor="text1"/>
          <w:sz w:val="24"/>
          <w:u w:val="single"/>
          <w14:textFill>
            <w14:solidFill>
              <w14:schemeClr w14:val="tx1"/>
            </w14:solidFill>
          </w14:textFill>
        </w:rPr>
        <w:t xml:space="preserve">             </w:t>
      </w:r>
    </w:p>
    <w:p w14:paraId="03821BD3">
      <w:pPr>
        <w:spacing w:line="360" w:lineRule="auto"/>
        <w:ind w:firstLine="4800" w:firstLineChars="2000"/>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      期：</w:t>
      </w:r>
      <w:r>
        <w:rPr>
          <w:rFonts w:hint="eastAsia" w:ascii="宋体" w:hAnsi="宋体" w:eastAsia="宋体"/>
          <w:color w:val="000000" w:themeColor="text1"/>
          <w:sz w:val="24"/>
          <w:u w:val="single"/>
          <w14:textFill>
            <w14:solidFill>
              <w14:schemeClr w14:val="tx1"/>
            </w14:solidFill>
          </w14:textFill>
        </w:rPr>
        <w:t xml:space="preserve">             </w:t>
      </w:r>
    </w:p>
    <w:p w14:paraId="030EB96C">
      <w:pPr>
        <w:spacing w:line="400" w:lineRule="exact"/>
        <w:ind w:firstLine="562" w:firstLineChars="200"/>
        <w:rPr>
          <w:rFonts w:hint="eastAsia" w:ascii="宋体" w:hAnsi="宋体" w:eastAsia="宋体" w:cs="宋体"/>
          <w:b/>
          <w:color w:val="000000" w:themeColor="text1"/>
          <w:sz w:val="28"/>
          <w:szCs w:val="28"/>
          <w:lang w:bidi="ar"/>
          <w14:textFill>
            <w14:solidFill>
              <w14:schemeClr w14:val="tx1"/>
            </w14:solidFill>
          </w14:textFill>
        </w:rPr>
      </w:pPr>
    </w:p>
    <w:p w14:paraId="66EC16A9">
      <w:pPr>
        <w:widowControl/>
        <w:jc w:val="left"/>
        <w:rPr>
          <w:rFonts w:hint="eastAsia" w:ascii="宋体" w:hAnsi="宋体" w:eastAsia="宋体"/>
          <w:color w:val="000000" w:themeColor="text1"/>
          <w:sz w:val="24"/>
          <w:u w:val="single"/>
          <w14:textFill>
            <w14:solidFill>
              <w14:schemeClr w14:val="tx1"/>
            </w14:solidFill>
          </w14:textFill>
        </w:rPr>
      </w:pPr>
    </w:p>
    <w:p w14:paraId="0A2E349B">
      <w:pPr>
        <w:widowControl/>
        <w:jc w:val="left"/>
        <w:rPr>
          <w:rFonts w:hint="eastAsia" w:ascii="宋体" w:hAnsi="宋体" w:eastAsia="宋体"/>
          <w:color w:val="000000" w:themeColor="text1"/>
          <w:sz w:val="24"/>
          <w:u w:val="single"/>
          <w14:textFill>
            <w14:solidFill>
              <w14:schemeClr w14:val="tx1"/>
            </w14:solidFill>
          </w14:textFill>
        </w:rPr>
      </w:pPr>
    </w:p>
    <w:p w14:paraId="6F8F7B01">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2B887E7F">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22A39E6E">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2D8ED02A">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2DD54A83">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721CD871">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6FA29BFB">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5879FD31">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3A96FFA8">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5888839F">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757D11E9">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67F79237">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14779071">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4B04C054">
      <w:pPr>
        <w:spacing w:line="360" w:lineRule="auto"/>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五、投标响应表</w:t>
      </w:r>
    </w:p>
    <w:p w14:paraId="1053463D">
      <w:pPr>
        <w:spacing w:line="360" w:lineRule="auto"/>
        <w:ind w:firstLine="435"/>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6"/>
        <w:gridCol w:w="2499"/>
        <w:gridCol w:w="2575"/>
        <w:gridCol w:w="810"/>
      </w:tblGrid>
      <w:tr w14:paraId="622E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5BA3EF7">
            <w:pPr>
              <w:pStyle w:val="22"/>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0E7B66">
            <w:pPr>
              <w:pStyle w:val="22"/>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bCs/>
                <w:color w:val="000000" w:themeColor="text1"/>
                <w:kern w:val="2"/>
                <w:szCs w:val="24"/>
                <w:lang w:bidi="ar"/>
                <w14:textFill>
                  <w14:solidFill>
                    <w14:schemeClr w14:val="tx1"/>
                  </w14:solidFill>
                </w14:textFill>
              </w:rPr>
              <w:t>商务条款</w:t>
            </w:r>
          </w:p>
        </w:tc>
        <w:tc>
          <w:tcPr>
            <w:tcW w:w="1466" w:type="pct"/>
            <w:tcBorders>
              <w:top w:val="single" w:color="auto" w:sz="4" w:space="0"/>
              <w:left w:val="nil"/>
              <w:bottom w:val="single" w:color="auto" w:sz="4" w:space="0"/>
              <w:right w:val="single" w:color="auto" w:sz="4" w:space="0"/>
            </w:tcBorders>
            <w:shd w:val="clear" w:color="auto" w:fill="auto"/>
            <w:vAlign w:val="center"/>
          </w:tcPr>
          <w:p w14:paraId="07A0C097">
            <w:pPr>
              <w:pStyle w:val="22"/>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招标文件要求</w:t>
            </w:r>
          </w:p>
        </w:tc>
        <w:tc>
          <w:tcPr>
            <w:tcW w:w="1511" w:type="pct"/>
            <w:tcBorders>
              <w:top w:val="single" w:color="auto" w:sz="4" w:space="0"/>
              <w:left w:val="nil"/>
              <w:bottom w:val="single" w:color="auto" w:sz="4" w:space="0"/>
              <w:right w:val="single" w:color="auto" w:sz="4" w:space="0"/>
            </w:tcBorders>
            <w:shd w:val="clear" w:color="auto" w:fill="auto"/>
            <w:vAlign w:val="center"/>
          </w:tcPr>
          <w:p w14:paraId="3D090DBD">
            <w:pPr>
              <w:pStyle w:val="22"/>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1F60DDEF">
            <w:pPr>
              <w:pStyle w:val="22"/>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偏离说明</w:t>
            </w:r>
          </w:p>
        </w:tc>
      </w:tr>
      <w:tr w14:paraId="79F8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B10776B">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01C212A0">
            <w:pPr>
              <w:pStyle w:val="44"/>
              <w:widowControl w:val="0"/>
              <w:spacing w:before="0" w:beforeAutospacing="0" w:after="0" w:afterAutospacing="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1466" w:type="pct"/>
            <w:tcBorders>
              <w:top w:val="single" w:color="auto" w:sz="4" w:space="0"/>
              <w:left w:val="nil"/>
              <w:bottom w:val="single" w:color="auto" w:sz="4" w:space="0"/>
              <w:right w:val="single" w:color="auto" w:sz="4" w:space="0"/>
            </w:tcBorders>
            <w:shd w:val="clear" w:color="auto" w:fill="auto"/>
            <w:vAlign w:val="center"/>
          </w:tcPr>
          <w:p w14:paraId="0D5133EF">
            <w:pPr>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7F4206F4">
            <w:pPr>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311B924">
            <w:pPr>
              <w:jc w:val="center"/>
              <w:rPr>
                <w:rFonts w:hint="eastAsia" w:ascii="宋体" w:hAnsi="宋体" w:eastAsia="宋体"/>
                <w:color w:val="000000" w:themeColor="text1"/>
                <w:sz w:val="24"/>
                <w:szCs w:val="24"/>
                <w14:textFill>
                  <w14:solidFill>
                    <w14:schemeClr w14:val="tx1"/>
                  </w14:solidFill>
                </w14:textFill>
              </w:rPr>
            </w:pPr>
          </w:p>
        </w:tc>
      </w:tr>
      <w:tr w14:paraId="106E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226B76">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48815EB7">
            <w:pPr>
              <w:pStyle w:val="44"/>
              <w:widowControl w:val="0"/>
              <w:spacing w:before="0" w:beforeAutospacing="0" w:after="0" w:afterAutospacing="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服务地点</w:t>
            </w:r>
          </w:p>
        </w:tc>
        <w:tc>
          <w:tcPr>
            <w:tcW w:w="1466" w:type="pct"/>
            <w:tcBorders>
              <w:top w:val="single" w:color="auto" w:sz="4" w:space="0"/>
              <w:left w:val="nil"/>
              <w:bottom w:val="single" w:color="auto" w:sz="4" w:space="0"/>
              <w:right w:val="single" w:color="auto" w:sz="4" w:space="0"/>
            </w:tcBorders>
            <w:shd w:val="clear" w:color="auto" w:fill="auto"/>
            <w:vAlign w:val="center"/>
          </w:tcPr>
          <w:p w14:paraId="261B6BF2">
            <w:pPr>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0508F81D">
            <w:pPr>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42311CE">
            <w:pPr>
              <w:jc w:val="center"/>
              <w:rPr>
                <w:rFonts w:hint="eastAsia" w:ascii="宋体" w:hAnsi="宋体" w:eastAsia="宋体"/>
                <w:color w:val="000000" w:themeColor="text1"/>
                <w:sz w:val="24"/>
                <w:szCs w:val="24"/>
                <w14:textFill>
                  <w14:solidFill>
                    <w14:schemeClr w14:val="tx1"/>
                  </w14:solidFill>
                </w14:textFill>
              </w:rPr>
            </w:pPr>
          </w:p>
        </w:tc>
      </w:tr>
      <w:tr w14:paraId="058D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76886CD">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50082663">
            <w:pPr>
              <w:pStyle w:val="44"/>
              <w:widowControl w:val="0"/>
              <w:spacing w:before="0" w:beforeAutospacing="0" w:after="0" w:afterAutospacing="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服务期限</w:t>
            </w:r>
          </w:p>
        </w:tc>
        <w:tc>
          <w:tcPr>
            <w:tcW w:w="1466" w:type="pct"/>
            <w:tcBorders>
              <w:top w:val="single" w:color="auto" w:sz="4" w:space="0"/>
              <w:left w:val="nil"/>
              <w:bottom w:val="single" w:color="auto" w:sz="4" w:space="0"/>
              <w:right w:val="single" w:color="auto" w:sz="4" w:space="0"/>
            </w:tcBorders>
            <w:shd w:val="clear" w:color="auto" w:fill="auto"/>
            <w:vAlign w:val="center"/>
          </w:tcPr>
          <w:p w14:paraId="63B57B7B">
            <w:pPr>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444EFD84">
            <w:pPr>
              <w:pStyle w:val="22"/>
              <w:spacing w:before="0" w:beforeAutospacing="0" w:after="0" w:afterAutospacing="0"/>
              <w:jc w:val="center"/>
              <w:rPr>
                <w:rFonts w:hint="eastAsia" w:ascii="宋体" w:hAnsi="宋体" w:eastAsia="宋体" w:cs="Arial"/>
                <w:color w:val="000000" w:themeColor="text1"/>
                <w:kern w:val="2"/>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5609702">
            <w:pPr>
              <w:jc w:val="center"/>
              <w:rPr>
                <w:rFonts w:hint="eastAsia" w:ascii="宋体" w:hAnsi="宋体" w:eastAsia="宋体"/>
                <w:color w:val="000000" w:themeColor="text1"/>
                <w:sz w:val="24"/>
                <w:szCs w:val="24"/>
                <w14:textFill>
                  <w14:solidFill>
                    <w14:schemeClr w14:val="tx1"/>
                  </w14:solidFill>
                </w14:textFill>
              </w:rPr>
            </w:pPr>
          </w:p>
        </w:tc>
      </w:tr>
      <w:tr w14:paraId="041F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04FC8EB">
            <w:pPr>
              <w:jc w:val="center"/>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07ADF858">
            <w:pPr>
              <w:pStyle w:val="44"/>
              <w:widowControl w:val="0"/>
              <w:spacing w:before="0" w:beforeAutospacing="0" w:after="0" w:afterAutospacing="0"/>
              <w:rPr>
                <w:rFonts w:hint="default" w:ascii="宋体" w:hAnsi="宋体" w:eastAsia="宋体"/>
                <w:b w:val="0"/>
                <w:color w:val="000000" w:themeColor="text1"/>
                <w:sz w:val="24"/>
                <w:lang w:val="en-US" w:eastAsia="zh-CN"/>
                <w14:textFill>
                  <w14:solidFill>
                    <w14:schemeClr w14:val="tx1"/>
                  </w14:solidFill>
                </w14:textFill>
              </w:rPr>
            </w:pPr>
            <w:r>
              <w:rPr>
                <w:rFonts w:hint="eastAsia" w:ascii="宋体" w:hAnsi="宋体" w:eastAsia="宋体"/>
                <w:b w:val="0"/>
                <w:color w:val="000000" w:themeColor="text1"/>
                <w:sz w:val="24"/>
                <w:lang w:val="en-US" w:eastAsia="zh-CN"/>
                <w14:textFill>
                  <w14:solidFill>
                    <w14:schemeClr w14:val="tx1"/>
                  </w14:solidFill>
                </w14:textFill>
              </w:rPr>
              <w:t>进场时间</w:t>
            </w:r>
          </w:p>
        </w:tc>
        <w:tc>
          <w:tcPr>
            <w:tcW w:w="1466" w:type="pct"/>
            <w:tcBorders>
              <w:top w:val="single" w:color="auto" w:sz="4" w:space="0"/>
              <w:left w:val="nil"/>
              <w:bottom w:val="single" w:color="auto" w:sz="4" w:space="0"/>
              <w:right w:val="single" w:color="auto" w:sz="4" w:space="0"/>
            </w:tcBorders>
            <w:shd w:val="clear" w:color="auto" w:fill="auto"/>
            <w:vAlign w:val="center"/>
          </w:tcPr>
          <w:p w14:paraId="55525188">
            <w:pPr>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798303AB">
            <w:pPr>
              <w:pStyle w:val="22"/>
              <w:spacing w:before="0" w:beforeAutospacing="0" w:after="0" w:afterAutospacing="0"/>
              <w:jc w:val="center"/>
              <w:rPr>
                <w:rFonts w:hint="eastAsia" w:ascii="宋体" w:hAnsi="宋体" w:eastAsia="宋体" w:cs="Arial"/>
                <w:color w:val="000000" w:themeColor="text1"/>
                <w:kern w:val="2"/>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CA05CCF">
            <w:pPr>
              <w:jc w:val="center"/>
              <w:rPr>
                <w:rFonts w:hint="eastAsia" w:ascii="宋体" w:hAnsi="宋体" w:eastAsia="宋体"/>
                <w:color w:val="000000" w:themeColor="text1"/>
                <w:sz w:val="24"/>
                <w:szCs w:val="24"/>
                <w14:textFill>
                  <w14:solidFill>
                    <w14:schemeClr w14:val="tx1"/>
                  </w14:solidFill>
                </w14:textFill>
              </w:rPr>
            </w:pPr>
          </w:p>
        </w:tc>
      </w:tr>
      <w:tr w14:paraId="5DFC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0AC7C09">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41F5609">
            <w:pPr>
              <w:jc w:val="center"/>
              <w:rPr>
                <w:rFonts w:hint="eastAsia" w:ascii="宋体" w:hAnsi="宋体" w:eastAsia="宋体"/>
                <w:color w:val="000000" w:themeColor="text1"/>
                <w:sz w:val="24"/>
                <w:szCs w:val="24"/>
                <w14:textFill>
                  <w14:solidFill>
                    <w14:schemeClr w14:val="tx1"/>
                  </w14:solidFill>
                </w14:textFill>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51347F45">
            <w:pPr>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66035866">
            <w:pPr>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9633532">
            <w:pPr>
              <w:jc w:val="center"/>
              <w:rPr>
                <w:rFonts w:hint="eastAsia" w:ascii="宋体" w:hAnsi="宋体" w:eastAsia="宋体"/>
                <w:color w:val="000000" w:themeColor="text1"/>
                <w:sz w:val="24"/>
                <w:szCs w:val="24"/>
                <w14:textFill>
                  <w14:solidFill>
                    <w14:schemeClr w14:val="tx1"/>
                  </w14:solidFill>
                </w14:textFill>
              </w:rPr>
            </w:pPr>
          </w:p>
        </w:tc>
      </w:tr>
    </w:tbl>
    <w:p w14:paraId="6C4CAA46">
      <w:pPr>
        <w:spacing w:line="360" w:lineRule="auto"/>
        <w:ind w:firstLine="4800" w:firstLineChars="2000"/>
        <w:rPr>
          <w:rFonts w:hint="eastAsia" w:ascii="宋体" w:hAnsi="宋体" w:eastAsia="宋体" w:cs="宋体"/>
          <w:color w:val="000000" w:themeColor="text1"/>
          <w:sz w:val="24"/>
          <w:szCs w:val="24"/>
          <w:lang w:bidi="ar"/>
          <w14:textFill>
            <w14:solidFill>
              <w14:schemeClr w14:val="tx1"/>
            </w14:solidFill>
          </w14:textFill>
        </w:rPr>
      </w:pPr>
    </w:p>
    <w:p w14:paraId="21DCBB25">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2C043423">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3850F74F">
      <w:pPr>
        <w:pStyle w:val="22"/>
        <w:spacing w:before="0" w:beforeAutospacing="0" w:after="0" w:afterAutospacing="0" w:line="360" w:lineRule="auto"/>
        <w:jc w:val="both"/>
        <w:rPr>
          <w:rFonts w:hint="eastAsia" w:ascii="宋体" w:hAnsi="宋体" w:eastAsia="宋体" w:cs="Arial"/>
          <w:color w:val="000000" w:themeColor="text1"/>
          <w:kern w:val="2"/>
          <w:szCs w:val="24"/>
          <w:lang w:bidi="ar"/>
          <w14:textFill>
            <w14:solidFill>
              <w14:schemeClr w14:val="tx1"/>
            </w14:solidFill>
          </w14:textFill>
        </w:rPr>
      </w:pPr>
      <w:r>
        <w:rPr>
          <w:rFonts w:hint="eastAsia" w:ascii="宋体" w:hAnsi="宋体" w:eastAsia="宋体" w:cs="Arial"/>
          <w:color w:val="000000" w:themeColor="text1"/>
          <w:kern w:val="2"/>
          <w:szCs w:val="24"/>
          <w:lang w:bidi="ar"/>
          <w14:textFill>
            <w14:solidFill>
              <w14:schemeClr w14:val="tx1"/>
            </w14:solidFill>
          </w14:textFill>
        </w:rPr>
        <w:br w:type="page"/>
      </w:r>
    </w:p>
    <w:p w14:paraId="52483826">
      <w:pPr>
        <w:spacing w:line="360" w:lineRule="auto"/>
        <w:jc w:val="center"/>
        <w:outlineLvl w:val="1"/>
        <w:rPr>
          <w:rFonts w:hint="eastAsia" w:ascii="宋体" w:hAnsi="宋体" w:eastAsia="宋体" w:cs="宋体"/>
          <w:b/>
          <w:color w:val="000000" w:themeColor="text1"/>
          <w:sz w:val="24"/>
          <w:szCs w:val="24"/>
          <w:lang w:bidi="ar"/>
          <w14:textFill>
            <w14:solidFill>
              <w14:schemeClr w14:val="tx1"/>
            </w14:solidFill>
          </w14:textFill>
        </w:rPr>
      </w:pPr>
    </w:p>
    <w:p w14:paraId="379EE2F8">
      <w:pPr>
        <w:spacing w:line="360" w:lineRule="auto"/>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bidi="ar"/>
          <w14:textFill>
            <w14:solidFill>
              <w14:schemeClr w14:val="tx1"/>
            </w14:solidFill>
          </w14:textFill>
        </w:rPr>
        <w:t>七</w:t>
      </w:r>
      <w:r>
        <w:rPr>
          <w:rFonts w:hint="eastAsia" w:ascii="宋体" w:hAnsi="宋体" w:eastAsia="宋体" w:cs="宋体"/>
          <w:b/>
          <w:color w:val="000000" w:themeColor="text1"/>
          <w:sz w:val="24"/>
          <w:szCs w:val="24"/>
          <w:lang w:bidi="ar"/>
          <w14:textFill>
            <w14:solidFill>
              <w14:schemeClr w14:val="tx1"/>
            </w14:solidFill>
          </w14:textFill>
        </w:rPr>
        <w:t>、诚信履约承诺函</w:t>
      </w:r>
    </w:p>
    <w:p w14:paraId="657623C6">
      <w:pPr>
        <w:spacing w:line="360" w:lineRule="auto"/>
        <w:rPr>
          <w:rFonts w:hint="eastAsia" w:ascii="宋体" w:hAnsi="宋体" w:eastAsia="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致：采购人</w:t>
      </w:r>
    </w:p>
    <w:p w14:paraId="0047616A">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D70C3FF">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（1）中标或者成交后无正当理由拒不与采购人签订政府采购合同；</w:t>
      </w:r>
    </w:p>
    <w:p w14:paraId="7A1BF915">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（2）未按照采购文件确定的事项签订政府采购合同；</w:t>
      </w:r>
    </w:p>
    <w:p w14:paraId="1E2F94FD">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（3）将政府采购合同转包；</w:t>
      </w:r>
    </w:p>
    <w:p w14:paraId="22737937">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（4）提供假冒伪劣产品；</w:t>
      </w:r>
    </w:p>
    <w:p w14:paraId="42FDFB83">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（5）擅自变更、中止或者终止政府采购合同。</w:t>
      </w:r>
    </w:p>
    <w:p w14:paraId="24A6A3D6">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E81B04">
      <w:pPr>
        <w:spacing w:line="360" w:lineRule="auto"/>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本承诺声明：</w:t>
      </w:r>
      <w:r>
        <w:rPr>
          <w:rFonts w:hint="eastAsia" w:ascii="宋体" w:hAnsi="宋体" w:eastAsia="宋体"/>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（投标人名称）</w:t>
      </w:r>
      <w:r>
        <w:rPr>
          <w:rFonts w:hint="eastAsia" w:ascii="宋体" w:hAnsi="宋体" w:eastAsia="宋体"/>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对本招标文件的相关要求完全响应。若有幸中标将严格按照以上承诺进行供货和服务。</w:t>
      </w:r>
    </w:p>
    <w:p w14:paraId="0E612CDE">
      <w:pPr>
        <w:spacing w:line="360" w:lineRule="auto"/>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bidi="ar"/>
          <w14:textFill>
            <w14:solidFill>
              <w14:schemeClr w14:val="tx1"/>
            </w14:solidFill>
          </w14:textFill>
        </w:rPr>
        <w:t xml:space="preserve"> </w:t>
      </w:r>
    </w:p>
    <w:p w14:paraId="4102EDE8">
      <w:pPr>
        <w:spacing w:line="360" w:lineRule="auto"/>
        <w:ind w:firstLine="4320" w:firstLineChars="1800"/>
        <w:rPr>
          <w:rFonts w:hint="eastAsia" w:ascii="宋体" w:hAnsi="宋体" w:eastAsia="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投标人盖章：</w:t>
      </w:r>
      <w:r>
        <w:rPr>
          <w:rFonts w:hint="eastAsia" w:ascii="宋体" w:hAnsi="宋体" w:eastAsia="宋体"/>
          <w:bCs/>
          <w:color w:val="000000" w:themeColor="text1"/>
          <w:sz w:val="24"/>
          <w:szCs w:val="24"/>
          <w:u w:val="single"/>
          <w:lang w:bidi="ar"/>
          <w14:textFill>
            <w14:solidFill>
              <w14:schemeClr w14:val="tx1"/>
            </w14:solidFill>
          </w14:textFill>
        </w:rPr>
        <w:t xml:space="preserve">             </w:t>
      </w:r>
    </w:p>
    <w:p w14:paraId="286DAC08">
      <w:pPr>
        <w:spacing w:line="360" w:lineRule="auto"/>
        <w:ind w:firstLine="4320" w:firstLineChars="18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日</w:t>
      </w:r>
      <w:r>
        <w:rPr>
          <w:rFonts w:hint="eastAsia" w:ascii="宋体" w:hAnsi="宋体" w:eastAsia="宋体"/>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期：</w:t>
      </w:r>
      <w:r>
        <w:rPr>
          <w:rFonts w:hint="eastAsia" w:ascii="宋体" w:hAnsi="宋体" w:eastAsia="宋体"/>
          <w:bCs/>
          <w:color w:val="000000" w:themeColor="text1"/>
          <w:sz w:val="24"/>
          <w:szCs w:val="24"/>
          <w:u w:val="single"/>
          <w:lang w:bidi="ar"/>
          <w14:textFill>
            <w14:solidFill>
              <w14:schemeClr w14:val="tx1"/>
            </w14:solidFill>
          </w14:textFill>
        </w:rPr>
        <w:t xml:space="preserve">             </w:t>
      </w:r>
    </w:p>
    <w:p w14:paraId="126D8514">
      <w:pPr>
        <w:widowControl/>
        <w:jc w:val="left"/>
        <w:rPr>
          <w:rFonts w:hint="eastAsia"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lang w:bidi="ar"/>
          <w14:textFill>
            <w14:solidFill>
              <w14:schemeClr w14:val="tx1"/>
            </w14:solidFill>
          </w14:textFill>
        </w:rPr>
        <w:br w:type="page"/>
      </w:r>
    </w:p>
    <w:p w14:paraId="0E96FF66">
      <w:pPr>
        <w:spacing w:line="360" w:lineRule="auto"/>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bidi="ar"/>
          <w14:textFill>
            <w14:solidFill>
              <w14:schemeClr w14:val="tx1"/>
            </w14:solidFill>
          </w14:textFill>
        </w:rPr>
        <w:t>八</w:t>
      </w:r>
      <w:r>
        <w:rPr>
          <w:rFonts w:hint="eastAsia" w:ascii="宋体" w:hAnsi="宋体" w:eastAsia="宋体" w:cs="宋体"/>
          <w:b/>
          <w:color w:val="000000" w:themeColor="text1"/>
          <w:sz w:val="24"/>
          <w:szCs w:val="24"/>
          <w:lang w:bidi="ar"/>
          <w14:textFill>
            <w14:solidFill>
              <w14:schemeClr w14:val="tx1"/>
            </w14:solidFill>
          </w14:textFill>
        </w:rPr>
        <w:t>、诚信投标承诺书</w:t>
      </w:r>
    </w:p>
    <w:p w14:paraId="51D0A932">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本人以企业法定代表人的身份郑重承诺：</w:t>
      </w:r>
    </w:p>
    <w:p w14:paraId="4CF7C56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一、将遵循公开、公正和诚实信用的原则自愿参加</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项目的投标，所提供的一切材料都是真实、有效、合法的；</w:t>
      </w:r>
    </w:p>
    <w:p w14:paraId="585C928D">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26F0369">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三、不出借、转让资质证书，不让他人挂靠投标，不以他人名义投标或者以其他方式弄虚作假，骗取中标；</w:t>
      </w:r>
    </w:p>
    <w:p w14:paraId="27E2CB5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四、不与其他投标人相互串通投标报价，不排挤其他投标人的公平竞争、损害招标人的合法权益；</w:t>
      </w:r>
    </w:p>
    <w:p w14:paraId="429F3CD8">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五、不与招标人、招标代理机构或其他投标人串通投标，损害国家利益、社会公共利益或者他人的合法权益；</w:t>
      </w:r>
    </w:p>
    <w:p w14:paraId="71EDF07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502E5EA4">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七、我公司没有下列情形：被滁州市县两级公管部门记入不良行为记录且在披露期内。</w:t>
      </w:r>
    </w:p>
    <w:p w14:paraId="1DF1A4F4">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八、严格遵守开标现场纪律，服从监管人员管理；</w:t>
      </w:r>
    </w:p>
    <w:p w14:paraId="5A51E348">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九、保证中标后不转包，若有分包征得招标人同意；</w:t>
      </w:r>
    </w:p>
    <w:p w14:paraId="1289154E">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十、保证中标之后，按照投标文件要求提供相关后续服务；</w:t>
      </w:r>
    </w:p>
    <w:p w14:paraId="3003042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十一、保证企业及所属相关人员在本次投标中无行贿等犯罪行为；</w:t>
      </w:r>
    </w:p>
    <w:p w14:paraId="7EC2926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9772B2D">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以上内容我已仔细阅读，本公司若有违反承诺内容的行为，自愿接受取消投标或者中标资格、记入不良行为记录等有关处理，愿意承担法律责任，给招标人造成损失的，依法承担赔偿责任。</w:t>
      </w:r>
    </w:p>
    <w:p w14:paraId="3BC001D7">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50135A30">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开户银行：                      基本账户：</w:t>
      </w:r>
    </w:p>
    <w:p w14:paraId="1177CF6A">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投标单位（盖章）：              法定代表人（签字或盖章）：</w:t>
      </w:r>
    </w:p>
    <w:p w14:paraId="3C5CBF2B">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4D1EAE29">
      <w:pPr>
        <w:spacing w:line="560" w:lineRule="exact"/>
        <w:jc w:val="right"/>
        <w:rPr>
          <w:rFonts w:hint="eastAsia" w:ascii="仿宋_GB2312" w:eastAsia="仿宋_GB2312" w:cs="仿宋_GB2312"/>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日期：</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年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月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日</w:t>
      </w:r>
    </w:p>
    <w:p w14:paraId="0BB3035D">
      <w:pPr>
        <w:spacing w:line="360" w:lineRule="auto"/>
        <w:jc w:val="center"/>
        <w:outlineLvl w:val="1"/>
        <w:rPr>
          <w:rFonts w:hint="eastAsia" w:ascii="宋体" w:hAnsi="宋体" w:eastAsia="宋体"/>
          <w:b/>
          <w:color w:val="000000" w:themeColor="text1"/>
          <w:sz w:val="24"/>
          <w:szCs w:val="24"/>
          <w:lang w:bidi="ar"/>
          <w14:textFill>
            <w14:solidFill>
              <w14:schemeClr w14:val="tx1"/>
            </w14:solidFill>
          </w14:textFill>
        </w:rPr>
      </w:pPr>
      <w:r>
        <w:rPr>
          <w:rFonts w:hint="eastAsia" w:ascii="宋体" w:hAnsi="宋体" w:eastAsia="宋体"/>
          <w:b/>
          <w:color w:val="000000" w:themeColor="text1"/>
          <w:sz w:val="24"/>
          <w:szCs w:val="24"/>
          <w:lang w:bidi="ar"/>
          <w14:textFill>
            <w14:solidFill>
              <w14:schemeClr w14:val="tx1"/>
            </w14:solidFill>
          </w14:textFill>
        </w:rPr>
        <w:t xml:space="preserve"> </w:t>
      </w:r>
      <w:bookmarkStart w:id="211" w:name="_Toc2683"/>
      <w:bookmarkStart w:id="212" w:name="_Toc32633"/>
    </w:p>
    <w:p w14:paraId="7F5E1B20">
      <w:pPr>
        <w:spacing w:line="360" w:lineRule="auto"/>
        <w:jc w:val="center"/>
        <w:outlineLvl w:val="1"/>
        <w:rPr>
          <w:rFonts w:hint="eastAsia" w:ascii="宋体" w:hAnsi="宋体" w:eastAsia="宋体"/>
          <w:b/>
          <w:color w:val="000000" w:themeColor="text1"/>
          <w:sz w:val="24"/>
          <w:szCs w:val="24"/>
          <w:lang w:bidi="ar"/>
          <w14:textFill>
            <w14:solidFill>
              <w14:schemeClr w14:val="tx1"/>
            </w14:solidFill>
          </w14:textFill>
        </w:rPr>
      </w:pPr>
    </w:p>
    <w:p w14:paraId="3657F497">
      <w:pPr>
        <w:spacing w:line="360" w:lineRule="auto"/>
        <w:jc w:val="center"/>
        <w:outlineLvl w:val="1"/>
        <w:rPr>
          <w:rFonts w:hint="eastAsia" w:ascii="宋体" w:hAnsi="宋体" w:eastAsia="宋体"/>
          <w:b/>
          <w:color w:val="000000" w:themeColor="text1"/>
          <w:sz w:val="24"/>
          <w:szCs w:val="24"/>
          <w:lang w:bidi="ar"/>
          <w14:textFill>
            <w14:solidFill>
              <w14:schemeClr w14:val="tx1"/>
            </w14:solidFill>
          </w14:textFill>
        </w:rPr>
      </w:pPr>
    </w:p>
    <w:p w14:paraId="5DF82B43">
      <w:pPr>
        <w:spacing w:line="360" w:lineRule="auto"/>
        <w:jc w:val="center"/>
        <w:outlineLvl w:val="1"/>
        <w:rPr>
          <w:rFonts w:hint="eastAsia" w:ascii="宋体" w:hAnsi="宋体" w:eastAsia="宋体"/>
          <w:b/>
          <w:color w:val="000000" w:themeColor="text1"/>
          <w:sz w:val="24"/>
          <w:szCs w:val="24"/>
          <w:lang w:bidi="ar"/>
          <w14:textFill>
            <w14:solidFill>
              <w14:schemeClr w14:val="tx1"/>
            </w14:solidFill>
          </w14:textFill>
        </w:rPr>
      </w:pPr>
    </w:p>
    <w:p w14:paraId="48A8FDF6">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lang w:val="en-US" w:eastAsia="zh-CN"/>
          <w14:textFill>
            <w14:solidFill>
              <w14:schemeClr w14:val="tx1"/>
            </w14:solidFill>
          </w14:textFill>
        </w:rPr>
        <w:t>九</w:t>
      </w:r>
      <w:r>
        <w:rPr>
          <w:rFonts w:hint="eastAsia" w:asciiTheme="minorEastAsia" w:hAnsiTheme="minorEastAsia" w:eastAsiaTheme="minorEastAsia"/>
          <w:b/>
          <w:color w:val="000000" w:themeColor="text1"/>
          <w:sz w:val="24"/>
          <w14:textFill>
            <w14:solidFill>
              <w14:schemeClr w14:val="tx1"/>
            </w14:solidFill>
          </w14:textFill>
        </w:rPr>
        <w:t>、其他相关证明材料</w:t>
      </w:r>
      <w:bookmarkEnd w:id="211"/>
      <w:bookmarkEnd w:id="212"/>
    </w:p>
    <w:p w14:paraId="1623931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提供符合投标邀请、采购需求及评标方法和标准规定的相关证明文件。</w:t>
      </w:r>
    </w:p>
    <w:p w14:paraId="6DCED98E">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p>
    <w:p w14:paraId="337D149F">
      <w:pPr>
        <w:widowControl/>
        <w:jc w:val="left"/>
        <w:rPr>
          <w:rFonts w:hint="eastAsia" w:asciiTheme="minorEastAsia" w:hAnsiTheme="minorEastAsia" w:eastAsiaTheme="minorEastAsia"/>
          <w:color w:val="000000" w:themeColor="text1"/>
          <w:sz w:val="24"/>
          <w14:textFill>
            <w14:solidFill>
              <w14:schemeClr w14:val="tx1"/>
            </w14:solidFill>
          </w14:textFill>
        </w:rPr>
      </w:pPr>
    </w:p>
    <w:bookmarkEnd w:id="205"/>
    <w:bookmarkEnd w:id="206"/>
    <w:p w14:paraId="608CF14D">
      <w:pPr>
        <w:widowControl/>
        <w:jc w:val="center"/>
        <w:rPr>
          <w:rFonts w:hint="eastAsia" w:ascii="宋体" w:hAnsi="宋体" w:eastAsia="宋体" w:cs="宋体"/>
          <w:b/>
          <w:color w:val="000000" w:themeColor="text1"/>
          <w:sz w:val="24"/>
          <w:szCs w:val="24"/>
          <w:lang w:bidi="ar"/>
          <w14:textFill>
            <w14:solidFill>
              <w14:schemeClr w14:val="tx1"/>
            </w14:solidFill>
          </w14:textFill>
        </w:rPr>
      </w:pPr>
      <w:bookmarkStart w:id="213" w:name="_Toc6435"/>
      <w:bookmarkStart w:id="214" w:name="_Toc18131"/>
    </w:p>
    <w:p w14:paraId="1A11F323">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3DA9493A">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226B02CD">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7E5725F2">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7057ACF2">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6E92BFD0">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0ED5912A">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322EC2D0">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74776335">
      <w:pPr>
        <w:spacing w:line="360" w:lineRule="auto"/>
        <w:jc w:val="center"/>
        <w:outlineLvl w:val="0"/>
        <w:rPr>
          <w:rFonts w:hint="eastAsia" w:ascii="宋体" w:hAnsi="宋体" w:eastAsia="宋体"/>
          <w:b/>
          <w:bCs/>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第七章</w:t>
      </w:r>
      <w:r>
        <w:rPr>
          <w:rFonts w:hint="eastAsia" w:ascii="宋体" w:hAnsi="宋体" w:eastAsia="宋体"/>
          <w:b/>
          <w:bCs/>
          <w:color w:val="000000" w:themeColor="text1"/>
          <w:sz w:val="28"/>
          <w14:textFill>
            <w14:solidFill>
              <w14:schemeClr w14:val="tx1"/>
            </w14:solidFill>
          </w14:textFill>
        </w:rPr>
        <w:t xml:space="preserve">  政府采购</w:t>
      </w:r>
      <w:r>
        <w:rPr>
          <w:rFonts w:hint="eastAsia" w:asciiTheme="minorEastAsia" w:hAnsiTheme="minorEastAsia" w:eastAsiaTheme="minorEastAsia"/>
          <w:b/>
          <w:color w:val="000000" w:themeColor="text1"/>
          <w:sz w:val="28"/>
          <w14:textFill>
            <w14:solidFill>
              <w14:schemeClr w14:val="tx1"/>
            </w14:solidFill>
          </w14:textFill>
        </w:rPr>
        <w:t>供应</w:t>
      </w:r>
      <w:r>
        <w:rPr>
          <w:rFonts w:hint="eastAsia" w:ascii="宋体" w:hAnsi="宋体" w:eastAsia="宋体"/>
          <w:b/>
          <w:bCs/>
          <w:color w:val="000000" w:themeColor="text1"/>
          <w:sz w:val="28"/>
          <w14:textFill>
            <w14:solidFill>
              <w14:schemeClr w14:val="tx1"/>
            </w14:solidFill>
          </w14:textFill>
        </w:rPr>
        <w:t>商询问函和质疑函范本</w:t>
      </w:r>
      <w:bookmarkEnd w:id="213"/>
      <w:bookmarkEnd w:id="214"/>
    </w:p>
    <w:p w14:paraId="2325CBB0">
      <w:pPr>
        <w:spacing w:line="360" w:lineRule="auto"/>
        <w:jc w:val="center"/>
        <w:outlineLvl w:val="1"/>
        <w:rPr>
          <w:rFonts w:hint="eastAsia" w:ascii="仿宋" w:hAnsi="仿宋" w:eastAsia="仿宋" w:cs="仿宋"/>
          <w:b/>
          <w:bCs/>
          <w:color w:val="000000" w:themeColor="text1"/>
          <w:sz w:val="32"/>
          <w:szCs w:val="44"/>
          <w14:textFill>
            <w14:solidFill>
              <w14:schemeClr w14:val="tx1"/>
            </w14:solidFill>
          </w14:textFill>
        </w:rPr>
      </w:pPr>
      <w:bookmarkStart w:id="215" w:name="_Toc27489"/>
      <w:bookmarkStart w:id="216" w:name="_Toc27159"/>
      <w:r>
        <w:rPr>
          <w:rFonts w:hint="eastAsia" w:ascii="仿宋" w:hAnsi="仿宋" w:eastAsia="仿宋" w:cs="仿宋"/>
          <w:b/>
          <w:bCs/>
          <w:color w:val="000000" w:themeColor="text1"/>
          <w:sz w:val="32"/>
          <w:szCs w:val="44"/>
          <w14:textFill>
            <w14:solidFill>
              <w14:schemeClr w14:val="tx1"/>
            </w14:solidFill>
          </w14:textFill>
        </w:rPr>
        <w:t>询问函范本</w:t>
      </w:r>
      <w:bookmarkEnd w:id="215"/>
      <w:bookmarkEnd w:id="216"/>
    </w:p>
    <w:p w14:paraId="7C03D3E9">
      <w:pPr>
        <w:adjustRightInd w:val="0"/>
        <w:snapToGrid w:val="0"/>
        <w:spacing w:line="360" w:lineRule="auto"/>
        <w:rPr>
          <w:rFonts w:hint="eastAsia" w:ascii="仿宋" w:hAnsi="仿宋" w:eastAsia="仿宋" w:cs="仿宋"/>
          <w:b/>
          <w:bCs/>
          <w:color w:val="000000" w:themeColor="text1"/>
          <w:sz w:val="32"/>
          <w:szCs w:val="44"/>
          <w14:textFill>
            <w14:solidFill>
              <w14:schemeClr w14:val="tx1"/>
            </w14:solidFill>
          </w14:textFill>
        </w:rPr>
      </w:pPr>
      <w:r>
        <w:rPr>
          <w:rFonts w:hint="eastAsia" w:cs="仿宋" w:asciiTheme="minorEastAsia" w:hAnsiTheme="minorEastAsia" w:eastAsiaTheme="minorEastAsia"/>
          <w:i/>
          <w:iCs/>
          <w:color w:val="000000" w:themeColor="text1"/>
          <w:sz w:val="24"/>
          <w:szCs w:val="24"/>
          <w14:textFill>
            <w14:solidFill>
              <w14:schemeClr w14:val="tx1"/>
            </w14:solidFill>
          </w14:textFill>
        </w:rPr>
        <w:t>（如为对采购文件或采购程序的询问或疑问，请按询问函范本格式进行提交）</w:t>
      </w:r>
    </w:p>
    <w:p w14:paraId="39E57B98">
      <w:pPr>
        <w:adjustRightInd w:val="0"/>
        <w:snapToGrid w:val="0"/>
        <w:spacing w:line="360" w:lineRule="auto"/>
        <w:rPr>
          <w:rFonts w:hint="eastAsia" w:cs="仿宋" w:asciiTheme="minorEastAsia" w:hAnsiTheme="minorEastAsia" w:eastAsiaTheme="minorEastAsia"/>
          <w:b/>
          <w:bCs/>
          <w:color w:val="000000" w:themeColor="text1"/>
          <w:sz w:val="24"/>
          <w:szCs w:val="24"/>
          <w:u w:val="single"/>
          <w14:textFill>
            <w14:solidFill>
              <w14:schemeClr w14:val="tx1"/>
            </w14:solidFill>
          </w14:textFill>
        </w:rPr>
      </w:pPr>
      <w:r>
        <w:rPr>
          <w:rFonts w:hint="eastAsia" w:cs="仿宋" w:asciiTheme="minorEastAsia" w:hAnsiTheme="minorEastAsia" w:eastAsiaTheme="minorEastAsia"/>
          <w:b/>
          <w:bCs/>
          <w:color w:val="000000" w:themeColor="text1"/>
          <w:sz w:val="24"/>
          <w:szCs w:val="24"/>
          <w14:textFill>
            <w14:solidFill>
              <w14:schemeClr w14:val="tx1"/>
            </w14:solidFill>
          </w14:textFill>
        </w:rPr>
        <w:t>致：采购人</w:t>
      </w:r>
    </w:p>
    <w:p w14:paraId="33C34A11">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w:t>
      </w:r>
      <w:r>
        <w:rPr>
          <w:rFonts w:hint="eastAsia" w:cs="仿宋" w:asciiTheme="minorEastAsia" w:hAnsiTheme="minorEastAsia" w:eastAsiaTheme="minorEastAsia"/>
          <w:i/>
          <w:iCs/>
          <w:color w:val="000000" w:themeColor="text1"/>
          <w:sz w:val="24"/>
          <w:szCs w:val="24"/>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14:textFill>
            <w14:solidFill>
              <w14:schemeClr w14:val="tx1"/>
            </w14:solidFill>
          </w14:textFill>
        </w:rPr>
        <w:t>）的采购活动，现有以下内容(或条款)存在疑问(或无法理解)，特提出询问。</w:t>
      </w:r>
    </w:p>
    <w:p w14:paraId="65FD2B77">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bookmarkStart w:id="217" w:name="_Toc13899"/>
      <w:r>
        <w:rPr>
          <w:rFonts w:hint="eastAsia" w:cs="仿宋" w:asciiTheme="minorEastAsia" w:hAnsiTheme="minorEastAsia" w:eastAsiaTheme="minorEastAsia"/>
          <w:color w:val="000000" w:themeColor="text1"/>
          <w:sz w:val="24"/>
          <w:szCs w:val="24"/>
          <w14:textFill>
            <w14:solidFill>
              <w14:schemeClr w14:val="tx1"/>
            </w14:solidFill>
          </w14:textFill>
        </w:rPr>
        <w:t>一、(事项一)</w:t>
      </w:r>
      <w:bookmarkEnd w:id="217"/>
    </w:p>
    <w:p w14:paraId="3C796466">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1、(内容或条款)</w:t>
      </w:r>
    </w:p>
    <w:p w14:paraId="180D73AD">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2、(说明疑问或无法理解原因)</w:t>
      </w:r>
    </w:p>
    <w:p w14:paraId="571B666C">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3、(建议)</w:t>
      </w:r>
    </w:p>
    <w:p w14:paraId="51352E60">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bookmarkStart w:id="218" w:name="_Toc3352"/>
      <w:r>
        <w:rPr>
          <w:rFonts w:hint="eastAsia" w:cs="仿宋" w:asciiTheme="minorEastAsia" w:hAnsiTheme="minorEastAsia" w:eastAsiaTheme="minorEastAsia"/>
          <w:color w:val="000000" w:themeColor="text1"/>
          <w:sz w:val="24"/>
          <w:szCs w:val="24"/>
          <w14:textFill>
            <w14:solidFill>
              <w14:schemeClr w14:val="tx1"/>
            </w14:solidFill>
          </w14:textFill>
        </w:rPr>
        <w:t>二、(事项二)</w:t>
      </w:r>
      <w:bookmarkEnd w:id="218"/>
    </w:p>
    <w:p w14:paraId="0040FD5C">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584455C9">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 xml:space="preserve">随附相关证明材料如下： </w:t>
      </w:r>
    </w:p>
    <w:p w14:paraId="509BF608">
      <w:pPr>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 系 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0A3A7C5B">
      <w:pPr>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00C174AC">
      <w:pPr>
        <w:tabs>
          <w:tab w:val="left" w:pos="630"/>
        </w:tabs>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    期：</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18A59426">
      <w:pPr>
        <w:rPr>
          <w:rFonts w:hint="eastAsia" w:ascii="仿宋" w:hAnsi="仿宋" w:eastAsia="仿宋" w:cs="仿宋"/>
          <w:b/>
          <w:bCs/>
          <w:color w:val="000000" w:themeColor="text1"/>
          <w:sz w:val="32"/>
          <w:szCs w:val="44"/>
          <w14:textFill>
            <w14:solidFill>
              <w14:schemeClr w14:val="tx1"/>
            </w14:solidFill>
          </w14:textFill>
        </w:rPr>
      </w:pPr>
      <w:r>
        <w:rPr>
          <w:rFonts w:hint="eastAsia" w:ascii="仿宋" w:hAnsi="仿宋" w:eastAsia="仿宋" w:cs="仿宋"/>
          <w:b/>
          <w:bCs/>
          <w:color w:val="000000" w:themeColor="text1"/>
          <w:sz w:val="32"/>
          <w:szCs w:val="44"/>
          <w14:textFill>
            <w14:solidFill>
              <w14:schemeClr w14:val="tx1"/>
            </w14:solidFill>
          </w14:textFill>
        </w:rPr>
        <w:br w:type="page"/>
      </w:r>
    </w:p>
    <w:p w14:paraId="233128FC">
      <w:pPr>
        <w:jc w:val="center"/>
        <w:outlineLvl w:val="1"/>
        <w:rPr>
          <w:rFonts w:hint="eastAsia" w:ascii="仿宋" w:hAnsi="仿宋" w:eastAsia="仿宋" w:cs="仿宋"/>
          <w:b/>
          <w:bCs/>
          <w:color w:val="000000" w:themeColor="text1"/>
          <w:sz w:val="32"/>
          <w:szCs w:val="44"/>
          <w14:textFill>
            <w14:solidFill>
              <w14:schemeClr w14:val="tx1"/>
            </w14:solidFill>
          </w14:textFill>
        </w:rPr>
      </w:pPr>
      <w:bookmarkStart w:id="219" w:name="_Toc3245"/>
      <w:bookmarkStart w:id="220" w:name="_Toc1575"/>
      <w:r>
        <w:rPr>
          <w:rFonts w:hint="eastAsia" w:ascii="仿宋" w:hAnsi="仿宋" w:eastAsia="仿宋" w:cs="仿宋"/>
          <w:b/>
          <w:bCs/>
          <w:color w:val="000000" w:themeColor="text1"/>
          <w:sz w:val="32"/>
          <w:szCs w:val="44"/>
          <w14:textFill>
            <w14:solidFill>
              <w14:schemeClr w14:val="tx1"/>
            </w14:solidFill>
          </w14:textFill>
        </w:rPr>
        <w:t>质疑函范本</w:t>
      </w:r>
      <w:bookmarkEnd w:id="219"/>
      <w:bookmarkEnd w:id="220"/>
    </w:p>
    <w:p w14:paraId="2FFE0CD9">
      <w:pPr>
        <w:adjustRightInd w:val="0"/>
        <w:snapToGrid w:val="0"/>
        <w:spacing w:before="312" w:beforeLines="100"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221" w:name="_Toc21381"/>
      <w:r>
        <w:rPr>
          <w:rFonts w:hint="eastAsia" w:cs="仿宋" w:asciiTheme="minorEastAsia" w:hAnsiTheme="minorEastAsia" w:eastAsiaTheme="minorEastAsia"/>
          <w:b/>
          <w:bCs/>
          <w:color w:val="000000" w:themeColor="text1"/>
          <w:sz w:val="24"/>
          <w:szCs w:val="24"/>
          <w14:textFill>
            <w14:solidFill>
              <w14:schemeClr w14:val="tx1"/>
            </w14:solidFill>
          </w14:textFill>
        </w:rPr>
        <w:t>一、质疑供应商基本信息</w:t>
      </w:r>
      <w:bookmarkEnd w:id="221"/>
    </w:p>
    <w:p w14:paraId="403FB2FE">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6C28769">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4FD1B417">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联系人：</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AF6B43E">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授权代表：</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256D78DB">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cs="仿宋" w:asciiTheme="minorEastAsia" w:hAnsiTheme="minorEastAsia" w:eastAsiaTheme="minorEastAsia"/>
          <w:color w:val="000000" w:themeColor="text1"/>
          <w:sz w:val="24"/>
          <w:szCs w:val="24"/>
          <w14:textFill>
            <w14:solidFill>
              <w14:schemeClr w14:val="tx1"/>
            </w14:solidFill>
          </w14:textFill>
        </w:rPr>
        <w:t xml:space="preserve"> </w:t>
      </w:r>
    </w:p>
    <w:p w14:paraId="73C2243A">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9F4A786">
      <w:pPr>
        <w:adjustRightInd w:val="0"/>
        <w:snapToGrid w:val="0"/>
        <w:spacing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222" w:name="_Toc28415"/>
      <w:r>
        <w:rPr>
          <w:rFonts w:hint="eastAsia" w:cs="仿宋" w:asciiTheme="minorEastAsia" w:hAnsiTheme="minorEastAsia" w:eastAsiaTheme="minorEastAsia"/>
          <w:b/>
          <w:bCs/>
          <w:color w:val="000000" w:themeColor="text1"/>
          <w:sz w:val="24"/>
          <w:szCs w:val="24"/>
          <w14:textFill>
            <w14:solidFill>
              <w14:schemeClr w14:val="tx1"/>
            </w14:solidFill>
          </w14:textFill>
        </w:rPr>
        <w:t>二、质疑项目基本情况</w:t>
      </w:r>
      <w:bookmarkEnd w:id="222"/>
    </w:p>
    <w:p w14:paraId="39CBB398">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6B5A80F">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包号：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1FD1920">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5B993A7">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2B623BE5">
      <w:pPr>
        <w:adjustRightInd w:val="0"/>
        <w:snapToGrid w:val="0"/>
        <w:spacing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223" w:name="_Toc19014"/>
      <w:r>
        <w:rPr>
          <w:rFonts w:hint="eastAsia" w:cs="仿宋" w:asciiTheme="minorEastAsia" w:hAnsiTheme="minorEastAsia" w:eastAsiaTheme="minorEastAsia"/>
          <w:b/>
          <w:bCs/>
          <w:color w:val="000000" w:themeColor="text1"/>
          <w:sz w:val="24"/>
          <w:szCs w:val="24"/>
          <w14:textFill>
            <w14:solidFill>
              <w14:schemeClr w14:val="tx1"/>
            </w14:solidFill>
          </w14:textFill>
        </w:rPr>
        <w:t>三、质疑事项具体内容</w:t>
      </w:r>
      <w:bookmarkEnd w:id="223"/>
    </w:p>
    <w:p w14:paraId="72A08BF1">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质疑事项1：</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4258EE5">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事实依据：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FE7A1DB">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4395760">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法律依据：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6D9F1CA">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21DAC3A">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质疑事项2</w:t>
      </w:r>
    </w:p>
    <w:p w14:paraId="4764D861">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02CDDAA2">
      <w:pPr>
        <w:adjustRightInd w:val="0"/>
        <w:snapToGrid w:val="0"/>
        <w:spacing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224" w:name="_Toc17919"/>
      <w:r>
        <w:rPr>
          <w:rFonts w:hint="eastAsia" w:cs="仿宋" w:asciiTheme="minorEastAsia" w:hAnsiTheme="minorEastAsia" w:eastAsiaTheme="minorEastAsia"/>
          <w:b/>
          <w:bCs/>
          <w:color w:val="000000" w:themeColor="text1"/>
          <w:sz w:val="24"/>
          <w:szCs w:val="24"/>
          <w14:textFill>
            <w14:solidFill>
              <w14:schemeClr w14:val="tx1"/>
            </w14:solidFill>
          </w14:textFill>
        </w:rPr>
        <w:t>四、与质疑事项相关的质疑请求</w:t>
      </w:r>
      <w:bookmarkEnd w:id="224"/>
    </w:p>
    <w:p w14:paraId="2E4937B8">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请求：</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49EB5088">
      <w:pPr>
        <w:spacing w:line="360" w:lineRule="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签字(签字或盖章)：                   公章：                      </w:t>
      </w:r>
    </w:p>
    <w:p w14:paraId="637D5535">
      <w:pPr>
        <w:spacing w:line="360" w:lineRule="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日期：    </w:t>
      </w:r>
    </w:p>
    <w:p w14:paraId="5A3AD05B">
      <w:pPr>
        <w:widowControl/>
        <w:jc w:val="left"/>
        <w:rPr>
          <w:rFonts w:hint="eastAsia"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14:paraId="1D5827CD">
      <w:pPr>
        <w:outlineLvl w:val="0"/>
        <w:rPr>
          <w:rFonts w:hint="eastAsia" w:asciiTheme="minorEastAsia" w:hAnsiTheme="minorEastAsia" w:eastAsiaTheme="minorEastAsia"/>
          <w:b/>
          <w:color w:val="000000" w:themeColor="text1"/>
          <w:sz w:val="28"/>
          <w:szCs w:val="32"/>
          <w14:textFill>
            <w14:solidFill>
              <w14:schemeClr w14:val="tx1"/>
            </w14:solidFill>
          </w14:textFill>
        </w:rPr>
      </w:pPr>
      <w:bookmarkStart w:id="225" w:name="_Toc9754"/>
      <w:bookmarkStart w:id="226" w:name="_Toc26836"/>
      <w:r>
        <w:rPr>
          <w:rFonts w:hint="eastAsia" w:asciiTheme="minorEastAsia" w:hAnsiTheme="minorEastAsia" w:eastAsiaTheme="minorEastAsia"/>
          <w:b/>
          <w:color w:val="000000" w:themeColor="text1"/>
          <w:sz w:val="28"/>
          <w:szCs w:val="32"/>
          <w14:textFill>
            <w14:solidFill>
              <w14:schemeClr w14:val="tx1"/>
            </w14:solidFill>
          </w14:textFill>
        </w:rPr>
        <w:t>质疑函制作说明：</w:t>
      </w:r>
      <w:bookmarkEnd w:id="225"/>
      <w:bookmarkEnd w:id="226"/>
    </w:p>
    <w:p w14:paraId="59FB96C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23D4FA3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8FA4E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6DB565F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6314A15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5.质疑函的质疑请求应与质疑事项相关。</w:t>
      </w:r>
    </w:p>
    <w:p w14:paraId="297EA23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A22958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1BCF9C6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06AF3FE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0C346F9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52AAD84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7F386B3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32752E9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548A019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4D6C05C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442669C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10B5B46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5D62EC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4CD68F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7740184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70EF579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90138B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EE9A91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55096ED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65EDF583">
      <w:pPr>
        <w:spacing w:line="38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附件1</w:t>
      </w:r>
    </w:p>
    <w:p w14:paraId="74F08066">
      <w:pPr>
        <w:spacing w:line="38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关于联合惩戒失信行为 加强信用查询管理的通知</w:t>
      </w:r>
    </w:p>
    <w:p w14:paraId="497AB2C7">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一、失信行为联合惩戒的范围和查询渠道</w:t>
      </w:r>
    </w:p>
    <w:p w14:paraId="0329618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在我市公共资源交易活动中对存在下列失信行为的投标人、法定代表人及其项目负责人实施联合惩戒，禁止参与我市公共资源交易活动。</w:t>
      </w:r>
    </w:p>
    <w:p w14:paraId="658F145D">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（一）工程建设项目</w:t>
      </w:r>
    </w:p>
    <w:p w14:paraId="3D0D26F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1、“信用中国”网站（www.creditchina.gov.cn）查询以下失信行为：</w:t>
      </w:r>
    </w:p>
    <w:p w14:paraId="3C9C3017">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①投标人被人民法院列入失信被执行人的；</w:t>
      </w:r>
    </w:p>
    <w:p w14:paraId="4EEDA6D7">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②投标人被税务部门列入重大税收违法案件当事人的；</w:t>
      </w:r>
    </w:p>
    <w:p w14:paraId="0E2660B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③投标人被人力资源社会保障行政部门列入拖欠农民工工资“黑名单”的；</w:t>
      </w:r>
    </w:p>
    <w:p w14:paraId="7158574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④在“信用中国”网站上披露的仍在公示期的严重失信行为的。</w:t>
      </w:r>
    </w:p>
    <w:p w14:paraId="6519AEC9">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2、国家企业信用信息公示系统网站（www.gsxt.gov.cn）查询以下失信行为：</w:t>
      </w:r>
    </w:p>
    <w:p w14:paraId="25534D6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①被市场监督管理部门列入经营异常名录或者严重违法企业名单，且未被移除的。</w:t>
      </w:r>
    </w:p>
    <w:p w14:paraId="07CE4AD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3、滁州市</w:t>
      </w:r>
      <w:r>
        <w:rPr>
          <w:rFonts w:hint="eastAsia" w:ascii="宋体" w:hAnsi="宋体" w:eastAsia="宋体" w:cs="宋体"/>
          <w:b/>
          <w:color w:val="000000" w:themeColor="text1"/>
          <w:sz w:val="24"/>
          <w:szCs w:val="24"/>
          <w:lang w:val="en-US" w:eastAsia="zh-CN" w:bidi="ar"/>
          <w14:textFill>
            <w14:solidFill>
              <w14:schemeClr w14:val="tx1"/>
            </w14:solidFill>
          </w14:textFill>
        </w:rPr>
        <w:t>公共资源交易中心</w:t>
      </w:r>
      <w:r>
        <w:rPr>
          <w:rFonts w:hint="eastAsia" w:ascii="宋体" w:hAnsi="宋体" w:eastAsia="宋体" w:cs="宋体"/>
          <w:b/>
          <w:color w:val="000000" w:themeColor="text1"/>
          <w:sz w:val="24"/>
          <w:szCs w:val="24"/>
          <w:lang w:bidi="ar"/>
          <w14:textFill>
            <w14:solidFill>
              <w14:schemeClr w14:val="tx1"/>
            </w14:solidFill>
          </w14:textFill>
        </w:rPr>
        <w:t>网（http://ggzy.chuzhou.gov.cn/）查询以下失信行为：</w:t>
      </w:r>
    </w:p>
    <w:p w14:paraId="1019870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①被滁州市县两级公管部门取消在一定期限内的投标资格且在取消期限内的；</w:t>
      </w:r>
    </w:p>
    <w:p w14:paraId="3E5CD8A0">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②被滁州市县两级公管部门记入不良行为记录或者信用信息记录，且在披露期内的。</w:t>
      </w:r>
    </w:p>
    <w:p w14:paraId="0AEF52D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4、由竞争主体进行承诺，不进行现场网上信用查询的失信行为：</w:t>
      </w:r>
    </w:p>
    <w:p w14:paraId="1A4A888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①前三年列入行贿犯罪档案的单位和个人；</w:t>
      </w:r>
    </w:p>
    <w:p w14:paraId="38639AC0">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②被滁州市县两级各行业主管部门取消在一定期限内的投标资格且在取消期限内的；</w:t>
      </w:r>
    </w:p>
    <w:p w14:paraId="6034821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③因拖欠农民工工资被县级及以上有关行政主管部门限制投标资格且在限制期限内的。</w:t>
      </w:r>
    </w:p>
    <w:p w14:paraId="596F1A4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（二）政府采购项目</w:t>
      </w:r>
    </w:p>
    <w:p w14:paraId="1650B81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1、“信用中国”网站（www.creditchina.gov.cn）查询以下失信行为：</w:t>
      </w:r>
    </w:p>
    <w:p w14:paraId="31B2319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①投标人被人民法院列入失信被执行人的；</w:t>
      </w:r>
    </w:p>
    <w:p w14:paraId="1C24C698">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②投标人被税务部门列入重大税收违法案件当事人的；</w:t>
      </w:r>
    </w:p>
    <w:p w14:paraId="49E3882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③在“信用中国”网站上披露的仍在公示期的严重失信行为的。</w:t>
      </w:r>
    </w:p>
    <w:p w14:paraId="38EB900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2、国家企业信用信息公示系统网站（www.gsxt.gov.cn）查询以下失信行为：</w:t>
      </w:r>
    </w:p>
    <w:p w14:paraId="4000E4B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①被市场监督管理部门列入经营异常名录或者严重违法企业名单，且未被移除的。</w:t>
      </w:r>
    </w:p>
    <w:p w14:paraId="7D52EC3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3、中国政府采购网站（www.ccgp.gov.cn）查询以下失信行为：</w:t>
      </w:r>
    </w:p>
    <w:p w14:paraId="713DBCF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①政府采购严重违法失信行为</w:t>
      </w:r>
    </w:p>
    <w:p w14:paraId="68885E9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4、由竞争主体进行承诺，不进行现场网上信用查询的失信行为：</w:t>
      </w:r>
    </w:p>
    <w:p w14:paraId="52A1027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①前三年列入行贿犯罪档案的单位和个人。</w:t>
      </w:r>
    </w:p>
    <w:p w14:paraId="05E7AF7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二、在开评标活动中的查询程序</w:t>
      </w:r>
    </w:p>
    <w:p w14:paraId="2443898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4E00C2D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0E3F52B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3、项目单位及其委托的代理机构应当做好信用查询结果截图和记录留存。</w:t>
      </w:r>
    </w:p>
    <w:p w14:paraId="2E54776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4、交易中心见证人员对预中标候选人信用查询结果进行复查，发现问题及时纠正，并按规定程序追究相关单位和人员责任。</w:t>
      </w:r>
    </w:p>
    <w:p w14:paraId="79751369">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5、结果公告须提供有评标委员会、代理机构及交易中心现场见证人员查询记录三方签字表方可发布。</w:t>
      </w:r>
    </w:p>
    <w:p w14:paraId="1B76AC6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三、相关要求</w:t>
      </w:r>
    </w:p>
    <w:p w14:paraId="32C12F5B">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1、参与公共资源交易活动的竞争主体根据上述范围查询的内容进行自查并承诺，出具《诚信投标承诺书》（诚信投标承诺书包括但不限于上述自查并承诺内容）并注明承诺日期（投标截止时间前5日内）。</w:t>
      </w:r>
    </w:p>
    <w:p w14:paraId="38428F8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C88DCDF">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2、“信用中国”查询的严重失信行为判定依据为各行业主管部门下发的联合惩戒文件中规定的行为（按附件2执行）。</w:t>
      </w:r>
    </w:p>
    <w:p w14:paraId="598E4501">
      <w:pPr>
        <w:spacing w:line="38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3、资格预审的项目以递交资格预审申请文件截止时间查询为准；资格后审的项目以递交投标文件截止时间查询为准。</w:t>
      </w:r>
    </w:p>
    <w:p w14:paraId="41FA2A14">
      <w:pPr>
        <w:spacing w:line="38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附件2</w:t>
      </w:r>
    </w:p>
    <w:p w14:paraId="352D1EA1">
      <w:pPr>
        <w:spacing w:line="38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“信用中国”查询的严重失信行为类别及判定依据</w:t>
      </w:r>
    </w:p>
    <w:p w14:paraId="1EFCC66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“信用中国”查询的严重失信行为判定依据为各行业主管部门下发的联合惩戒文件中规定的行为。下面将部分类别的严重失信行为列举如下：</w:t>
      </w:r>
    </w:p>
    <w:p w14:paraId="625434EF">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一、安全生产领域严重失信行为：</w:t>
      </w:r>
    </w:p>
    <w:p w14:paraId="537F94A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（一）发生较大及以上生产安全责任事故，或1年内累计发生3起及以上造成人员死亡的一般生产安全责任事故的；</w:t>
      </w:r>
    </w:p>
    <w:p w14:paraId="6076D715">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（二）未按规定取得安全生产许可，擅自开展生产经营建设活动的；</w:t>
      </w:r>
    </w:p>
    <w:p w14:paraId="4A26299A">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（三）发现重大生产安全事故隐患，或职业病危害严重超标，不及时整改，仍组织从业人员冒险作业的；</w:t>
      </w:r>
    </w:p>
    <w:p w14:paraId="3516E525">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（四）采取隐蔽、欺骗或阻碍等方式逃避、对抗安全监管监察的;</w:t>
      </w:r>
    </w:p>
    <w:p w14:paraId="4A617B0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（五）被责令停产停业整顿，仍然从事生产经营建设活动的；</w:t>
      </w:r>
    </w:p>
    <w:p w14:paraId="18B8C8E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（六）瞒报、谎报、迟报生产安全事故的；</w:t>
      </w:r>
    </w:p>
    <w:p w14:paraId="04002335">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（七）矿山、危险化学品、金属冶炼等高危行业建设项目安全设施未经验收合格即投入生产和使用的；</w:t>
      </w:r>
    </w:p>
    <w:p w14:paraId="14536134">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（八）矿山生产经营单位存在超层越界开采、以探代采行为的；</w:t>
      </w:r>
    </w:p>
    <w:p w14:paraId="5DC4BD2A">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（九）发生事故后，故意破坏事故现场，伪造有关证据资料，妨碍、对抗事故调查，或主要负责人逃逸的；</w:t>
      </w:r>
    </w:p>
    <w:p w14:paraId="5F99D3B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（十）安全生产和职业健康技术服务机构出具虚假报告或证明，违规转让或出借资质的。</w:t>
      </w:r>
    </w:p>
    <w:p w14:paraId="2B5BFD0E">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依据：《对安全生产领域失信行为开展联合惩戒的实施办法》（安监总办〔2017〕49号）第二条</w:t>
      </w:r>
    </w:p>
    <w:p w14:paraId="0307D94E">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二、环境保护领域严重失信行为：</w:t>
      </w:r>
    </w:p>
    <w:p w14:paraId="5F28494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（一）因为环境违法构成</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"https://baike.sogou.com/m/fullLemma?lid=10403954&amp;g_ut=3"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环境犯罪</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的；</w:t>
      </w:r>
    </w:p>
    <w:p w14:paraId="2790B8C9">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"https://baike.sogou.com/m/fullLemma?lid=76033123&amp;g_ut=3"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建设项目环境影响评价</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文件未按规定通过审批，擅自开工建设的；</w:t>
      </w:r>
    </w:p>
    <w:p w14:paraId="760DCF2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（三）建设项目环保设施未建成、环保措施未落实、未通过</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"https://baike.sogou.com/m/fullLemma?lid=6470550&amp;g_ut=3"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竣工环保验收</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或者验收不合格，主体工程正式投入生产或者使用的；</w:t>
      </w:r>
    </w:p>
    <w:p w14:paraId="0AD03C9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（四）建设项目性质、规模、地点、采用的生产工艺或者防治污染、防止生态破坏的措施发生重大变动，未重新报批环境影响评价文件，擅自投入生产或者使用的；</w:t>
      </w:r>
    </w:p>
    <w:p w14:paraId="71B0723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（五）主要污染物排放总量超过控制指标的；</w:t>
      </w:r>
    </w:p>
    <w:p w14:paraId="1919DB1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（六）私设暗管或者利用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"https://baike.sogou.com/m/fullLemma?lid=41657319&amp;g_ut=3"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渗井</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、渗坑、裂隙、溶洞等排放、倾倒、处置水污染物，或者通过私设旁路排放</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"https://baike.sogou.com/m/fullLemma?lid=7758328&amp;g_ut=3"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大气污染物</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的；</w:t>
      </w:r>
    </w:p>
    <w:p w14:paraId="0FF766DD">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（七）非法排放、倾倒、处置危险废物，或者向无</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"https://baike.sogou.com/m/fullLemma?lid=5923292&amp;g_ut=3"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经营许可证</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或者超出经营许可范围的单位或个人提供或者委托其收集、贮存、利用、处置危险废物的；</w:t>
      </w:r>
    </w:p>
    <w:p w14:paraId="2131EDC6">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"https://baike.sogou.com/m/fullLemma?lid=167759803&amp;g_ut=3"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环境违法行为</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造成集中式生活饮用水水源取水中断的；</w:t>
      </w:r>
    </w:p>
    <w:p w14:paraId="137B9555">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（九）环境违法行为对生活饮用水水源保护区、自然保护区、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"https://baike.sogou.com/m/fullLemma?lid=155199213&amp;g_ut=3"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国家重点生态功能区</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、风景名胜区、居住功能区、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"https://baike.sogou.com/m/fullLemma?lid=7757164&amp;g_ut=3"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基本农田保护区</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等环境敏感区造成重大不利影响的；</w:t>
      </w:r>
    </w:p>
    <w:p w14:paraId="071C8D89">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（十）违法从事自然资源开发、交通基础设施建设，以及其他开发建设活动，造成严重生态破坏的；</w:t>
      </w:r>
    </w:p>
    <w:p w14:paraId="6D6E8853">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（十一）发生较大及以上突发环境事件的；</w:t>
      </w:r>
    </w:p>
    <w:p w14:paraId="4470C3E6">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（十二）被环保部门挂牌督办，整改逾期未完成的；</w:t>
      </w:r>
    </w:p>
    <w:p w14:paraId="35183030">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（十三）以暴力、威胁等方式拒绝、阻挠环保部门工作人员现场检查的；</w:t>
      </w:r>
    </w:p>
    <w:p w14:paraId="7BFD6EE9">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（十四）违反重污染天气应急预案有关规定，对重污染天气响应不力的。</w:t>
      </w:r>
    </w:p>
    <w:p w14:paraId="4494D9CE">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依据：《关于对环境保护领域失信生产经营单位及其有关人员开展联合惩戒的合作备忘录》、《企业环境信用评价办法（试行）》（环发〔2013〕150号）</w:t>
      </w:r>
    </w:p>
    <w:p w14:paraId="1D7482BD">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三、</w:t>
      </w:r>
      <w:r>
        <w:rPr>
          <w:rFonts w:hint="eastAsia" w:ascii="宋体" w:hAnsi="宋体" w:eastAsia="宋体" w:cs="宋体"/>
          <w:b/>
          <w:bCs/>
          <w:color w:val="000000" w:themeColor="text1"/>
          <w:sz w:val="24"/>
          <w:szCs w:val="24"/>
          <w:lang w:bidi="ar"/>
          <w14:textFill>
            <w14:solidFill>
              <w14:schemeClr w14:val="tx1"/>
            </w14:solidFill>
          </w14:textFill>
        </w:rPr>
        <w:t>公共资源交易领域严重失信行为</w:t>
      </w:r>
    </w:p>
    <w:p w14:paraId="19C84A6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（一）违反法律规定，必须进行招标的项目而不招标的，将必须进行招标的项目化整为零或者以其他任何方式规避招标的； </w:t>
      </w:r>
    </w:p>
    <w:p w14:paraId="33DB1EAC">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（二）招标代理机构违反法律规定，泄露应当保密的与招标投标活动有关的情况和资料的，或者与招标人、投标人串通损害国家利益、社会公共利益或者他人合法权益的；</w:t>
      </w:r>
    </w:p>
    <w:p w14:paraId="78346A5F">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（三）招标人以不合理的条件限制或者排斥潜在投标人的，对潜在投标人实行歧视待遇的，强制要求投标人组成联合体共同投标的，或者限制投标人之间竞争的；</w:t>
      </w:r>
    </w:p>
    <w:p w14:paraId="0DE1C011">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（四）依法必须进行招标的项目的招标人向他人透露已获取招标文件的潜在投标人的名称、数量或者可能影响公平竞争的有关招标投标的其他情况的，或者泄露标底的；</w:t>
      </w:r>
    </w:p>
    <w:p w14:paraId="289201E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（五）投标人相互串通投标或者与招标人串通投标的，投标人以向招标人或者评标委员会成员行贿的手段谋取中标的； </w:t>
      </w:r>
    </w:p>
    <w:p w14:paraId="045FB777">
      <w:pPr>
        <w:spacing w:line="380" w:lineRule="exact"/>
        <w:ind w:firstLine="763" w:firstLineChars="318"/>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（六）投标人以他人名义投标或者以其他方式弄虚作假，骗取中标的；</w:t>
      </w:r>
    </w:p>
    <w:p w14:paraId="670DFAB6">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（七）依法必须进行招标的项目，招标人违反法律规定，与投标人就投标价格、投标方案等实质性内容进行谈判的；</w:t>
      </w:r>
    </w:p>
    <w:p w14:paraId="1E5817F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49B741C">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（九）招标人在评标委员会依法推荐的中标候选人以外确定中标人的，依法必须进行招标的项目在所有投标被评标委员会否决后自行确定中标人的； </w:t>
      </w:r>
    </w:p>
    <w:p w14:paraId="4AC21DCE">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（十）中标人将中标项目转让给他人的，将中标项目肢解后分别转让给他人的，违反法律规定将中标项目的部分主体、关键性工作分包给他人的，或者分包人再次分包的； </w:t>
      </w:r>
    </w:p>
    <w:p w14:paraId="13FE3431">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（十一）招标人与中标人不按照招标文件和中标人的投标文件订立合同的，或者招标人、中标人订立背离合同实质性内容的协议的； </w:t>
      </w:r>
    </w:p>
    <w:p w14:paraId="1A24F2CD">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（十二）中标人不按照与招标人订立的合同履行义务，情节严重的； </w:t>
      </w:r>
    </w:p>
    <w:p w14:paraId="16836264">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4962477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5A5D1984">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（十五）采购人对应当实行集中采购的政府采购项目，不委托集中采购机构实行集中采购的； </w:t>
      </w:r>
    </w:p>
    <w:p w14:paraId="40A8C301">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（十六）采购人、采购代理机构违反法律规定隐匿、销毁应当保存的采购文件或者伪造、变造采购文件的； </w:t>
      </w:r>
    </w:p>
    <w:p w14:paraId="254DE65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88A5D70">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（十八）疫苗生产企业向县级疾病预防控制机构以外的单位或者个人销售第二类疫苗的； </w:t>
      </w:r>
    </w:p>
    <w:p w14:paraId="2F2F769E">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（十九）存在其他违反公共资源交易法律法规行为的。</w:t>
      </w:r>
    </w:p>
    <w:p w14:paraId="4AE65893">
      <w:pPr>
        <w:spacing w:line="380" w:lineRule="exact"/>
        <w:ind w:firstLine="766" w:firstLineChars="318"/>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依据：《关于对公共资源交易领域严重失信主体开展联合惩戒的备忘录》（发改法规〔2018〕457号）</w:t>
      </w:r>
    </w:p>
    <w:p w14:paraId="01E0DCB1">
      <w:pPr>
        <w:spacing w:line="380" w:lineRule="exact"/>
        <w:ind w:firstLine="645"/>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四、</w:t>
      </w:r>
      <w:r>
        <w:rPr>
          <w:rFonts w:hint="eastAsia" w:ascii="宋体" w:hAnsi="宋体" w:eastAsia="宋体" w:cs="宋体"/>
          <w:b/>
          <w:bCs/>
          <w:color w:val="000000" w:themeColor="text1"/>
          <w:sz w:val="24"/>
          <w:szCs w:val="24"/>
          <w:lang w:bidi="ar"/>
          <w14:textFill>
            <w14:solidFill>
              <w14:schemeClr w14:val="tx1"/>
            </w14:solidFill>
          </w14:textFill>
        </w:rPr>
        <w:t>社会保险领域严重失信行为</w:t>
      </w:r>
    </w:p>
    <w:p w14:paraId="2A7F2B3F">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（一）用人单位未按相关规定参加社会保险且拒不整改的； </w:t>
      </w:r>
    </w:p>
    <w:p w14:paraId="6BAAEB86">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（二）用人单位未如实申报社会保险缴费基数且拒不整改的； </w:t>
      </w:r>
    </w:p>
    <w:p w14:paraId="171A6A25">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（三）应缴纳社会保险费却拒不缴纳的； </w:t>
      </w:r>
    </w:p>
    <w:p w14:paraId="6B66C7A9">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（四）隐匿、转移、侵占、挪用社会保险费款、基金或者违规投资运营的；</w:t>
      </w:r>
    </w:p>
    <w:p w14:paraId="61067D67">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（五）以欺诈、伪造证明材料或者其他手段参加、申报社会保险和骗取社会保险基金支出或社会保险待遇的； </w:t>
      </w:r>
    </w:p>
    <w:p w14:paraId="5105BE8B">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（六）非法获取、出售或变相交易社会保险个人权益数据的； </w:t>
      </w:r>
    </w:p>
    <w:p w14:paraId="646BCA70">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（七）社会保险服务机构违反服务协议或相关规定的； </w:t>
      </w:r>
    </w:p>
    <w:p w14:paraId="164212C4">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（八）拒绝协助社会保险行政部门、经办机构对事故和问题进 行调查核实的；拒绝接受或协助税务部门对社会保险实施监督检查， 不如实提供与社会保险相关各项资料的； </w:t>
      </w:r>
    </w:p>
    <w:p w14:paraId="7FD6A824">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（九）其他违反法律法规规定的。</w:t>
      </w:r>
    </w:p>
    <w:p w14:paraId="68FD5D18">
      <w:pPr>
        <w:spacing w:line="380" w:lineRule="exact"/>
        <w:ind w:left="1200" w:leftChars="342" w:hanging="482" w:hanging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依据：《关于对社会保险领域严重失信企业及其有关人员实施联合惩戒的合作备忘录》（发改财金〔2018〕1704号）</w:t>
      </w:r>
    </w:p>
    <w:p w14:paraId="5AE950D6">
      <w:pPr>
        <w:spacing w:line="380" w:lineRule="exact"/>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b/>
          <w:color w:val="000000" w:themeColor="text1"/>
          <w:sz w:val="24"/>
          <w:szCs w:val="24"/>
          <w:lang w:bidi="ar"/>
          <w14:textFill>
            <w14:solidFill>
              <w14:schemeClr w14:val="tx1"/>
            </w14:solidFill>
          </w14:textFill>
        </w:rPr>
        <w:t>五、建筑市场领域</w:t>
      </w:r>
      <w:r>
        <w:rPr>
          <w:rFonts w:hint="eastAsia" w:ascii="宋体" w:hAnsi="宋体" w:eastAsia="宋体" w:cs="宋体"/>
          <w:b/>
          <w:bCs/>
          <w:color w:val="000000" w:themeColor="text1"/>
          <w:sz w:val="24"/>
          <w:szCs w:val="24"/>
          <w:lang w:bidi="ar"/>
          <w14:textFill>
            <w14:solidFill>
              <w14:schemeClr w14:val="tx1"/>
            </w14:solidFill>
          </w14:textFill>
        </w:rPr>
        <w:t>严重失信行为</w:t>
      </w:r>
    </w:p>
    <w:p w14:paraId="43CF09E5">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（一）利用虚假材料、以欺骗手段取得企业资质的；</w:t>
      </w:r>
    </w:p>
    <w:p w14:paraId="78BB5C19">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（二）发生转包、出借资质，受到行政处罚的；</w:t>
      </w:r>
    </w:p>
    <w:p w14:paraId="46C916FB">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（三）发生重大及以上工程质量安全事故，或1年内累计发生2次及以上较大工程质量安全事故，或发生性质恶劣、危害性严重、社会影响大的较大工程质量安全事故，受到行政处罚的；</w:t>
      </w:r>
    </w:p>
    <w:p w14:paraId="2B83643E">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（四）经法院判决或仲裁机构裁决，认定为拖欠工程款,且拒不履行生效法律文书确定的义务的。</w:t>
      </w:r>
    </w:p>
    <w:p w14:paraId="6AA955D1">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各级住房城乡建设主管部门应当参照建筑市场主体“黑名单”，对被人力资源社会保障主管部门列入拖欠农民工工资“黑名单”的建筑市场各方主体加强监管。</w:t>
      </w:r>
    </w:p>
    <w:p w14:paraId="7D4E3513">
      <w:pPr>
        <w:spacing w:line="38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依据：《建筑市场信用管理暂行办法》（建市〔2017〕241号）</w:t>
      </w:r>
    </w:p>
    <w:p w14:paraId="3C57074C">
      <w:pPr>
        <w:spacing w:line="38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六、政府采购严重失信行为</w:t>
      </w:r>
    </w:p>
    <w:p w14:paraId="71BFCFF0">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供应商、采购代理机构在三年内受到财政部门作出下列情形之一的行政处罚，列入政府采购严重违法失信行为记录名单。</w:t>
      </w:r>
    </w:p>
    <w:p w14:paraId="66992884">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（一）三万元以上罚款；</w:t>
      </w:r>
    </w:p>
    <w:p w14:paraId="1CB43363">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（二）在一至三年内禁止参加政府采购活动（处罚期限届满的除外）；</w:t>
      </w:r>
    </w:p>
    <w:p w14:paraId="482411DD">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（三）在一至三年内禁止代理政府采购业务（处罚期限届满的除外）；</w:t>
      </w:r>
    </w:p>
    <w:p w14:paraId="2ACE2E44">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（四）撤销政府采购代理机构资格（仅针对《政府采购法》第78条修改前作出的处罚决定）。</w:t>
      </w:r>
    </w:p>
    <w:p w14:paraId="42D1BE85">
      <w:pPr>
        <w:spacing w:line="38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依据：《关于报送政府采购严重违法失信行为信息记录的通知》</w:t>
      </w:r>
      <w:r>
        <w:rPr>
          <w:rFonts w:hint="eastAsia" w:ascii="宋体" w:hAnsi="宋体" w:eastAsia="宋体" w:cs="宋体"/>
          <w:b/>
          <w:color w:val="000000" w:themeColor="text1"/>
          <w:sz w:val="24"/>
          <w:szCs w:val="24"/>
          <w:lang w:bidi="ar"/>
          <w14:textFill>
            <w14:solidFill>
              <w14:schemeClr w14:val="tx1"/>
            </w14:solidFill>
          </w14:textFill>
        </w:rPr>
        <w:t>（财办库〔2014〕526号）</w:t>
      </w:r>
    </w:p>
    <w:p w14:paraId="0386C9A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七、水利建设领域严重失信行为</w:t>
      </w:r>
    </w:p>
    <w:p w14:paraId="64F32DF6">
      <w:pPr>
        <w:pStyle w:val="22"/>
        <w:widowControl/>
        <w:shd w:val="clear" w:color="auto" w:fill="FFFFFF"/>
        <w:spacing w:before="0" w:beforeAutospacing="0" w:after="0" w:afterAutospacing="0" w:line="380" w:lineRule="exact"/>
        <w:ind w:firstLine="480" w:firstLineChars="20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（一）1年内不良行为记录累计扣分达到20分的；</w:t>
      </w:r>
    </w:p>
    <w:p w14:paraId="603720D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（二）"重点关注名单"公开期满后仍不整改的；</w:t>
      </w:r>
    </w:p>
    <w:p w14:paraId="3DF3B63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（三）存在以下严重危害人民群众身体健康、生命安全和工程质量，以及特别严重违规行为之一的：</w:t>
      </w:r>
    </w:p>
    <w:p w14:paraId="49A23B3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1.发生重大、特大质量或安全事故，并负有直接责任的；</w:t>
      </w:r>
    </w:p>
    <w:p w14:paraId="6FC681A6">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2.在单位公开信息、工程相关技术成果和工程建设过程中隐瞒真实情况、弄虚作假，提供虚假材料，谋取不正当利益的；</w:t>
      </w:r>
    </w:p>
    <w:p w14:paraId="2D68A0E3">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3.违反有关法律、法规、规章、政策、技术标准、设计文件、合同等有关规定开展工作造成的工程质量问题，经处理后仍影响工程正常使用或减少工程使用寿命的；</w:t>
      </w:r>
    </w:p>
    <w:p w14:paraId="21F0E761">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4.违反规定施工，造成生态环境严重破坏且拒不修复的；</w:t>
      </w:r>
    </w:p>
    <w:p w14:paraId="31E92F9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5.被证实恶意制造工程质量缺陷或质量隐患的；</w:t>
      </w:r>
    </w:p>
    <w:p w14:paraId="59D33B92">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6.其他违反法律法规，造成严重后果或社会危害较大的。</w:t>
      </w:r>
    </w:p>
    <w:p w14:paraId="17A14514">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（四）存在以下严重破坏市场公平竞争秩序和社会正常秩序行为之一的：</w:t>
      </w:r>
    </w:p>
    <w:p w14:paraId="20E3DF7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1.不按合同约定，恶意拖欠承包人项目款的；</w:t>
      </w:r>
    </w:p>
    <w:p w14:paraId="6100B1D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2.隐瞒有关情况或者提供虚假材料申请资质的，在全国水利建设市场监管服务平台公开虚假信息的，以欺骗、贿赂等不正当手段取得资质等级证书的；</w:t>
      </w:r>
    </w:p>
    <w:p w14:paraId="72B38E99">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3.出借、借用资质证书,允许他人以本单位名义或借用他人名义等弄虚作假方式承揽业务的；</w:t>
      </w:r>
    </w:p>
    <w:p w14:paraId="6D72695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4.未取得相应资质或超越资质证书核定范围、营业范围承揽业务的；</w:t>
      </w:r>
    </w:p>
    <w:p w14:paraId="593FD57E">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5.操纵招标过程，谋取不正当利益的；</w:t>
      </w:r>
    </w:p>
    <w:p w14:paraId="00EE271B">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6.与招标人或投标人串通投标的；</w:t>
      </w:r>
    </w:p>
    <w:p w14:paraId="4B5EF29A">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7.以向招标人或评标委员会成员行贿的手段谋取中标的；</w:t>
      </w:r>
    </w:p>
    <w:p w14:paraId="148DD5D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8.中标后，无正当理由不签订合同的；</w:t>
      </w:r>
    </w:p>
    <w:p w14:paraId="20515A8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9.转包或违法分包所承揽业务的；</w:t>
      </w:r>
    </w:p>
    <w:p w14:paraId="6C0A69BE">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10.弄虚作假，以欺诈手段降低工程或设备质量的；</w:t>
      </w:r>
    </w:p>
    <w:p w14:paraId="66879E86">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11.单位行贿、受贿，受到刑事处罚的；</w:t>
      </w:r>
    </w:p>
    <w:p w14:paraId="7BD9684C">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12.逃税骗税、恶意逃废债务的；</w:t>
      </w:r>
    </w:p>
    <w:p w14:paraId="5E8321D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13.参与非法集资，受到刑事处罚的；</w:t>
      </w:r>
    </w:p>
    <w:p w14:paraId="67B64D9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14.在签订、履行合同过程中，存在合同欺诈行为，受到刑事处罚的；</w:t>
      </w:r>
    </w:p>
    <w:p w14:paraId="57CB3F7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15.虚构工程项目，套取资金的；</w:t>
      </w:r>
    </w:p>
    <w:p w14:paraId="2B4EBF7A">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16.克扣、无故拖欠农民工工资报酬，数额达到认定拒不支付劳动报酬罪数额标准的；</w:t>
      </w:r>
    </w:p>
    <w:p w14:paraId="07147FD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17.发生社会公共事件，影响较大，并负有直接责任的。</w:t>
      </w:r>
    </w:p>
    <w:p w14:paraId="387930C0">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（五）存在以下拒不履行法定义务，严重影响司法机关、行政机关公信力行为之一的：</w:t>
      </w:r>
    </w:p>
    <w:p w14:paraId="1C5000D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1.发生事故拒绝接受调查或拒绝提供有关资料的；</w:t>
      </w:r>
    </w:p>
    <w:p w14:paraId="443C9F01">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2.拒不执行生效的行政处罚决定的；</w:t>
      </w:r>
    </w:p>
    <w:p w14:paraId="64ACC8F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3.拒不执行仲裁、法院判决结果的。</w:t>
      </w:r>
    </w:p>
    <w:p w14:paraId="53A6C99A">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（六）被相关联合惩戒部门列入"黑名单"，符合联合惩戒措施的。</w:t>
      </w:r>
    </w:p>
    <w:p w14:paraId="40910E49">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生产建设项目水土保持市场主体"黑名单"列入标准见《水利建设市场主体信用信息管理办法》附件。</w:t>
      </w:r>
    </w:p>
    <w:p w14:paraId="17DDCB3B">
      <w:pPr>
        <w:spacing w:line="380" w:lineRule="exact"/>
        <w:ind w:firstLine="61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依据：《水利建设市场主体信用评价管理办法》水建设〔2019〕307号、《水利建设市场主体信用信息管理办法》水建设〔2019〕306号</w:t>
      </w:r>
    </w:p>
    <w:p w14:paraId="32CA5F91">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18C0FBF2">
      <w:pPr>
        <w:spacing w:line="380" w:lineRule="exact"/>
        <w:ind w:firstLine="61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未列出的其他类别严重失信行为，由招标人（代理机构）根据各类别行业主管部门下发的联合惩戒文件进行判断。</w:t>
      </w:r>
    </w:p>
    <w:p w14:paraId="3E8E2438">
      <w:pPr>
        <w:spacing w:line="380" w:lineRule="exact"/>
        <w:ind w:firstLine="487" w:firstLineChars="20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 xml:space="preserve"> </w:t>
      </w:r>
    </w:p>
    <w:p w14:paraId="6E103FBF">
      <w:pPr>
        <w:spacing w:line="360" w:lineRule="auto"/>
        <w:ind w:firstLine="435"/>
        <w:rPr>
          <w:rFonts w:hint="eastAsia" w:ascii="宋体" w:hAnsi="宋体" w:eastAsia="宋体" w:cs="宋体"/>
          <w:color w:val="000000" w:themeColor="text1"/>
          <w:sz w:val="24"/>
          <w:szCs w:val="24"/>
          <w14:textFill>
            <w14:solidFill>
              <w14:schemeClr w14:val="tx1"/>
            </w14:solidFill>
          </w14:textFill>
        </w:rPr>
      </w:pPr>
    </w:p>
    <w:p w14:paraId="006A8690">
      <w:pPr>
        <w:spacing w:line="360" w:lineRule="auto"/>
        <w:rPr>
          <w:rFonts w:hint="eastAsia" w:ascii="宋体" w:hAnsi="宋体" w:eastAsia="宋体" w:cs="宋体"/>
          <w:color w:val="000000" w:themeColor="text1"/>
          <w:sz w:val="24"/>
          <w:szCs w:val="24"/>
          <w14:textFill>
            <w14:solidFill>
              <w14:schemeClr w14:val="tx1"/>
            </w14:solidFill>
          </w14:textFill>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CCB6">
    <w:pPr>
      <w:pStyle w:val="17"/>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0277">
    <w:pPr>
      <w:pStyle w:val="17"/>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C3B71">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53C3B71">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44CC">
    <w:pPr>
      <w:pStyle w:val="18"/>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0683">
    <w:pPr>
      <w:pStyle w:val="18"/>
      <w:jc w:val="left"/>
      <w:rPr>
        <w:rFonts w:hint="eastAsia"/>
      </w:rPr>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BD14"/>
    <w:multiLevelType w:val="singleLevel"/>
    <w:tmpl w:val="05BFBD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2026"/>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4486"/>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36A9"/>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A7C64"/>
    <w:rsid w:val="004B1C4B"/>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102"/>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653FD"/>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E570B"/>
    <w:rsid w:val="005F03E3"/>
    <w:rsid w:val="005F3914"/>
    <w:rsid w:val="005F3B5A"/>
    <w:rsid w:val="005F6AB4"/>
    <w:rsid w:val="005F7CE6"/>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22C8"/>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1B7C"/>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46EC"/>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132"/>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AF4E8A"/>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4EC5"/>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3D4C"/>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6520"/>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556"/>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3F08"/>
    <w:rsid w:val="00F46998"/>
    <w:rsid w:val="00F47100"/>
    <w:rsid w:val="00F5382D"/>
    <w:rsid w:val="00F53D9C"/>
    <w:rsid w:val="00F5462B"/>
    <w:rsid w:val="00F61F9A"/>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1912"/>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685C0C"/>
    <w:rsid w:val="029A6E6A"/>
    <w:rsid w:val="02D435F7"/>
    <w:rsid w:val="03101D36"/>
    <w:rsid w:val="03486B27"/>
    <w:rsid w:val="040A094E"/>
    <w:rsid w:val="044E2BE0"/>
    <w:rsid w:val="056F201D"/>
    <w:rsid w:val="05940AC6"/>
    <w:rsid w:val="05B664D4"/>
    <w:rsid w:val="064B485A"/>
    <w:rsid w:val="06823FBC"/>
    <w:rsid w:val="068C65C4"/>
    <w:rsid w:val="07076C01"/>
    <w:rsid w:val="071C12AC"/>
    <w:rsid w:val="077C7A64"/>
    <w:rsid w:val="07966276"/>
    <w:rsid w:val="07A934B3"/>
    <w:rsid w:val="07EB6287"/>
    <w:rsid w:val="0806421B"/>
    <w:rsid w:val="09747A74"/>
    <w:rsid w:val="0980662B"/>
    <w:rsid w:val="0980799C"/>
    <w:rsid w:val="09944B8E"/>
    <w:rsid w:val="0A32077B"/>
    <w:rsid w:val="0A6A18DB"/>
    <w:rsid w:val="0A73514E"/>
    <w:rsid w:val="0A7D1BE8"/>
    <w:rsid w:val="0A975B48"/>
    <w:rsid w:val="0AEF3828"/>
    <w:rsid w:val="0B406381"/>
    <w:rsid w:val="0B7D19AF"/>
    <w:rsid w:val="0BB452AA"/>
    <w:rsid w:val="0BBB665B"/>
    <w:rsid w:val="0C685EAE"/>
    <w:rsid w:val="0CBD6F29"/>
    <w:rsid w:val="0D5B011C"/>
    <w:rsid w:val="0D6C609B"/>
    <w:rsid w:val="0D7C07BE"/>
    <w:rsid w:val="0DA63A8D"/>
    <w:rsid w:val="0E810642"/>
    <w:rsid w:val="0EAC50D3"/>
    <w:rsid w:val="0EEA6FC1"/>
    <w:rsid w:val="0EF16F8A"/>
    <w:rsid w:val="0F3E69D9"/>
    <w:rsid w:val="0F790928"/>
    <w:rsid w:val="0F8400D8"/>
    <w:rsid w:val="102636A0"/>
    <w:rsid w:val="107C607B"/>
    <w:rsid w:val="10CD72BB"/>
    <w:rsid w:val="115031A6"/>
    <w:rsid w:val="12197477"/>
    <w:rsid w:val="12314985"/>
    <w:rsid w:val="1264785B"/>
    <w:rsid w:val="128819B3"/>
    <w:rsid w:val="131B5CD3"/>
    <w:rsid w:val="135A2436"/>
    <w:rsid w:val="13776448"/>
    <w:rsid w:val="1382549E"/>
    <w:rsid w:val="144F070C"/>
    <w:rsid w:val="1466407E"/>
    <w:rsid w:val="147F2942"/>
    <w:rsid w:val="14834E28"/>
    <w:rsid w:val="148E7D65"/>
    <w:rsid w:val="15231BF9"/>
    <w:rsid w:val="15515573"/>
    <w:rsid w:val="15C4546D"/>
    <w:rsid w:val="16881F81"/>
    <w:rsid w:val="16EA2C3C"/>
    <w:rsid w:val="17365652"/>
    <w:rsid w:val="19046D46"/>
    <w:rsid w:val="195A07CF"/>
    <w:rsid w:val="1A064976"/>
    <w:rsid w:val="1A3B68AA"/>
    <w:rsid w:val="1A3E1C1E"/>
    <w:rsid w:val="1B6F4F40"/>
    <w:rsid w:val="1B776A68"/>
    <w:rsid w:val="1C141836"/>
    <w:rsid w:val="1C33473D"/>
    <w:rsid w:val="1C76537D"/>
    <w:rsid w:val="1C831A6D"/>
    <w:rsid w:val="1CB87339"/>
    <w:rsid w:val="1D9C6312"/>
    <w:rsid w:val="1E292C50"/>
    <w:rsid w:val="1E4449D5"/>
    <w:rsid w:val="1E6B6A14"/>
    <w:rsid w:val="1F370744"/>
    <w:rsid w:val="1F8359DC"/>
    <w:rsid w:val="1FD16A32"/>
    <w:rsid w:val="20550D9A"/>
    <w:rsid w:val="20945894"/>
    <w:rsid w:val="21845C9E"/>
    <w:rsid w:val="218E2416"/>
    <w:rsid w:val="226915FE"/>
    <w:rsid w:val="22702106"/>
    <w:rsid w:val="22A85809"/>
    <w:rsid w:val="22F34C27"/>
    <w:rsid w:val="22FD57EE"/>
    <w:rsid w:val="234F4B80"/>
    <w:rsid w:val="23A53AF3"/>
    <w:rsid w:val="2411199F"/>
    <w:rsid w:val="241804A5"/>
    <w:rsid w:val="24B97929"/>
    <w:rsid w:val="24D632D7"/>
    <w:rsid w:val="25381017"/>
    <w:rsid w:val="26B854AD"/>
    <w:rsid w:val="26CF75A9"/>
    <w:rsid w:val="271E0BB2"/>
    <w:rsid w:val="276C6F54"/>
    <w:rsid w:val="27710810"/>
    <w:rsid w:val="279C621F"/>
    <w:rsid w:val="27CD5A5E"/>
    <w:rsid w:val="27D65DBA"/>
    <w:rsid w:val="27EC5A7D"/>
    <w:rsid w:val="285F40CA"/>
    <w:rsid w:val="289E1AF0"/>
    <w:rsid w:val="28C01ECB"/>
    <w:rsid w:val="29BF71E3"/>
    <w:rsid w:val="29C04576"/>
    <w:rsid w:val="29D6387F"/>
    <w:rsid w:val="2A127B63"/>
    <w:rsid w:val="2A2828B6"/>
    <w:rsid w:val="2A451A6C"/>
    <w:rsid w:val="2AAA4765"/>
    <w:rsid w:val="2AC21606"/>
    <w:rsid w:val="2B365FF8"/>
    <w:rsid w:val="2B446269"/>
    <w:rsid w:val="2B5F3291"/>
    <w:rsid w:val="2B7E7608"/>
    <w:rsid w:val="2B7F04E9"/>
    <w:rsid w:val="2B8B554A"/>
    <w:rsid w:val="2C390B1F"/>
    <w:rsid w:val="2C442C65"/>
    <w:rsid w:val="2C932FD6"/>
    <w:rsid w:val="2D496D68"/>
    <w:rsid w:val="2E7A48DE"/>
    <w:rsid w:val="2E9C43C4"/>
    <w:rsid w:val="2EBA5177"/>
    <w:rsid w:val="2EDC3ED8"/>
    <w:rsid w:val="2EE40E2C"/>
    <w:rsid w:val="2F104B00"/>
    <w:rsid w:val="2F6351B4"/>
    <w:rsid w:val="2F9E02E9"/>
    <w:rsid w:val="2FC86126"/>
    <w:rsid w:val="2FCF199E"/>
    <w:rsid w:val="300803A8"/>
    <w:rsid w:val="30133AD1"/>
    <w:rsid w:val="30483E83"/>
    <w:rsid w:val="309317F7"/>
    <w:rsid w:val="30AC2E50"/>
    <w:rsid w:val="30BF3991"/>
    <w:rsid w:val="3111619A"/>
    <w:rsid w:val="31B139DC"/>
    <w:rsid w:val="32497AF3"/>
    <w:rsid w:val="343C0775"/>
    <w:rsid w:val="348D47EE"/>
    <w:rsid w:val="34A51AF9"/>
    <w:rsid w:val="356C50EC"/>
    <w:rsid w:val="35D35190"/>
    <w:rsid w:val="36137E45"/>
    <w:rsid w:val="36376E0A"/>
    <w:rsid w:val="36484C39"/>
    <w:rsid w:val="364A4C7C"/>
    <w:rsid w:val="36696099"/>
    <w:rsid w:val="36A83A7F"/>
    <w:rsid w:val="36C02CFA"/>
    <w:rsid w:val="3700166C"/>
    <w:rsid w:val="373D6C81"/>
    <w:rsid w:val="378339A7"/>
    <w:rsid w:val="379A1012"/>
    <w:rsid w:val="38694EE9"/>
    <w:rsid w:val="387B329C"/>
    <w:rsid w:val="38CA5FD2"/>
    <w:rsid w:val="38E93B09"/>
    <w:rsid w:val="39717338"/>
    <w:rsid w:val="3A0946EB"/>
    <w:rsid w:val="3A117273"/>
    <w:rsid w:val="3A6818FA"/>
    <w:rsid w:val="3AB344ED"/>
    <w:rsid w:val="3B0B7708"/>
    <w:rsid w:val="3B365CC9"/>
    <w:rsid w:val="3B60677A"/>
    <w:rsid w:val="3B697D24"/>
    <w:rsid w:val="3B9A7B88"/>
    <w:rsid w:val="3BA41B23"/>
    <w:rsid w:val="3BD8694B"/>
    <w:rsid w:val="3CDF3F9E"/>
    <w:rsid w:val="3D2C7AC8"/>
    <w:rsid w:val="3D536596"/>
    <w:rsid w:val="3D855D12"/>
    <w:rsid w:val="3D8B42FF"/>
    <w:rsid w:val="3DD338D1"/>
    <w:rsid w:val="3DE86C4C"/>
    <w:rsid w:val="3DF36A6E"/>
    <w:rsid w:val="3E116A1F"/>
    <w:rsid w:val="3EBA1EE9"/>
    <w:rsid w:val="3F792F1E"/>
    <w:rsid w:val="3F8A343E"/>
    <w:rsid w:val="3FC76DC7"/>
    <w:rsid w:val="40386104"/>
    <w:rsid w:val="4053306C"/>
    <w:rsid w:val="40824826"/>
    <w:rsid w:val="40E63923"/>
    <w:rsid w:val="41546D80"/>
    <w:rsid w:val="415643E4"/>
    <w:rsid w:val="42971481"/>
    <w:rsid w:val="43194544"/>
    <w:rsid w:val="43A91E5B"/>
    <w:rsid w:val="43CA157C"/>
    <w:rsid w:val="44436036"/>
    <w:rsid w:val="449E0D39"/>
    <w:rsid w:val="44AC5C6F"/>
    <w:rsid w:val="45B222C8"/>
    <w:rsid w:val="45B44292"/>
    <w:rsid w:val="45C73FC5"/>
    <w:rsid w:val="45E32B26"/>
    <w:rsid w:val="45EF5FB8"/>
    <w:rsid w:val="463A3650"/>
    <w:rsid w:val="46461627"/>
    <w:rsid w:val="46647A66"/>
    <w:rsid w:val="469F0116"/>
    <w:rsid w:val="46A36601"/>
    <w:rsid w:val="47277B83"/>
    <w:rsid w:val="4750522E"/>
    <w:rsid w:val="475259B7"/>
    <w:rsid w:val="478F0B12"/>
    <w:rsid w:val="47995D18"/>
    <w:rsid w:val="48074B4D"/>
    <w:rsid w:val="484F2050"/>
    <w:rsid w:val="488302AE"/>
    <w:rsid w:val="48831CF9"/>
    <w:rsid w:val="48AC020A"/>
    <w:rsid w:val="48BF71D5"/>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7C37BB"/>
    <w:rsid w:val="4DF07D79"/>
    <w:rsid w:val="4DF65A5C"/>
    <w:rsid w:val="4E9E163B"/>
    <w:rsid w:val="4EAE6DA0"/>
    <w:rsid w:val="4FE617D9"/>
    <w:rsid w:val="4FE707F9"/>
    <w:rsid w:val="50063DD3"/>
    <w:rsid w:val="5016514B"/>
    <w:rsid w:val="503465AE"/>
    <w:rsid w:val="50BD4DF3"/>
    <w:rsid w:val="50CF0EE9"/>
    <w:rsid w:val="50FC1A26"/>
    <w:rsid w:val="513B2CE7"/>
    <w:rsid w:val="51491AC5"/>
    <w:rsid w:val="51723664"/>
    <w:rsid w:val="51BB7195"/>
    <w:rsid w:val="51CB1C78"/>
    <w:rsid w:val="51FD6A51"/>
    <w:rsid w:val="52224331"/>
    <w:rsid w:val="526B680A"/>
    <w:rsid w:val="52836F71"/>
    <w:rsid w:val="52D26B02"/>
    <w:rsid w:val="53003A15"/>
    <w:rsid w:val="536015B5"/>
    <w:rsid w:val="53671FD0"/>
    <w:rsid w:val="54161C73"/>
    <w:rsid w:val="541A5D30"/>
    <w:rsid w:val="5463070C"/>
    <w:rsid w:val="548F155C"/>
    <w:rsid w:val="549239F0"/>
    <w:rsid w:val="54D9623F"/>
    <w:rsid w:val="55132D9D"/>
    <w:rsid w:val="552150F3"/>
    <w:rsid w:val="55C1559C"/>
    <w:rsid w:val="55F068CD"/>
    <w:rsid w:val="564477C4"/>
    <w:rsid w:val="566C3136"/>
    <w:rsid w:val="568D04F2"/>
    <w:rsid w:val="56CD66ED"/>
    <w:rsid w:val="56F40A95"/>
    <w:rsid w:val="570010E5"/>
    <w:rsid w:val="5780342F"/>
    <w:rsid w:val="578B0CFA"/>
    <w:rsid w:val="57A44A83"/>
    <w:rsid w:val="57CC7219"/>
    <w:rsid w:val="587F6530"/>
    <w:rsid w:val="58F17C86"/>
    <w:rsid w:val="593C217C"/>
    <w:rsid w:val="59513E7A"/>
    <w:rsid w:val="59821704"/>
    <w:rsid w:val="5A0B43C0"/>
    <w:rsid w:val="5A296BA4"/>
    <w:rsid w:val="5A431FD4"/>
    <w:rsid w:val="5A526582"/>
    <w:rsid w:val="5A5F5C77"/>
    <w:rsid w:val="5A711A0D"/>
    <w:rsid w:val="5AE83636"/>
    <w:rsid w:val="5B1613E4"/>
    <w:rsid w:val="5B2568B5"/>
    <w:rsid w:val="5B78003B"/>
    <w:rsid w:val="5BC11A60"/>
    <w:rsid w:val="5C7A4D54"/>
    <w:rsid w:val="5CC86079"/>
    <w:rsid w:val="5CCB02D4"/>
    <w:rsid w:val="5CD23B73"/>
    <w:rsid w:val="5CD57954"/>
    <w:rsid w:val="5D5A77C0"/>
    <w:rsid w:val="5DAA0B9B"/>
    <w:rsid w:val="5DC14E75"/>
    <w:rsid w:val="5DFA46D0"/>
    <w:rsid w:val="5E1C65B7"/>
    <w:rsid w:val="5E231B5D"/>
    <w:rsid w:val="5F127819"/>
    <w:rsid w:val="60350ED3"/>
    <w:rsid w:val="605024FC"/>
    <w:rsid w:val="60B72AEE"/>
    <w:rsid w:val="60F872D1"/>
    <w:rsid w:val="61025188"/>
    <w:rsid w:val="61057D5F"/>
    <w:rsid w:val="614D4977"/>
    <w:rsid w:val="619B6446"/>
    <w:rsid w:val="61E33ADD"/>
    <w:rsid w:val="626D25CE"/>
    <w:rsid w:val="62CE1B77"/>
    <w:rsid w:val="637E6096"/>
    <w:rsid w:val="63C60FC0"/>
    <w:rsid w:val="643B4928"/>
    <w:rsid w:val="64472175"/>
    <w:rsid w:val="647323AC"/>
    <w:rsid w:val="64BA3D7A"/>
    <w:rsid w:val="64F179BC"/>
    <w:rsid w:val="65323AFA"/>
    <w:rsid w:val="653E183F"/>
    <w:rsid w:val="654A23E3"/>
    <w:rsid w:val="658971CF"/>
    <w:rsid w:val="66127E0B"/>
    <w:rsid w:val="662C33DD"/>
    <w:rsid w:val="662D4693"/>
    <w:rsid w:val="665704D3"/>
    <w:rsid w:val="666D7E19"/>
    <w:rsid w:val="669944D9"/>
    <w:rsid w:val="67493856"/>
    <w:rsid w:val="67A140FF"/>
    <w:rsid w:val="67C065A4"/>
    <w:rsid w:val="67D359C9"/>
    <w:rsid w:val="67EC3F14"/>
    <w:rsid w:val="68042537"/>
    <w:rsid w:val="68103BDF"/>
    <w:rsid w:val="68E2428E"/>
    <w:rsid w:val="68FE36DD"/>
    <w:rsid w:val="694E60FC"/>
    <w:rsid w:val="6A256904"/>
    <w:rsid w:val="6A2C1D99"/>
    <w:rsid w:val="6AAA163C"/>
    <w:rsid w:val="6B2D3B54"/>
    <w:rsid w:val="6B656832"/>
    <w:rsid w:val="6BA22313"/>
    <w:rsid w:val="6C675CE6"/>
    <w:rsid w:val="6D4F4321"/>
    <w:rsid w:val="6DF41B82"/>
    <w:rsid w:val="6DFF7360"/>
    <w:rsid w:val="6E7A5F73"/>
    <w:rsid w:val="6EE90F9D"/>
    <w:rsid w:val="6F1D7B64"/>
    <w:rsid w:val="6FB6454A"/>
    <w:rsid w:val="6FB70357"/>
    <w:rsid w:val="6FD74228"/>
    <w:rsid w:val="7021106F"/>
    <w:rsid w:val="71462F6F"/>
    <w:rsid w:val="71633091"/>
    <w:rsid w:val="725A270A"/>
    <w:rsid w:val="72C012CA"/>
    <w:rsid w:val="72D80D10"/>
    <w:rsid w:val="73081CA5"/>
    <w:rsid w:val="73136EFB"/>
    <w:rsid w:val="73275BE6"/>
    <w:rsid w:val="735A5BA1"/>
    <w:rsid w:val="73E831D5"/>
    <w:rsid w:val="74201F7D"/>
    <w:rsid w:val="742F6FCE"/>
    <w:rsid w:val="744F272C"/>
    <w:rsid w:val="7487762D"/>
    <w:rsid w:val="74C33AA4"/>
    <w:rsid w:val="75210D7A"/>
    <w:rsid w:val="752C4B3C"/>
    <w:rsid w:val="75385498"/>
    <w:rsid w:val="75680129"/>
    <w:rsid w:val="75AE0CEB"/>
    <w:rsid w:val="75F37776"/>
    <w:rsid w:val="76BC207F"/>
    <w:rsid w:val="76CC22E8"/>
    <w:rsid w:val="76EB4904"/>
    <w:rsid w:val="77413779"/>
    <w:rsid w:val="77645DCD"/>
    <w:rsid w:val="777378F5"/>
    <w:rsid w:val="777A2D3C"/>
    <w:rsid w:val="78A715E8"/>
    <w:rsid w:val="79074B81"/>
    <w:rsid w:val="794F0939"/>
    <w:rsid w:val="79AF0FCA"/>
    <w:rsid w:val="7A28432B"/>
    <w:rsid w:val="7A344A7F"/>
    <w:rsid w:val="7A7237F8"/>
    <w:rsid w:val="7AF9279C"/>
    <w:rsid w:val="7B0C6938"/>
    <w:rsid w:val="7B5E4BE7"/>
    <w:rsid w:val="7BCA404B"/>
    <w:rsid w:val="7C1032C9"/>
    <w:rsid w:val="7CC51958"/>
    <w:rsid w:val="7CD53DF9"/>
    <w:rsid w:val="7D097C86"/>
    <w:rsid w:val="7DBA173E"/>
    <w:rsid w:val="7DEA02BE"/>
    <w:rsid w:val="7E234373"/>
    <w:rsid w:val="7E2936C3"/>
    <w:rsid w:val="7E6411B9"/>
    <w:rsid w:val="7F392E95"/>
    <w:rsid w:val="7F4427D0"/>
    <w:rsid w:val="7F5B2D73"/>
    <w:rsid w:val="7FE1004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8"/>
    <w:autoRedefine/>
    <w:qFormat/>
    <w:uiPriority w:val="0"/>
    <w:pPr>
      <w:jc w:val="left"/>
    </w:pPr>
    <w:rPr>
      <w:rFonts w:ascii="Arial" w:hAnsi="Arial" w:eastAsia="黑体" w:cs="Arial"/>
    </w:rPr>
  </w:style>
  <w:style w:type="paragraph" w:styleId="10">
    <w:name w:val="Body Text"/>
    <w:basedOn w:val="1"/>
    <w:link w:val="79"/>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autoRedefine/>
    <w:qFormat/>
    <w:uiPriority w:val="99"/>
    <w:rPr>
      <w:rFonts w:ascii="宋体" w:hAnsi="Courier New" w:eastAsiaTheme="minorEastAsia" w:cstheme="minorBidi"/>
      <w:szCs w:val="22"/>
    </w:rPr>
  </w:style>
  <w:style w:type="paragraph" w:styleId="15">
    <w:name w:val="Date"/>
    <w:basedOn w:val="1"/>
    <w:next w:val="1"/>
    <w:link w:val="55"/>
    <w:autoRedefine/>
    <w:qFormat/>
    <w:uiPriority w:val="0"/>
    <w:rPr>
      <w:rFonts w:ascii="Arial" w:hAnsi="Arial" w:eastAsia="宋体" w:cs="Arial"/>
      <w:b/>
      <w:sz w:val="28"/>
    </w:rPr>
  </w:style>
  <w:style w:type="paragraph" w:styleId="16">
    <w:name w:val="Balloon Text"/>
    <w:basedOn w:val="1"/>
    <w:link w:val="42"/>
    <w:autoRedefine/>
    <w:semiHidden/>
    <w:unhideWhenUsed/>
    <w:qFormat/>
    <w:uiPriority w:val="99"/>
    <w:rPr>
      <w:sz w:val="18"/>
      <w:szCs w:val="18"/>
    </w:rPr>
  </w:style>
  <w:style w:type="paragraph" w:styleId="17">
    <w:name w:val="footer"/>
    <w:basedOn w:val="1"/>
    <w:link w:val="47"/>
    <w:autoRedefine/>
    <w:unhideWhenUsed/>
    <w:qFormat/>
    <w:uiPriority w:val="99"/>
    <w:pPr>
      <w:tabs>
        <w:tab w:val="center" w:pos="4153"/>
        <w:tab w:val="right" w:pos="8306"/>
      </w:tabs>
      <w:snapToGrid w:val="0"/>
      <w:jc w:val="left"/>
    </w:pPr>
    <w:rPr>
      <w:sz w:val="18"/>
      <w:szCs w:val="18"/>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9"/>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批注框文本 字符"/>
    <w:basedOn w:val="29"/>
    <w:link w:val="16"/>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9"/>
    <w:link w:val="18"/>
    <w:autoRedefine/>
    <w:qFormat/>
    <w:uiPriority w:val="99"/>
    <w:rPr>
      <w:rFonts w:ascii="@仿宋_GB2312" w:hAnsi="@仿宋_GB2312" w:eastAsia="@仿宋_GB2312" w:cs="@仿宋_GB2312"/>
      <w:sz w:val="18"/>
      <w:szCs w:val="18"/>
    </w:rPr>
  </w:style>
  <w:style w:type="character" w:customStyle="1" w:styleId="47">
    <w:name w:val="页脚 字符"/>
    <w:basedOn w:val="29"/>
    <w:link w:val="17"/>
    <w:autoRedefine/>
    <w:qFormat/>
    <w:uiPriority w:val="99"/>
    <w:rPr>
      <w:rFonts w:ascii="@仿宋_GB2312" w:hAnsi="@仿宋_GB2312" w:eastAsia="@仿宋_GB2312" w:cs="@仿宋_GB2312"/>
      <w:sz w:val="18"/>
      <w:szCs w:val="18"/>
    </w:rPr>
  </w:style>
  <w:style w:type="character" w:customStyle="1" w:styleId="48">
    <w:name w:val="纯文本 字符"/>
    <w:link w:val="14"/>
    <w:autoRedefine/>
    <w:qFormat/>
    <w:uiPriority w:val="0"/>
    <w:rPr>
      <w:rFonts w:ascii="宋体" w:hAnsi="Courier New"/>
    </w:rPr>
  </w:style>
  <w:style w:type="character" w:customStyle="1" w:styleId="49">
    <w:name w:val="纯文本 字符1"/>
    <w:basedOn w:val="29"/>
    <w:autoRedefine/>
    <w:semiHidden/>
    <w:qFormat/>
    <w:uiPriority w:val="99"/>
    <w:rPr>
      <w:rFonts w:hAnsi="Courier New" w:cs="Courier New" w:asciiTheme="minorEastAsia"/>
      <w:szCs w:val="20"/>
    </w:rPr>
  </w:style>
  <w:style w:type="character" w:customStyle="1" w:styleId="50">
    <w:name w:val="未处理的提及1"/>
    <w:basedOn w:val="29"/>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9"/>
    <w:autoRedefine/>
    <w:semiHidden/>
    <w:qFormat/>
    <w:uiPriority w:val="99"/>
    <w:rPr>
      <w:rFonts w:ascii="@仿宋_GB2312" w:hAnsi="@仿宋_GB2312" w:eastAsia="@仿宋_GB2312" w:cs="@仿宋_GB2312"/>
      <w:szCs w:val="20"/>
    </w:rPr>
  </w:style>
  <w:style w:type="character" w:customStyle="1" w:styleId="55">
    <w:name w:val="日期 字符1"/>
    <w:link w:val="15"/>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9"/>
    <w:autoRedefine/>
    <w:semiHidden/>
    <w:qFormat/>
    <w:uiPriority w:val="99"/>
    <w:rPr>
      <w:rFonts w:ascii="@仿宋_GB2312" w:hAnsi="@仿宋_GB2312" w:eastAsia="@仿宋_GB2312" w:cs="@仿宋_GB2312"/>
      <w:szCs w:val="20"/>
    </w:rPr>
  </w:style>
  <w:style w:type="character" w:customStyle="1" w:styleId="58">
    <w:name w:val="批注文字 字符"/>
    <w:link w:val="9"/>
    <w:autoRedefine/>
    <w:qFormat/>
    <w:uiPriority w:val="0"/>
    <w:rPr>
      <w:rFonts w:ascii="Arial" w:hAnsi="Arial" w:eastAsia="黑体" w:cs="Arial"/>
      <w:szCs w:val="20"/>
    </w:rPr>
  </w:style>
  <w:style w:type="character" w:customStyle="1" w:styleId="59">
    <w:name w:val="标题 1 字符"/>
    <w:basedOn w:val="29"/>
    <w:link w:val="3"/>
    <w:autoRedefine/>
    <w:qFormat/>
    <w:uiPriority w:val="9"/>
    <w:rPr>
      <w:rFonts w:ascii="@仿宋_GB2312" w:hAnsi="@仿宋_GB2312" w:eastAsia="@仿宋_GB2312" w:cs="@仿宋_GB2312"/>
      <w:b/>
      <w:bCs/>
      <w:kern w:val="44"/>
      <w:sz w:val="44"/>
      <w:szCs w:val="44"/>
    </w:rPr>
  </w:style>
  <w:style w:type="paragraph" w:customStyle="1" w:styleId="6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9"/>
    <w:link w:val="5"/>
    <w:autoRedefine/>
    <w:semiHidden/>
    <w:qFormat/>
    <w:uiPriority w:val="9"/>
    <w:rPr>
      <w:rFonts w:ascii="@仿宋_GB2312" w:hAnsi="@仿宋_GB2312" w:eastAsia="@仿宋_GB2312" w:cs="@仿宋_GB2312"/>
      <w:b/>
      <w:bCs/>
      <w:sz w:val="32"/>
      <w:szCs w:val="32"/>
    </w:rPr>
  </w:style>
  <w:style w:type="character" w:customStyle="1" w:styleId="62">
    <w:name w:val="fontstyle01"/>
    <w:basedOn w:val="29"/>
    <w:autoRedefine/>
    <w:qFormat/>
    <w:uiPriority w:val="0"/>
    <w:rPr>
      <w:rFonts w:hint="eastAsia" w:ascii="宋体" w:hAnsi="宋体" w:eastAsia="宋体"/>
      <w:color w:val="000000"/>
      <w:sz w:val="22"/>
      <w:szCs w:val="22"/>
    </w:rPr>
  </w:style>
  <w:style w:type="character" w:customStyle="1" w:styleId="63">
    <w:name w:val="fontstyle21"/>
    <w:basedOn w:val="29"/>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6"/>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9"/>
    <w:qFormat/>
    <w:uiPriority w:val="0"/>
    <w:rPr>
      <w:rFonts w:hint="default" w:ascii="Times New Roman" w:hAnsi="Times New Roman" w:cs="Times New Roman"/>
      <w:color w:val="0000FF"/>
      <w:u w:val="single"/>
    </w:rPr>
  </w:style>
  <w:style w:type="character" w:customStyle="1" w:styleId="75">
    <w:name w:val="10"/>
    <w:basedOn w:val="29"/>
    <w:qFormat/>
    <w:uiPriority w:val="0"/>
    <w:rPr>
      <w:rFonts w:hint="default" w:ascii="Times New Roman" w:hAnsi="Times New Roman" w:cs="Times New Roman"/>
    </w:rPr>
  </w:style>
  <w:style w:type="character" w:customStyle="1" w:styleId="76">
    <w:name w:val="first-child"/>
    <w:basedOn w:val="29"/>
    <w:qFormat/>
    <w:uiPriority w:val="0"/>
  </w:style>
  <w:style w:type="character" w:customStyle="1" w:styleId="77">
    <w:name w:val="layui-this"/>
    <w:basedOn w:val="29"/>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 w:type="character" w:customStyle="1" w:styleId="79">
    <w:name w:val="正文文本 字符"/>
    <w:basedOn w:val="29"/>
    <w:link w:val="10"/>
    <w:qFormat/>
    <w:uiPriority w:val="0"/>
    <w:rPr>
      <w:rFonts w:ascii="@微软简标宋" w:hAnsi="@微软简标宋" w:eastAsia="@微软简标宋" w:cs="@微软简标宋"/>
      <w:kern w:val="2"/>
      <w:sz w:val="21"/>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1510</Words>
  <Characters>1684</Characters>
  <Lines>250</Lines>
  <Paragraphs>70</Paragraphs>
  <TotalTime>12</TotalTime>
  <ScaleCrop>false</ScaleCrop>
  <LinksUpToDate>false</LinksUpToDate>
  <CharactersWithSpaces>1771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2025-10-30T01:07:07Z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