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AA794D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滁州市第一人民医院中药制膏机及包装机采购项目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CZYY-2025-68</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5</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12</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12600CA8">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9D2413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621D30C0">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14E418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0D7BB6E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5E25031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4CF3E87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滁州市第一人民医院中药制膏机及包装机采购项目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 xml:space="preserve"> 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4" w:name="_Toc28359002"/>
      <w:bookmarkEnd w:id="4"/>
      <w:bookmarkStart w:id="5" w:name="_Toc58430305"/>
      <w:bookmarkEnd w:id="5"/>
      <w:bookmarkStart w:id="6" w:name="_Toc35393790"/>
      <w:bookmarkEnd w:id="6"/>
      <w:bookmarkStart w:id="7" w:name="_Toc35393621"/>
      <w:bookmarkEnd w:id="7"/>
      <w:bookmarkStart w:id="8" w:name="_Toc28359079"/>
      <w:bookmarkEnd w:id="8"/>
      <w:bookmarkStart w:id="9" w:name="_Hlk24379207"/>
      <w:r>
        <w:rPr>
          <w:rFonts w:hint="eastAsia" w:ascii="宋体" w:hAnsi="宋体" w:eastAsia="宋体" w:cs="宋体"/>
          <w:b/>
          <w:bCs/>
          <w:color w:val="auto"/>
          <w:sz w:val="24"/>
          <w:szCs w:val="24"/>
          <w:highlight w:val="none"/>
          <w:lang w:bidi="ar"/>
        </w:rPr>
        <w:t>一、项目基本情况</w:t>
      </w:r>
      <w:bookmarkEnd w:id="9"/>
      <w:bookmarkStart w:id="115" w:name="_GoBack"/>
      <w:bookmarkEnd w:id="115"/>
    </w:p>
    <w:p w14:paraId="694C4E8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CZYY-2025-68</w:t>
      </w:r>
    </w:p>
    <w:p w14:paraId="2F6DDDE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项目名称：滁州市第一人民医院中药制膏机及包装机采购项目</w:t>
      </w:r>
    </w:p>
    <w:p w14:paraId="24E68B43">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115000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115000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总报价及单价均</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及单价最高限价（单价最高限价详见采购清单）</w:t>
      </w:r>
      <w:r>
        <w:rPr>
          <w:rFonts w:hint="eastAsia" w:ascii="宋体" w:hAnsi="宋体" w:eastAsia="宋体" w:cs="宋体"/>
          <w:color w:val="auto"/>
          <w:kern w:val="0"/>
          <w:sz w:val="24"/>
          <w:szCs w:val="24"/>
          <w:highlight w:val="none"/>
        </w:rPr>
        <w:t>，否则，按无效投标处理。</w:t>
      </w:r>
    </w:p>
    <w:p w14:paraId="4F474E7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因工作需要采购中药制膏机及包装机各一台，满足我院中药液制膏及包装等需求。</w:t>
      </w:r>
    </w:p>
    <w:p w14:paraId="1A54DE9E">
      <w:pPr>
        <w:pStyle w:val="22"/>
        <w:keepNext w:val="0"/>
        <w:keepLines w:val="0"/>
        <w:pageBreakBefore w:val="0"/>
        <w:widowControl/>
        <w:kinsoku/>
        <w:overflowPunct/>
        <w:topLinePunct w:val="0"/>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0"/>
          <w:sz w:val="24"/>
          <w:szCs w:val="24"/>
          <w:highlight w:val="none"/>
          <w:lang w:val="en-US" w:eastAsia="zh-CN" w:bidi="ar-SA"/>
        </w:rPr>
        <w:t>设备30个日历天内完成，耗材按需供货（具体以采购人通知为准）</w:t>
      </w:r>
    </w:p>
    <w:p w14:paraId="44ED0D9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10" w:name="_Toc58430306"/>
      <w:bookmarkEnd w:id="10"/>
      <w:bookmarkStart w:id="11" w:name="_Toc28359003"/>
      <w:bookmarkEnd w:id="11"/>
      <w:bookmarkStart w:id="12" w:name="_Toc35393791"/>
      <w:bookmarkEnd w:id="12"/>
      <w:bookmarkStart w:id="13" w:name="_Toc35393622"/>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37E38CE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
          <w:iCs/>
          <w:color w:val="auto"/>
          <w:sz w:val="24"/>
          <w:szCs w:val="24"/>
          <w:highlight w:val="none"/>
          <w:u w:val="single"/>
          <w:lang w:eastAsia="zh-CN"/>
        </w:rPr>
      </w:pPr>
      <w:bookmarkStart w:id="15" w:name="_Toc28359081"/>
      <w:bookmarkEnd w:id="15"/>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u w:val="single"/>
          <w:lang w:val="en-US" w:eastAsia="zh-CN"/>
        </w:rPr>
        <w:t>无</w:t>
      </w:r>
    </w:p>
    <w:p w14:paraId="3E0B57F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543A420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①投标人被人民法院列入失信被执行人的；</w:t>
      </w:r>
    </w:p>
    <w:p w14:paraId="5A03A8DC">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②投标人或其法定代表人或拟派项目经理（项目负责人）前三年有行贿犯罪行为的；</w:t>
      </w:r>
    </w:p>
    <w:p w14:paraId="5971E11A">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③投标人被市场监督管理部门列入经营异常名录或者严重违法企业名单，且未被移除的；</w:t>
      </w:r>
    </w:p>
    <w:p w14:paraId="00D592D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④投标人被税务部门列入重大税收违法案件当事人的；</w:t>
      </w:r>
    </w:p>
    <w:p w14:paraId="1C6F0744">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⑤投标人被政府采购监管部门列入政府采购严重违法失信行为记录名单的；</w:t>
      </w:r>
    </w:p>
    <w:p w14:paraId="6A768847">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⑥在“信用中国”网站上披露仍在公示期的严重失信行为的。</w:t>
      </w:r>
    </w:p>
    <w:p w14:paraId="6057098F">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.投标人所属分公司、办事处等分支机构存在第4款信誉要求①-⑥项情形之一的，接受投标人参加本项目。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16" w:name="_Toc35393792"/>
      <w:bookmarkEnd w:id="16"/>
      <w:bookmarkStart w:id="17" w:name="_Toc35393623"/>
      <w:bookmarkEnd w:id="17"/>
      <w:bookmarkStart w:id="18" w:name="_Toc58430307"/>
      <w:r>
        <w:rPr>
          <w:rFonts w:hint="eastAsia" w:ascii="宋体" w:hAnsi="宋体" w:eastAsia="宋体" w:cs="宋体"/>
          <w:b/>
          <w:bCs/>
          <w:color w:val="auto"/>
          <w:sz w:val="24"/>
          <w:szCs w:val="24"/>
          <w:highlight w:val="none"/>
          <w:lang w:bidi="ar"/>
        </w:rPr>
        <w:t>三、获取招标文件</w:t>
      </w:r>
      <w:bookmarkEnd w:id="18"/>
    </w:p>
    <w:p w14:paraId="1C5FB5F0">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10</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40" w:lineRule="exact"/>
        <w:ind w:firstLine="530" w:firstLineChars="220"/>
        <w:textAlignment w:val="auto"/>
        <w:outlineLvl w:val="1"/>
        <w:rPr>
          <w:rFonts w:hint="eastAsia" w:ascii="宋体" w:hAnsi="宋体" w:eastAsia="宋体"/>
          <w:b/>
          <w:bCs/>
          <w:color w:val="auto"/>
          <w:sz w:val="24"/>
          <w:szCs w:val="24"/>
          <w:highlight w:val="none"/>
        </w:rPr>
      </w:pPr>
      <w:bookmarkStart w:id="19" w:name="_Toc35393793"/>
      <w:bookmarkEnd w:id="19"/>
      <w:bookmarkStart w:id="20" w:name="_Toc35393624"/>
      <w:bookmarkEnd w:id="20"/>
      <w:bookmarkStart w:id="21" w:name="_Toc28359005"/>
      <w:bookmarkEnd w:id="21"/>
      <w:bookmarkStart w:id="22" w:name="_Toc28359082"/>
      <w:bookmarkEnd w:id="22"/>
      <w:bookmarkStart w:id="23" w:name="_Toc58430308"/>
      <w:r>
        <w:rPr>
          <w:rFonts w:hint="eastAsia" w:ascii="宋体" w:hAnsi="宋体" w:eastAsia="宋体" w:cs="宋体"/>
          <w:b/>
          <w:bCs/>
          <w:color w:val="auto"/>
          <w:sz w:val="24"/>
          <w:szCs w:val="24"/>
          <w:highlight w:val="none"/>
          <w:lang w:bidi="ar"/>
        </w:rPr>
        <w:t>四、</w:t>
      </w:r>
      <w:bookmarkEnd w:id="23"/>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2025年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4" w:name="_Toc28359007"/>
      <w:bookmarkEnd w:id="24"/>
      <w:bookmarkStart w:id="25" w:name="_Toc35393794"/>
      <w:bookmarkEnd w:id="25"/>
      <w:bookmarkStart w:id="26" w:name="_Toc58430309"/>
      <w:bookmarkEnd w:id="26"/>
      <w:bookmarkStart w:id="27" w:name="_Toc35393625"/>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792D1FC9">
      <w:pPr>
        <w:pStyle w:val="9"/>
        <w:rPr>
          <w:rFonts w:hint="eastAsia" w:ascii="宋体" w:hAnsi="宋体" w:eastAsia="宋体" w:cs="@仿宋_GB2312"/>
          <w:color w:val="auto"/>
          <w:sz w:val="24"/>
          <w:highlight w:val="none"/>
          <w:u w:val="single"/>
          <w:lang w:val="en-US" w:bidi="ar"/>
        </w:rPr>
      </w:pPr>
    </w:p>
    <w:p w14:paraId="2DA39ABF">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78745D49">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6</w:t>
            </w:r>
            <w:r>
              <w:rPr>
                <w:rFonts w:hint="eastAsia" w:ascii="宋体" w:hAnsi="宋体" w:eastAsia="宋体"/>
                <w:b w:val="0"/>
                <w:color w:val="auto"/>
                <w:sz w:val="24"/>
                <w:highlight w:val="none"/>
                <w:u w:val="single"/>
              </w:rPr>
              <w:t>0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bCs/>
                <w:color w:val="auto"/>
                <w:sz w:val="24"/>
                <w:szCs w:val="24"/>
                <w:highlight w:val="none"/>
                <w:lang w:bidi="ar"/>
              </w:rPr>
              <w:t>：</w:t>
            </w: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 xml:space="preserve">日15 时00分 </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862</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widowControl w:val="0"/>
              <w:spacing w:before="0" w:beforeAutospacing="0" w:after="0" w:afterAutospacing="0" w:line="420" w:lineRule="exact"/>
              <w:jc w:val="both"/>
              <w:rPr>
                <w:rFonts w:hint="eastAsia" w:asciiTheme="minorEastAsia" w:hAnsiTheme="minorEastAsia" w:eastAsiaTheme="minorEastAsia"/>
                <w:b w:val="0"/>
                <w:color w:val="auto"/>
                <w:kern w:val="2"/>
                <w:sz w:val="24"/>
                <w:szCs w:val="24"/>
                <w:highlight w:val="none"/>
              </w:rPr>
            </w:pPr>
            <w:r>
              <w:rPr>
                <w:rFonts w:hint="eastAsia" w:ascii="宋体" w:hAnsi="宋体" w:eastAsia="宋体"/>
                <w:b w:val="0"/>
                <w:color w:val="auto"/>
                <w:sz w:val="24"/>
                <w:highlight w:val="none"/>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spacing w:line="360" w:lineRule="auto"/>
        <w:ind w:firstLine="435"/>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color w:val="auto"/>
          <w:sz w:val="24"/>
          <w:highlight w:val="none"/>
        </w:rPr>
        <w:t>：一式三份，正本一份，副本二份。</w:t>
      </w:r>
    </w:p>
    <w:p w14:paraId="01F57C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spacing w:line="360" w:lineRule="auto"/>
        <w:ind w:firstLine="435"/>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0F40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634ED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监督管理部门</w:t>
      </w:r>
      <w:r>
        <w:rPr>
          <w:rFonts w:hint="eastAsia" w:asciiTheme="minorEastAsia" w:hAnsiTheme="minorEastAsia" w:eastAsiaTheme="minorEastAsia"/>
          <w:color w:val="auto"/>
          <w:sz w:val="24"/>
          <w:highlight w:val="none"/>
        </w:rPr>
        <w:t>批准。</w:t>
      </w:r>
    </w:p>
    <w:p w14:paraId="6E52DF5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spacing w:line="360" w:lineRule="auto"/>
        <w:ind w:firstLine="437"/>
        <w:outlineLvl w:val="2"/>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97"/>
        <w:gridCol w:w="5953"/>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3" w:type="pct"/>
            <w:vAlign w:val="center"/>
          </w:tcPr>
          <w:p w14:paraId="55CEF40F">
            <w:pPr>
              <w:pStyle w:val="3"/>
              <w:keepNext w:val="0"/>
              <w:keepLines w:val="0"/>
              <w:pageBreakBefore w:val="0"/>
              <w:widowControl w:val="0"/>
              <w:numPr>
                <w:ilvl w:val="1"/>
                <w:numId w:val="0"/>
              </w:numPr>
              <w:kinsoku/>
              <w:wordWrap w:val="0"/>
              <w:overflowPunct/>
              <w:topLinePunct w:val="0"/>
              <w:autoSpaceDE/>
              <w:autoSpaceDN/>
              <w:bidi w:val="0"/>
              <w:adjustRightInd/>
              <w:snapToGrid/>
              <w:spacing w:before="20" w:after="20" w:line="400" w:lineRule="exact"/>
              <w:textAlignment w:val="auto"/>
              <w:rPr>
                <w:rFonts w:hint="default" w:ascii="宋体" w:hAnsi="宋体" w:eastAsia="仿宋"/>
                <w:b w:val="0"/>
                <w:color w:val="auto"/>
                <w:sz w:val="24"/>
                <w:szCs w:val="20"/>
                <w:highlight w:val="none"/>
                <w:u w:val="single"/>
                <w:lang w:val="en-US"/>
              </w:rPr>
            </w:pPr>
            <w:r>
              <w:rPr>
                <w:rFonts w:hint="eastAsia" w:asciiTheme="majorEastAsia" w:hAnsiTheme="majorEastAsia" w:eastAsiaTheme="majorEastAsia"/>
                <w:b/>
                <w:bCs/>
                <w:color w:val="auto"/>
                <w:sz w:val="24"/>
                <w:highlight w:val="none"/>
                <w:lang w:val="en-US" w:eastAsia="zh-CN"/>
              </w:rPr>
              <w:t>设备安装调试并正常使用后付至合同价款的90%，货物经采购人验收合格后付至合同价款的100%；耗材分批次进行供货，每批次供货验收并完成出入库手续后按财务流程付款。</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3"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Cs/>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3"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Cs/>
                <w:color w:val="auto"/>
                <w:kern w:val="0"/>
                <w:sz w:val="24"/>
                <w:szCs w:val="28"/>
                <w:highlight w:val="none"/>
                <w:lang w:val="en-US" w:eastAsia="zh-CN"/>
              </w:rPr>
            </w:pPr>
            <w:r>
              <w:rPr>
                <w:rFonts w:hint="eastAsia" w:cs="Arial" w:asciiTheme="majorEastAsia" w:hAnsiTheme="majorEastAsia" w:eastAsiaTheme="majorEastAsia"/>
                <w:b/>
                <w:bCs/>
                <w:color w:val="auto"/>
                <w:kern w:val="2"/>
                <w:sz w:val="24"/>
                <w:szCs w:val="32"/>
                <w:highlight w:val="none"/>
                <w:lang w:val="en-US" w:eastAsia="zh-CN" w:bidi="ar-SA"/>
              </w:rPr>
              <w:t>设备30个日历天内完成，耗材按需供货（具体以采购人通知为准）</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46" w:name="_Toc7421"/>
            <w:bookmarkStart w:id="47" w:name="_Toc4843"/>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3"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不少于叁年</w:t>
            </w:r>
          </w:p>
        </w:tc>
      </w:tr>
    </w:tbl>
    <w:p w14:paraId="7DB2336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货物需求</w:t>
      </w:r>
    </w:p>
    <w:p w14:paraId="386B0981">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货物所属行业：工业</w:t>
      </w:r>
    </w:p>
    <w:p w14:paraId="7D5862EA">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（一）、采购需求清单</w:t>
      </w:r>
    </w:p>
    <w:bookmarkEnd w:id="46"/>
    <w:bookmarkEnd w:id="47"/>
    <w:tbl>
      <w:tblPr>
        <w:tblStyle w:val="27"/>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144"/>
        <w:gridCol w:w="984"/>
        <w:gridCol w:w="1256"/>
        <w:gridCol w:w="1918"/>
        <w:gridCol w:w="1807"/>
      </w:tblGrid>
      <w:tr w14:paraId="785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7D89633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03B966D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762588B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单位</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E6132D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49C5CB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单价最高限价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12EFABB">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510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18" w:type="dxa"/>
            <w:gridSpan w:val="6"/>
            <w:tcBorders>
              <w:top w:val="single" w:color="auto" w:sz="4" w:space="0"/>
              <w:left w:val="single" w:color="auto" w:sz="4" w:space="0"/>
              <w:bottom w:val="single" w:color="auto" w:sz="4" w:space="0"/>
              <w:right w:val="single" w:color="auto" w:sz="4" w:space="0"/>
            </w:tcBorders>
            <w:noWrap w:val="0"/>
            <w:vAlign w:val="center"/>
          </w:tcPr>
          <w:p w14:paraId="275CE2B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设备类</w:t>
            </w:r>
          </w:p>
        </w:tc>
      </w:tr>
      <w:tr w14:paraId="1848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21EEF311">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1</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38CA1E8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中药制膏机</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A957F73">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F30F0CF">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52462879">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70000元</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5CAD1CA">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bCs/>
                <w:color w:val="auto"/>
                <w:sz w:val="24"/>
                <w:szCs w:val="18"/>
                <w:highlight w:val="none"/>
                <w:lang w:val="en-US" w:eastAsia="zh-CN"/>
              </w:rPr>
              <w:t>核心产品</w:t>
            </w:r>
          </w:p>
        </w:tc>
      </w:tr>
      <w:tr w14:paraId="613F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3ABB7E0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328CCB5E">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包装机</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32B0DE2B">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FEA3367">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63CA4F8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30000元</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E45E596">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p>
        </w:tc>
      </w:tr>
      <w:tr w14:paraId="21A4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18" w:type="dxa"/>
            <w:gridSpan w:val="6"/>
            <w:tcBorders>
              <w:top w:val="single" w:color="auto" w:sz="4" w:space="0"/>
              <w:left w:val="single" w:color="auto" w:sz="4" w:space="0"/>
              <w:bottom w:val="single" w:color="auto" w:sz="4" w:space="0"/>
              <w:right w:val="single" w:color="auto" w:sz="4" w:space="0"/>
            </w:tcBorders>
            <w:noWrap w:val="0"/>
            <w:vAlign w:val="center"/>
          </w:tcPr>
          <w:p w14:paraId="0C4EC373">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耗材类</w:t>
            </w:r>
          </w:p>
        </w:tc>
      </w:tr>
      <w:tr w14:paraId="7C82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4A603AF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32468AC0">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包装膜</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309214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51E0B85">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50</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44D4FE5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300元</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ACCF12E">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以400米/卷计</w:t>
            </w:r>
          </w:p>
        </w:tc>
      </w:tr>
    </w:tbl>
    <w:p w14:paraId="2670BBF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cs="宋体"/>
          <w:b/>
          <w:bCs/>
          <w:color w:val="auto"/>
          <w:sz w:val="24"/>
          <w:szCs w:val="24"/>
          <w:highlight w:val="none"/>
        </w:rPr>
      </w:pPr>
      <w:r>
        <w:rPr>
          <w:rFonts w:hint="eastAsia" w:ascii="宋体" w:hAnsi="宋体" w:eastAsia="宋体"/>
          <w:b/>
          <w:bCs/>
          <w:color w:val="auto"/>
          <w:sz w:val="24"/>
          <w:szCs w:val="18"/>
          <w:highlight w:val="none"/>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基本需求和</w:t>
      </w:r>
      <w:r>
        <w:rPr>
          <w:rFonts w:hint="eastAsia" w:ascii="宋体" w:hAnsi="宋体" w:eastAsia="宋体"/>
          <w:b/>
          <w:bCs/>
          <w:color w:val="auto"/>
          <w:sz w:val="24"/>
          <w:szCs w:val="18"/>
          <w:highlight w:val="none"/>
        </w:rPr>
        <w:t>技术参数要求</w:t>
      </w:r>
    </w:p>
    <w:p w14:paraId="43C3EA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院方提供上下水点位，中标方需安装上下水管道，还需将制膏机与现有煎药机相连，煎药机管道接口为螺纹口，规格为外径1cm，内径0.5cm。</w:t>
      </w:r>
    </w:p>
    <w:p w14:paraId="4F3724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1、制膏机浓缩锅数量≥2个，单个容积≥30L</w:t>
      </w:r>
    </w:p>
    <w:p w14:paraId="543712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2、最大浓缩量≥13L/h</w:t>
      </w:r>
    </w:p>
    <w:p w14:paraId="2B4C7E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3、具有低温浓缩功能，适用于含有热敏易挥发成分的药材浓缩，低温模式最大浓缩量≥9L/h</w:t>
      </w:r>
    </w:p>
    <w:p w14:paraId="21DEAA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4、水冷式冷却方式</w:t>
      </w:r>
    </w:p>
    <w:p w14:paraId="6EA8A6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5、具有过热保护，防干烧功能</w:t>
      </w:r>
    </w:p>
    <w:p w14:paraId="492338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6、具有自清洁功能，自动清洗管路</w:t>
      </w:r>
    </w:p>
    <w:p w14:paraId="5ED71D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7、具备负压自动吸料功能</w:t>
      </w:r>
    </w:p>
    <w:p w14:paraId="4C0F75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8、具有自动消泡功能，产生泡沫自动破碎</w:t>
      </w:r>
    </w:p>
    <w:p w14:paraId="71E50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9、制膏机最大工作时间设定≥2小时</w:t>
      </w:r>
    </w:p>
    <w:p w14:paraId="745D72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10、包装机单个包装量设定范围需包含10-50mL区间（含10ml和50ml）</w:t>
      </w:r>
    </w:p>
    <w:p w14:paraId="409219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11、包装膜材质为PET/PE，宽度70mm（±2mm），厚度不少于0.13mm，需按科室要求自定义包装膜上的图案</w:t>
      </w:r>
    </w:p>
    <w:p w14:paraId="777F80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12、包装机屏幕上可显示温度、包装袋数，封合温度可调节</w:t>
      </w:r>
    </w:p>
    <w:p w14:paraId="1268BA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default"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注：1、投标人所投产品参数均须满以上所有要求，如有任意一项不满足，按无效投标处理。</w:t>
      </w:r>
    </w:p>
    <w:p w14:paraId="765AF9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2、投标人须严格恪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48" w:name="_Toc15293"/>
      <w:bookmarkStart w:id="49" w:name="_Toc14698"/>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r>
        <w:rPr>
          <w:rFonts w:hint="eastAsia" w:ascii="宋体" w:hAnsi="宋体" w:eastAsia="宋体" w:cs="宋体"/>
          <w:color w:val="auto"/>
          <w:sz w:val="24"/>
          <w:szCs w:val="24"/>
          <w:highlight w:val="none"/>
        </w:rPr>
        <w:t>。</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bookmarkStart w:id="50" w:name="_Toc4328"/>
    </w:p>
    <w:p w14:paraId="4B6A986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51" w:name="_Toc6560"/>
      <w:bookmarkStart w:id="52" w:name="_Toc22115"/>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53" w:name="_Toc28533"/>
      <w:bookmarkStart w:id="54" w:name="_Toc2734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516"/>
        <w:gridCol w:w="4689"/>
        <w:gridCol w:w="1910"/>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65"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76"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88"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65" w:type="pct"/>
            <w:tcBorders>
              <w:bottom w:val="single" w:color="auto" w:sz="4" w:space="0"/>
            </w:tcBorders>
            <w:vAlign w:val="center"/>
          </w:tcPr>
          <w:p w14:paraId="3A41B749">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76"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88" w:type="pct"/>
            <w:vAlign w:val="center"/>
          </w:tcPr>
          <w:p w14:paraId="17A9BE43">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spacing w:line="360" w:lineRule="auto"/>
              <w:jc w:val="left"/>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65" w:type="pct"/>
            <w:tcBorders>
              <w:bottom w:val="single" w:color="auto" w:sz="4" w:space="0"/>
            </w:tcBorders>
            <w:vAlign w:val="center"/>
          </w:tcPr>
          <w:p w14:paraId="4EB0E7D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76" w:type="pct"/>
            <w:tcBorders>
              <w:bottom w:val="single" w:color="auto" w:sz="4" w:space="0"/>
            </w:tcBorders>
            <w:vAlign w:val="center"/>
          </w:tcPr>
          <w:p w14:paraId="73BB37FC">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8" w:type="pct"/>
            <w:vAlign w:val="center"/>
          </w:tcPr>
          <w:p w14:paraId="705FBBA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28D3DBE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65" w:type="pct"/>
            <w:vAlign w:val="center"/>
          </w:tcPr>
          <w:p w14:paraId="62A8D0B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76" w:type="pct"/>
            <w:vAlign w:val="center"/>
          </w:tcPr>
          <w:p w14:paraId="015AD59F">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vAlign w:val="center"/>
          </w:tcPr>
          <w:p w14:paraId="14C1D489">
            <w:pPr>
              <w:wordWrap w:val="0"/>
              <w:spacing w:line="360" w:lineRule="auto"/>
              <w:jc w:val="left"/>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bl>
    <w:p w14:paraId="287B667E">
      <w:pPr>
        <w:spacing w:line="360" w:lineRule="auto"/>
        <w:ind w:firstLine="435"/>
        <w:rPr>
          <w:rFonts w:hint="eastAsia" w:asciiTheme="minorEastAsia" w:hAnsiTheme="minorEastAsia" w:eastAsiaTheme="minorEastAsia"/>
          <w:color w:val="auto"/>
          <w:sz w:val="24"/>
          <w:highlight w:val="none"/>
        </w:rPr>
      </w:pPr>
      <w:bookmarkStart w:id="55"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90</w:t>
      </w:r>
      <w:r>
        <w:rPr>
          <w:rFonts w:hint="eastAsia" w:asciiTheme="minorEastAsia" w:hAnsiTheme="minorEastAsia" w:eastAsiaTheme="minorEastAsia"/>
          <w:color w:val="auto"/>
          <w:sz w:val="24"/>
          <w:highlight w:val="none"/>
        </w:rPr>
        <w:t xml:space="preserve"> %。具体评分细则如下：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81"/>
        <w:gridCol w:w="6259"/>
        <w:gridCol w:w="1256"/>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49"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78"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38"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tcBorders>
              <w:left w:val="single" w:color="auto" w:sz="4" w:space="0"/>
              <w:right w:val="single" w:color="auto" w:sz="4" w:space="0"/>
            </w:tcBorders>
            <w:vAlign w:val="center"/>
          </w:tcPr>
          <w:p w14:paraId="5849AEB8">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技术分</w:t>
            </w:r>
          </w:p>
          <w:p w14:paraId="70A1E9CB">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549"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eastAsia="zh-CN" w:bidi="zh-CN"/>
              </w:rPr>
            </w:pPr>
            <w:r>
              <w:rPr>
                <w:rFonts w:hint="eastAsia" w:ascii="宋体" w:hAnsi="宋体" w:eastAsia="宋体" w:cs="宋体"/>
                <w:color w:val="auto"/>
                <w:sz w:val="24"/>
                <w:szCs w:val="24"/>
                <w:highlight w:val="none"/>
                <w:lang w:bidi="zh-CN"/>
              </w:rPr>
              <w:t>免费质保承诺</w:t>
            </w:r>
          </w:p>
        </w:tc>
        <w:tc>
          <w:tcPr>
            <w:tcW w:w="3178" w:type="pct"/>
            <w:tcBorders>
              <w:top w:val="single" w:color="auto" w:sz="4" w:space="0"/>
              <w:left w:val="single" w:color="auto" w:sz="4" w:space="0"/>
              <w:right w:val="single" w:color="auto" w:sz="4" w:space="0"/>
            </w:tcBorders>
            <w:vAlign w:val="center"/>
          </w:tcPr>
          <w:p w14:paraId="40D833F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投标人须提供免费质保承诺，免费质保期至少为叁年。在叁年的基础上，承诺每延长1年加</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10</w:t>
            </w:r>
            <w:r>
              <w:rPr>
                <w:rFonts w:hint="eastAsia" w:ascii="宋体" w:hAnsi="宋体" w:eastAsia="宋体" w:cs="宋体"/>
                <w:color w:val="auto"/>
                <w:sz w:val="24"/>
                <w:szCs w:val="24"/>
                <w:highlight w:val="none"/>
                <w:lang w:bidi="zh-CN"/>
              </w:rPr>
              <w:t>分。</w:t>
            </w:r>
          </w:p>
          <w:p w14:paraId="4174F8B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38"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rPr>
              <w:t>10</w:t>
            </w:r>
            <w:r>
              <w:rPr>
                <w:rFonts w:hint="eastAsia" w:ascii="宋体" w:hAnsi="宋体" w:eastAsia="宋体" w:cs="宋体"/>
                <w:b/>
                <w:bCs/>
                <w:color w:val="auto"/>
                <w:sz w:val="24"/>
                <w:szCs w:val="24"/>
                <w:highlight w:val="none"/>
              </w:rPr>
              <w:t>分</w:t>
            </w:r>
          </w:p>
        </w:tc>
      </w:tr>
      <w:tr w14:paraId="0DA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4" w:type="pct"/>
            <w:vMerge w:val="restar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90</w:t>
            </w:r>
            <w:r>
              <w:rPr>
                <w:rFonts w:hint="eastAsia" w:ascii="宋体" w:hAnsi="宋体" w:eastAsia="宋体" w:cs="宋体"/>
                <w:b/>
                <w:bCs/>
                <w:color w:val="auto"/>
                <w:sz w:val="24"/>
                <w:szCs w:val="24"/>
                <w:highlight w:val="none"/>
              </w:rPr>
              <w:t>分）</w:t>
            </w:r>
          </w:p>
        </w:tc>
        <w:tc>
          <w:tcPr>
            <w:tcW w:w="549" w:type="pct"/>
            <w:tcBorders>
              <w:top w:val="single" w:color="auto" w:sz="4" w:space="0"/>
              <w:left w:val="single" w:color="auto" w:sz="4" w:space="0"/>
              <w:bottom w:val="single" w:color="auto" w:sz="4" w:space="0"/>
              <w:right w:val="single" w:color="auto" w:sz="4" w:space="0"/>
            </w:tcBorders>
            <w:vAlign w:val="center"/>
          </w:tcPr>
          <w:p w14:paraId="5EDF2732">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设备价格分</w:t>
            </w:r>
          </w:p>
          <w:p w14:paraId="441E156A">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tc>
        <w:tc>
          <w:tcPr>
            <w:tcW w:w="3816" w:type="pct"/>
            <w:gridSpan w:val="2"/>
            <w:tcBorders>
              <w:top w:val="single" w:color="auto" w:sz="4" w:space="0"/>
              <w:left w:val="single" w:color="auto" w:sz="4" w:space="0"/>
              <w:bottom w:val="single" w:color="auto" w:sz="4" w:space="0"/>
              <w:right w:val="single" w:color="auto" w:sz="4" w:space="0"/>
            </w:tcBorders>
            <w:vAlign w:val="center"/>
          </w:tcPr>
          <w:p w14:paraId="09C8338D">
            <w:pPr>
              <w:keepNext w:val="0"/>
              <w:keepLines w:val="0"/>
              <w:pageBreakBefore w:val="0"/>
              <w:widowControl w:val="0"/>
              <w:kinsoku w:val="0"/>
              <w:wordWrap w:val="0"/>
              <w:overflowPunct w:val="0"/>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分。其他投标人的价格分统一按照下列公式计算：</w:t>
            </w:r>
          </w:p>
          <w:p w14:paraId="2409F4BB">
            <w:pPr>
              <w:keepNext w:val="0"/>
              <w:keepLines w:val="0"/>
              <w:pageBreakBefore w:val="0"/>
              <w:widowControl w:val="0"/>
              <w:kinsoku w:val="0"/>
              <w:wordWrap w:val="0"/>
              <w:overflowPunct w:val="0"/>
              <w:topLinePunct w:val="0"/>
              <w:autoSpaceDE w:val="0"/>
              <w:autoSpaceDN w:val="0"/>
              <w:bidi w:val="0"/>
              <w:adjustRightInd w:val="0"/>
              <w:snapToGrid w:val="0"/>
              <w:spacing w:line="4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×100％</w:t>
            </w:r>
          </w:p>
        </w:tc>
      </w:tr>
      <w:tr w14:paraId="685F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34" w:type="pct"/>
            <w:vMerge w:val="continue"/>
            <w:tcBorders>
              <w:left w:val="single" w:color="auto" w:sz="4" w:space="0"/>
              <w:right w:val="single" w:color="auto" w:sz="4" w:space="0"/>
            </w:tcBorders>
            <w:vAlign w:val="center"/>
          </w:tcPr>
          <w:p w14:paraId="7DE022B7">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50FE41B9">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价格分</w:t>
            </w:r>
          </w:p>
          <w:p w14:paraId="5B7A73BD">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3816" w:type="pct"/>
            <w:gridSpan w:val="2"/>
            <w:tcBorders>
              <w:top w:val="single" w:color="auto" w:sz="4" w:space="0"/>
              <w:left w:val="single" w:color="auto" w:sz="4" w:space="0"/>
              <w:bottom w:val="single" w:color="auto" w:sz="4" w:space="0"/>
              <w:right w:val="single" w:color="auto" w:sz="4" w:space="0"/>
            </w:tcBorders>
            <w:vAlign w:val="center"/>
          </w:tcPr>
          <w:p w14:paraId="5110F94E">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w:t>
            </w: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总价）为评标基准价，其价格分为满分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分。其他投标人的价格分统一按照下列公式计算：</w:t>
            </w:r>
          </w:p>
          <w:p w14:paraId="5EAD762A">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leftChars="0" w:right="0" w:right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总价）得分＝（评标基准价/投标报价）×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×100％</w:t>
            </w:r>
          </w:p>
        </w:tc>
      </w:tr>
    </w:tbl>
    <w:p w14:paraId="72037C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auto"/>
          <w:sz w:val="24"/>
          <w:highlight w:val="none"/>
        </w:rPr>
      </w:pPr>
    </w:p>
    <w:p w14:paraId="770284BE">
      <w:pPr>
        <w:spacing w:line="360" w:lineRule="auto"/>
        <w:ind w:firstLine="435"/>
        <w:rPr>
          <w:rFonts w:hint="eastAsia" w:asciiTheme="minorEastAsia" w:hAnsiTheme="minorEastAsia" w:eastAsiaTheme="minorEastAsia"/>
          <w:color w:val="auto"/>
          <w:sz w:val="24"/>
          <w:highlight w:val="none"/>
        </w:rPr>
      </w:pPr>
    </w:p>
    <w:p w14:paraId="40DCE271">
      <w:pPr>
        <w:spacing w:line="360" w:lineRule="auto"/>
        <w:ind w:firstLine="435"/>
        <w:rPr>
          <w:rFonts w:hint="eastAsia" w:asciiTheme="minorEastAsia" w:hAnsiTheme="minorEastAsia" w:eastAsiaTheme="minorEastAsia"/>
          <w:color w:val="auto"/>
          <w:sz w:val="24"/>
          <w:highlight w:val="none"/>
        </w:rPr>
      </w:pPr>
    </w:p>
    <w:p w14:paraId="1AE6BF28">
      <w:pPr>
        <w:spacing w:line="360" w:lineRule="auto"/>
        <w:ind w:firstLine="435"/>
        <w:rPr>
          <w:rFonts w:hint="eastAsia" w:asciiTheme="minorEastAsia" w:hAnsiTheme="minorEastAsia" w:eastAsiaTheme="minorEastAsia"/>
          <w:color w:val="auto"/>
          <w:sz w:val="24"/>
          <w:highlight w:val="none"/>
        </w:rPr>
      </w:pPr>
    </w:p>
    <w:p w14:paraId="1394F17E">
      <w:pPr>
        <w:spacing w:line="360" w:lineRule="auto"/>
        <w:ind w:firstLine="435"/>
        <w:rPr>
          <w:rFonts w:hint="eastAsia" w:asciiTheme="minorEastAsia" w:hAnsiTheme="minorEastAsia" w:eastAsiaTheme="minorEastAsia"/>
          <w:color w:val="auto"/>
          <w:sz w:val="24"/>
          <w:highlight w:val="none"/>
        </w:rPr>
      </w:pPr>
    </w:p>
    <w:p w14:paraId="6CCE2889">
      <w:pPr>
        <w:spacing w:line="360" w:lineRule="auto"/>
        <w:ind w:firstLine="435"/>
        <w:rPr>
          <w:rFonts w:hint="eastAsia" w:asciiTheme="minorEastAsia" w:hAnsiTheme="minorEastAsia" w:eastAsiaTheme="minorEastAsia"/>
          <w:color w:val="auto"/>
          <w:sz w:val="24"/>
          <w:highlight w:val="none"/>
        </w:rPr>
      </w:pPr>
    </w:p>
    <w:p w14:paraId="1E81293E">
      <w:pPr>
        <w:spacing w:line="360" w:lineRule="auto"/>
        <w:ind w:firstLine="435"/>
        <w:rPr>
          <w:rFonts w:hint="eastAsia" w:asciiTheme="minorEastAsia" w:hAnsiTheme="minorEastAsia" w:eastAsiaTheme="minorEastAsia"/>
          <w:color w:val="auto"/>
          <w:sz w:val="24"/>
          <w:highlight w:val="none"/>
        </w:rPr>
      </w:pPr>
    </w:p>
    <w:p w14:paraId="12F5D828">
      <w:pPr>
        <w:spacing w:line="360" w:lineRule="auto"/>
        <w:ind w:firstLine="435"/>
        <w:rPr>
          <w:rFonts w:hint="eastAsia" w:asciiTheme="minorEastAsia" w:hAnsiTheme="minorEastAsia" w:eastAsiaTheme="minorEastAsia"/>
          <w:color w:val="auto"/>
          <w:sz w:val="24"/>
          <w:highlight w:val="none"/>
        </w:rPr>
      </w:pPr>
    </w:p>
    <w:p w14:paraId="2388CF68">
      <w:pPr>
        <w:spacing w:line="360" w:lineRule="auto"/>
        <w:ind w:firstLine="435"/>
        <w:rPr>
          <w:rFonts w:hint="eastAsia" w:asciiTheme="minorEastAsia" w:hAnsiTheme="minorEastAsia" w:eastAsiaTheme="minorEastAsia"/>
          <w:color w:val="auto"/>
          <w:sz w:val="24"/>
          <w:highlight w:val="none"/>
        </w:rPr>
      </w:pPr>
    </w:p>
    <w:p w14:paraId="3E9982E1">
      <w:pPr>
        <w:widowControl/>
        <w:jc w:val="center"/>
        <w:rPr>
          <w:rFonts w:hint="eastAsia" w:asciiTheme="minorEastAsia" w:hAnsiTheme="minorEastAsia" w:eastAsiaTheme="minorEastAsia"/>
          <w:b/>
          <w:color w:val="auto"/>
          <w:sz w:val="28"/>
          <w:highlight w:val="none"/>
        </w:rPr>
      </w:pPr>
      <w:bookmarkStart w:id="56"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6"/>
    </w:p>
    <w:p w14:paraId="223EC7D5">
      <w:pPr>
        <w:pStyle w:val="9"/>
        <w:spacing w:after="0" w:line="360" w:lineRule="auto"/>
        <w:jc w:val="center"/>
        <w:rPr>
          <w:rFonts w:hint="eastAsia" w:ascii="宋体" w:hAnsi="宋体" w:eastAsia="宋体" w:cs="宋体"/>
          <w:b/>
          <w:bCs/>
          <w:color w:val="auto"/>
          <w:spacing w:val="-20"/>
          <w:kern w:val="44"/>
          <w:sz w:val="24"/>
          <w:highlight w:val="none"/>
        </w:rPr>
      </w:pPr>
      <w:bookmarkStart w:id="57" w:name="_Toc22492"/>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7D9E0BB2">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spacing w:line="360" w:lineRule="auto"/>
        <w:ind w:left="420" w:leftChars="200"/>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滁州市第一人民医院中药制膏机及包装机采购项目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CZYY-2025-68</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auto"/>
          <w:sz w:val="24"/>
          <w:szCs w:val="24"/>
          <w:highlight w:val="none"/>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w:t>
      </w:r>
      <w:r>
        <w:rPr>
          <w:rFonts w:hint="eastAsia" w:ascii="宋体" w:hAnsi="宋体" w:eastAsia="宋体" w:cs="宋体"/>
          <w:color w:val="auto"/>
          <w:sz w:val="24"/>
          <w:szCs w:val="24"/>
          <w:highlight w:val="none"/>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相关</w:t>
      </w:r>
      <w:r>
        <w:rPr>
          <w:rFonts w:hint="eastAsia" w:ascii="宋体" w:hAnsi="宋体" w:eastAsia="宋体" w:cs="宋体"/>
          <w:color w:val="auto"/>
          <w:sz w:val="24"/>
          <w:szCs w:val="24"/>
          <w:highlight w:val="none"/>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t>“联合体”系指由两个以上的自然人、法人或者非法人组织组成，以一个供应商的身份共同参加政府采购的主体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w:t>
      </w:r>
      <w:r>
        <w:rPr>
          <w:rFonts w:hint="eastAsia" w:ascii="宋体" w:hAnsi="宋体" w:eastAsia="宋体" w:cs="宋体"/>
          <w:color w:val="auto"/>
          <w:sz w:val="24"/>
          <w:szCs w:val="24"/>
          <w:highlight w:val="none"/>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w:t>
      </w:r>
      <w:r>
        <w:rPr>
          <w:rFonts w:hint="eastAsia" w:ascii="宋体" w:hAnsi="宋体" w:eastAsia="宋体" w:cs="宋体"/>
          <w:color w:val="auto"/>
          <w:sz w:val="24"/>
          <w:highlight w:val="none"/>
        </w:rPr>
        <w:t>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8. </w:t>
      </w:r>
      <w:r>
        <w:rPr>
          <w:rFonts w:hint="eastAsia" w:ascii="宋体" w:hAnsi="宋体" w:eastAsia="宋体" w:cs="宋体"/>
          <w:b/>
          <w:color w:val="auto"/>
          <w:sz w:val="24"/>
          <w:szCs w:val="24"/>
          <w:highlight w:val="none"/>
        </w:rPr>
        <w:t>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w:t>
      </w:r>
      <w:r>
        <w:rPr>
          <w:rFonts w:hint="eastAsia" w:ascii="宋体" w:hAnsi="宋体" w:eastAsia="宋体" w:cs="宋体"/>
          <w:color w:val="auto"/>
          <w:sz w:val="24"/>
          <w:szCs w:val="24"/>
          <w:highlight w:val="none"/>
        </w:rPr>
        <w:t>约定的</w:t>
      </w:r>
      <w:r>
        <w:rPr>
          <w:rFonts w:hint="eastAsia" w:ascii="宋体" w:hAnsi="宋体" w:eastAsia="宋体" w:cs="宋体"/>
          <w:color w:val="auto"/>
          <w:sz w:val="24"/>
          <w:szCs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t>的违约责任</w:t>
      </w:r>
      <w:r>
        <w:rPr>
          <w:rFonts w:hint="eastAsia" w:ascii="宋体" w:hAnsi="宋体" w:eastAsia="宋体" w:cs="宋体"/>
          <w:color w:val="auto"/>
          <w:sz w:val="24"/>
          <w:szCs w:val="24"/>
          <w:highlight w:val="none"/>
        </w:rPr>
        <w:t>。</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9.2 </w:t>
      </w:r>
      <w:r>
        <w:rPr>
          <w:rFonts w:hint="eastAsia" w:ascii="宋体" w:hAnsi="宋体" w:eastAsia="宋体" w:cs="宋体"/>
          <w:color w:val="auto"/>
          <w:sz w:val="24"/>
          <w:szCs w:val="24"/>
          <w:highlight w:val="none"/>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7"/>
    </w:p>
    <w:p w14:paraId="6888C9ED">
      <w:pPr>
        <w:jc w:val="center"/>
        <w:rPr>
          <w:rFonts w:hint="eastAsia" w:eastAsia="黑体"/>
          <w:color w:val="auto"/>
          <w:sz w:val="20"/>
          <w:highlight w:val="none"/>
        </w:rPr>
      </w:pPr>
      <w:bookmarkStart w:id="61" w:name="_Toc28960"/>
      <w:bookmarkStart w:id="62" w:name="_Toc5555"/>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rPr>
          <w:rFonts w:hint="eastAsia" w:ascii="宋体" w:hAnsi="宋体" w:eastAsia="宋体" w:cs="宋体"/>
          <w:color w:val="auto"/>
          <w:sz w:val="24"/>
          <w:szCs w:val="24"/>
          <w:highlight w:val="none"/>
        </w:rPr>
      </w:pP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r>
        <w:rPr>
          <w:rFonts w:hint="eastAsia" w:ascii="宋体" w:hAnsi="宋体" w:eastAsia="宋体" w:cs="宋体"/>
          <w:color w:val="auto"/>
          <w:sz w:val="24"/>
          <w:szCs w:val="24"/>
          <w:highlight w:val="none"/>
        </w:rPr>
        <w:t>；</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1AFFA9B5">
      <w:pPr>
        <w:pStyle w:val="42"/>
        <w:rPr>
          <w:rFonts w:hint="eastAsia" w:asciiTheme="minorEastAsia" w:hAnsiTheme="minorEastAsia" w:eastAsiaTheme="minorEastAsia"/>
          <w:b/>
          <w:color w:val="auto"/>
          <w:sz w:val="24"/>
          <w:highlight w:val="none"/>
        </w:rPr>
      </w:pPr>
    </w:p>
    <w:p w14:paraId="34BEAB32">
      <w:pPr>
        <w:pStyle w:val="42"/>
        <w:rPr>
          <w:rFonts w:hint="eastAsia" w:asciiTheme="minorEastAsia" w:hAnsiTheme="minorEastAsia" w:eastAsiaTheme="minorEastAsia"/>
          <w:b/>
          <w:color w:val="auto"/>
          <w:sz w:val="24"/>
          <w:highlight w:val="none"/>
        </w:rPr>
      </w:pPr>
    </w:p>
    <w:p w14:paraId="0DFBADD6">
      <w:pPr>
        <w:pStyle w:val="42"/>
        <w:rPr>
          <w:rFonts w:hint="eastAsia" w:asciiTheme="minorEastAsia" w:hAnsiTheme="minorEastAsia" w:eastAsiaTheme="minorEastAsia"/>
          <w:b/>
          <w:color w:val="auto"/>
          <w:sz w:val="24"/>
          <w:highlight w:val="none"/>
        </w:rPr>
      </w:pPr>
    </w:p>
    <w:p w14:paraId="22BB177D">
      <w:pPr>
        <w:spacing w:line="360" w:lineRule="auto"/>
        <w:jc w:val="center"/>
        <w:outlineLvl w:val="1"/>
        <w:rPr>
          <w:rFonts w:hint="eastAsia" w:asciiTheme="minorEastAsia" w:hAnsiTheme="minorEastAsia" w:eastAsiaTheme="minorEastAsia"/>
          <w:b/>
          <w:color w:val="auto"/>
          <w:sz w:val="24"/>
          <w:highlight w:val="none"/>
        </w:rPr>
      </w:pPr>
    </w:p>
    <w:p w14:paraId="2FE8AF60">
      <w:pPr>
        <w:spacing w:line="360" w:lineRule="auto"/>
        <w:jc w:val="center"/>
        <w:outlineLvl w:val="1"/>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CB698D">
      <w:pPr>
        <w:spacing w:line="360" w:lineRule="auto"/>
        <w:ind w:firstLine="360" w:firstLineChars="150"/>
        <w:rPr>
          <w:rFonts w:hint="eastAsia" w:asciiTheme="minorEastAsia" w:hAnsiTheme="minorEastAsia" w:eastAsiaTheme="minorEastAsia"/>
          <w:color w:val="auto"/>
          <w:sz w:val="24"/>
          <w:highlight w:val="none"/>
        </w:rPr>
      </w:pP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8"/>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中药制膏机</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rPr>
                <w:rFonts w:hint="default"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台</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rPr>
                <w:rFonts w:hint="eastAsia" w:ascii="宋体" w:hAnsi="宋体" w:eastAsia="宋体" w:cs="宋体"/>
                <w:color w:val="auto"/>
                <w:kern w:val="2"/>
                <w:sz w:val="24"/>
                <w:szCs w:val="24"/>
                <w:highlight w:val="none"/>
                <w:lang w:val="en-US" w:eastAsia="zh-CN" w:bidi="ar"/>
              </w:rPr>
            </w:pPr>
            <w:r>
              <w:rPr>
                <w:rFonts w:hint="eastAsia" w:ascii="仿宋" w:hAnsi="仿宋" w:eastAsia="仿宋" w:cs="仿宋"/>
                <w:b/>
                <w:color w:val="auto"/>
                <w:spacing w:val="10"/>
                <w:sz w:val="24"/>
                <w:highlight w:val="none"/>
                <w:lang w:val="en-US" w:eastAsia="zh-CN"/>
              </w:rPr>
              <w:t>1</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p>
        </w:tc>
      </w:tr>
      <w:tr w14:paraId="2F5F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26915106">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lang w:val="en-US" w:eastAsia="zh-CN"/>
              </w:rPr>
              <w:t>2</w:t>
            </w:r>
          </w:p>
        </w:tc>
        <w:tc>
          <w:tcPr>
            <w:tcW w:w="852" w:type="pct"/>
            <w:tcBorders>
              <w:top w:val="single" w:color="auto" w:sz="4" w:space="0"/>
              <w:left w:val="single" w:color="auto" w:sz="4" w:space="0"/>
              <w:right w:val="single" w:color="auto" w:sz="4" w:space="0"/>
            </w:tcBorders>
            <w:shd w:val="clear" w:color="auto" w:fill="auto"/>
            <w:vAlign w:val="center"/>
          </w:tcPr>
          <w:p w14:paraId="62B4E5C6">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lang w:val="en-US" w:eastAsia="zh-CN"/>
              </w:rPr>
              <w:t>包装机</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533D4EEE">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69326222">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71F573D">
            <w:pPr>
              <w:jc w:val="cente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台</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2B530CA">
            <w:pPr>
              <w:jc w:val="center"/>
              <w:rPr>
                <w:rFonts w:hint="eastAsia" w:ascii="宋体" w:hAnsi="宋体" w:eastAsia="宋体" w:cs="宋体"/>
                <w:color w:val="auto"/>
                <w:kern w:val="2"/>
                <w:sz w:val="24"/>
                <w:szCs w:val="24"/>
                <w:highlight w:val="none"/>
                <w:lang w:val="en-US" w:eastAsia="zh-CN" w:bidi="ar"/>
              </w:rPr>
            </w:pPr>
            <w:r>
              <w:rPr>
                <w:rFonts w:hint="eastAsia" w:ascii="仿宋" w:hAnsi="仿宋" w:eastAsia="仿宋" w:cs="仿宋"/>
                <w:b/>
                <w:color w:val="auto"/>
                <w:spacing w:val="10"/>
                <w:sz w:val="24"/>
                <w:highlight w:val="none"/>
                <w:lang w:val="en-US" w:eastAsia="zh-CN"/>
              </w:rPr>
              <w:t>1</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9842172">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495AF40">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1451B0B7">
            <w:pPr>
              <w:rPr>
                <w:rFonts w:hint="eastAsia" w:ascii="宋体" w:hAnsi="宋体" w:eastAsia="宋体"/>
                <w:color w:val="auto"/>
                <w:sz w:val="24"/>
                <w:szCs w:val="24"/>
                <w:highlight w:val="none"/>
              </w:rPr>
            </w:pPr>
          </w:p>
        </w:tc>
      </w:tr>
      <w:tr w14:paraId="3C34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6250260">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lang w:val="en-US" w:eastAsia="zh-CN"/>
              </w:rPr>
              <w:t>3</w:t>
            </w:r>
          </w:p>
        </w:tc>
        <w:tc>
          <w:tcPr>
            <w:tcW w:w="852" w:type="pct"/>
            <w:tcBorders>
              <w:top w:val="single" w:color="auto" w:sz="4" w:space="0"/>
              <w:left w:val="single" w:color="auto" w:sz="4" w:space="0"/>
              <w:right w:val="single" w:color="auto" w:sz="4" w:space="0"/>
            </w:tcBorders>
            <w:shd w:val="clear" w:color="auto" w:fill="auto"/>
            <w:vAlign w:val="center"/>
          </w:tcPr>
          <w:p w14:paraId="00C76E13">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包装膜</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5D04E16">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3487EC5E">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5D855A1">
            <w:pPr>
              <w:jc w:val="cente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卷</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5339F61">
            <w:pPr>
              <w:jc w:val="cente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50</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6C8AE3AE">
            <w:pPr>
              <w:jc w:val="center"/>
              <w:rPr>
                <w:rFonts w:hint="eastAsia" w:ascii="仿宋" w:hAnsi="仿宋" w:eastAsia="仿宋" w:cs="仿宋"/>
                <w:b/>
                <w:color w:val="auto"/>
                <w:spacing w:val="10"/>
                <w:kern w:val="2"/>
                <w:sz w:val="24"/>
                <w:highlight w:val="none"/>
                <w:lang w:val="en-US" w:eastAsia="zh-CN" w:bidi="ar-SA"/>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703CF7A">
            <w:pPr>
              <w:rPr>
                <w:rFonts w:hint="eastAsia" w:ascii="仿宋" w:hAnsi="仿宋" w:eastAsia="仿宋" w:cs="仿宋"/>
                <w:b/>
                <w:color w:val="auto"/>
                <w:spacing w:val="10"/>
                <w:kern w:val="2"/>
                <w:sz w:val="24"/>
                <w:highlight w:val="none"/>
                <w:lang w:val="en-US" w:eastAsia="zh-CN" w:bidi="ar-SA"/>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497D96C0">
            <w:pP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以400米/卷计</w:t>
            </w: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6D404938">
      <w:pPr>
        <w:spacing w:line="360" w:lineRule="auto"/>
        <w:jc w:val="center"/>
        <w:rPr>
          <w:rFonts w:hint="eastAsia" w:ascii="宋体" w:hAnsi="宋体" w:eastAsia="宋体" w:cs="宋体"/>
          <w:b/>
          <w:color w:val="auto"/>
          <w:sz w:val="24"/>
          <w:szCs w:val="24"/>
          <w:highlight w:val="none"/>
          <w:lang w:bidi="ar"/>
        </w:rPr>
      </w:pPr>
    </w:p>
    <w:p w14:paraId="107B5EE2">
      <w:pPr>
        <w:spacing w:line="360" w:lineRule="auto"/>
        <w:jc w:val="center"/>
        <w:rPr>
          <w:rFonts w:hint="eastAsia" w:ascii="宋体" w:hAnsi="宋体" w:eastAsia="宋体" w:cs="宋体"/>
          <w:b/>
          <w:color w:val="auto"/>
          <w:sz w:val="24"/>
          <w:szCs w:val="24"/>
          <w:highlight w:val="none"/>
          <w:lang w:bidi="ar"/>
        </w:rPr>
      </w:pPr>
    </w:p>
    <w:p w14:paraId="345F947A">
      <w:pPr>
        <w:spacing w:line="360" w:lineRule="auto"/>
        <w:jc w:val="center"/>
        <w:rPr>
          <w:rFonts w:hint="eastAsia" w:ascii="宋体" w:hAnsi="宋体" w:eastAsia="宋体" w:cs="宋体"/>
          <w:b/>
          <w:color w:val="auto"/>
          <w:sz w:val="24"/>
          <w:szCs w:val="24"/>
          <w:highlight w:val="none"/>
          <w:lang w:bidi="ar"/>
        </w:rPr>
      </w:pPr>
    </w:p>
    <w:p w14:paraId="50FB84E2">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kern w:val="0"/>
          <w:sz w:val="24"/>
          <w:szCs w:val="24"/>
          <w:highlight w:val="none"/>
          <w:u w:val="single"/>
          <w:lang w:bidi="ar"/>
        </w:rPr>
        <w:t xml:space="preserve">（企业名称）   </w:t>
      </w:r>
      <w:r>
        <w:rPr>
          <w:rFonts w:hint="eastAsia" w:ascii="宋体" w:hAnsi="宋体" w:eastAsia="宋体" w:cs="宋体"/>
          <w:color w:val="auto"/>
          <w:kern w:val="0"/>
          <w:sz w:val="24"/>
          <w:szCs w:val="24"/>
          <w:highlight w:val="none"/>
          <w:lang w:bidi="ar"/>
        </w:rPr>
        <w:t>或</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kern w:val="0"/>
          <w:sz w:val="24"/>
          <w:szCs w:val="24"/>
          <w:highlight w:val="none"/>
          <w:u w:val="single"/>
          <w:lang w:bidi="ar"/>
        </w:rPr>
        <w:t xml:space="preserve">（企业名称）  </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67" w:name="_Toc2683"/>
      <w:bookmarkStart w:id="68" w:name="_Toc3263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61"/>
    <w:bookmarkEnd w:id="62"/>
    <w:p w14:paraId="06E93961">
      <w:pPr>
        <w:widowControl/>
        <w:jc w:val="center"/>
        <w:rPr>
          <w:rFonts w:hint="eastAsia" w:ascii="宋体" w:hAnsi="宋体" w:eastAsia="宋体" w:cs="宋体"/>
          <w:b/>
          <w:color w:val="auto"/>
          <w:sz w:val="24"/>
          <w:szCs w:val="24"/>
          <w:highlight w:val="none"/>
          <w:lang w:bidi="ar"/>
        </w:rPr>
      </w:pPr>
      <w:bookmarkStart w:id="69" w:name="_Toc6435"/>
      <w:bookmarkStart w:id="70" w:name="_Toc18131"/>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61CE60AA">
      <w:pPr>
        <w:widowControl/>
        <w:jc w:val="center"/>
        <w:rPr>
          <w:rFonts w:hint="eastAsia" w:ascii="宋体" w:hAnsi="宋体" w:eastAsia="宋体" w:cs="宋体"/>
          <w:b/>
          <w:color w:val="auto"/>
          <w:sz w:val="24"/>
          <w:szCs w:val="24"/>
          <w:highlight w:val="none"/>
          <w:lang w:bidi="ar"/>
        </w:rPr>
      </w:pPr>
    </w:p>
    <w:p w14:paraId="455F504B">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1"/>
        <w:rPr>
          <w:rFonts w:hint="eastAsia"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81" w:name="_Toc26836"/>
      <w:bookmarkStart w:id="82" w:name="_Toc9754"/>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2"/>
      <w:bookmarkEnd w:id="84"/>
      <w:bookmarkStart w:id="85" w:name="OLE_LINK91"/>
      <w:bookmarkEnd w:id="85"/>
      <w:bookmarkStart w:id="86" w:name="OLE_LINK93"/>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88" w:name="OLE_LINK119"/>
      <w:bookmarkEnd w:id="88"/>
      <w:bookmarkStart w:id="89" w:name="OLE_LINK86"/>
      <w:bookmarkEnd w:id="89"/>
      <w:bookmarkStart w:id="90" w:name="OLE_LINK87"/>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5"/>
      <w:bookmarkEnd w:id="92"/>
      <w:bookmarkStart w:id="93" w:name="OLE_LINK116"/>
      <w:bookmarkEnd w:id="93"/>
      <w:bookmarkStart w:id="94" w:name="OLE_LINK117"/>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99" w:name="OLE_LINK120"/>
      <w:bookmarkEnd w:id="99"/>
      <w:bookmarkStart w:id="100" w:name="OLE_LINK121"/>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2"/>
      <w:bookmarkEnd w:id="106"/>
      <w:bookmarkStart w:id="107" w:name="OLE_LINK100"/>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6"/>
      <w:bookmarkEnd w:id="110"/>
      <w:bookmarkStart w:id="111" w:name="OLE_LINK105"/>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110D66"/>
    <w:rsid w:val="0214602E"/>
    <w:rsid w:val="02380E83"/>
    <w:rsid w:val="025F774E"/>
    <w:rsid w:val="029A6E6A"/>
    <w:rsid w:val="02D435F7"/>
    <w:rsid w:val="03486B27"/>
    <w:rsid w:val="040A094E"/>
    <w:rsid w:val="04671EF4"/>
    <w:rsid w:val="04B35139"/>
    <w:rsid w:val="056F201D"/>
    <w:rsid w:val="05940AC6"/>
    <w:rsid w:val="05B664D4"/>
    <w:rsid w:val="064B485A"/>
    <w:rsid w:val="06823FBC"/>
    <w:rsid w:val="068C65C4"/>
    <w:rsid w:val="07076C01"/>
    <w:rsid w:val="071C12AC"/>
    <w:rsid w:val="077C7A64"/>
    <w:rsid w:val="07A934B3"/>
    <w:rsid w:val="07EB6287"/>
    <w:rsid w:val="07EC4BEA"/>
    <w:rsid w:val="0806421B"/>
    <w:rsid w:val="08D77648"/>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685EAE"/>
    <w:rsid w:val="0C992C37"/>
    <w:rsid w:val="0CBD6F29"/>
    <w:rsid w:val="0D5B011C"/>
    <w:rsid w:val="0D7C07BE"/>
    <w:rsid w:val="0D8633EB"/>
    <w:rsid w:val="0E810642"/>
    <w:rsid w:val="0EAC50D3"/>
    <w:rsid w:val="0EDB1514"/>
    <w:rsid w:val="0EEA6FC1"/>
    <w:rsid w:val="0F790928"/>
    <w:rsid w:val="0F8400D8"/>
    <w:rsid w:val="102636A0"/>
    <w:rsid w:val="107C607B"/>
    <w:rsid w:val="10CD72BB"/>
    <w:rsid w:val="111625C1"/>
    <w:rsid w:val="115031A6"/>
    <w:rsid w:val="12197477"/>
    <w:rsid w:val="12314985"/>
    <w:rsid w:val="1264785B"/>
    <w:rsid w:val="12E05F13"/>
    <w:rsid w:val="12F16504"/>
    <w:rsid w:val="131B5CD3"/>
    <w:rsid w:val="13776448"/>
    <w:rsid w:val="1382549E"/>
    <w:rsid w:val="144F070C"/>
    <w:rsid w:val="1466407E"/>
    <w:rsid w:val="14834E28"/>
    <w:rsid w:val="148E7D65"/>
    <w:rsid w:val="149363ED"/>
    <w:rsid w:val="14C34F24"/>
    <w:rsid w:val="15225379"/>
    <w:rsid w:val="15231BF9"/>
    <w:rsid w:val="15515573"/>
    <w:rsid w:val="15565D98"/>
    <w:rsid w:val="15C4546D"/>
    <w:rsid w:val="16881F81"/>
    <w:rsid w:val="16EA2C3C"/>
    <w:rsid w:val="17365652"/>
    <w:rsid w:val="195A07CF"/>
    <w:rsid w:val="19A03A86"/>
    <w:rsid w:val="1A064976"/>
    <w:rsid w:val="1A361CF4"/>
    <w:rsid w:val="1A3B68AA"/>
    <w:rsid w:val="1A3E1C1E"/>
    <w:rsid w:val="1B6F4F40"/>
    <w:rsid w:val="1C0A315F"/>
    <w:rsid w:val="1C141836"/>
    <w:rsid w:val="1C33473D"/>
    <w:rsid w:val="1C5A786C"/>
    <w:rsid w:val="1C76537D"/>
    <w:rsid w:val="1CB87339"/>
    <w:rsid w:val="1CF2638E"/>
    <w:rsid w:val="1D7847A6"/>
    <w:rsid w:val="1D9C6312"/>
    <w:rsid w:val="1E1265D5"/>
    <w:rsid w:val="1E2E78B2"/>
    <w:rsid w:val="1E4449D5"/>
    <w:rsid w:val="1E6B6A14"/>
    <w:rsid w:val="1F370744"/>
    <w:rsid w:val="1F933745"/>
    <w:rsid w:val="1FD16A32"/>
    <w:rsid w:val="20550D9A"/>
    <w:rsid w:val="209B6D55"/>
    <w:rsid w:val="20AC3611"/>
    <w:rsid w:val="20D12777"/>
    <w:rsid w:val="21845C9E"/>
    <w:rsid w:val="218E2416"/>
    <w:rsid w:val="226915FE"/>
    <w:rsid w:val="227000D6"/>
    <w:rsid w:val="22702106"/>
    <w:rsid w:val="22A85809"/>
    <w:rsid w:val="234F4B80"/>
    <w:rsid w:val="2411199F"/>
    <w:rsid w:val="241804A5"/>
    <w:rsid w:val="24214489"/>
    <w:rsid w:val="245D47C2"/>
    <w:rsid w:val="24B97929"/>
    <w:rsid w:val="24D632D7"/>
    <w:rsid w:val="25381017"/>
    <w:rsid w:val="265A4FBD"/>
    <w:rsid w:val="26E10E4C"/>
    <w:rsid w:val="270A5A82"/>
    <w:rsid w:val="271E0BB2"/>
    <w:rsid w:val="276021F9"/>
    <w:rsid w:val="27710810"/>
    <w:rsid w:val="27CD5A5E"/>
    <w:rsid w:val="27D65DBA"/>
    <w:rsid w:val="283A6824"/>
    <w:rsid w:val="285F40CA"/>
    <w:rsid w:val="289E1AF0"/>
    <w:rsid w:val="28C01ECB"/>
    <w:rsid w:val="29253660"/>
    <w:rsid w:val="29BF71E3"/>
    <w:rsid w:val="29D6387F"/>
    <w:rsid w:val="29E03A2B"/>
    <w:rsid w:val="2A127B63"/>
    <w:rsid w:val="2A451A6C"/>
    <w:rsid w:val="2AAA4765"/>
    <w:rsid w:val="2AC21606"/>
    <w:rsid w:val="2B365FF8"/>
    <w:rsid w:val="2B446269"/>
    <w:rsid w:val="2B7E7608"/>
    <w:rsid w:val="2B7F04E9"/>
    <w:rsid w:val="2B8B554A"/>
    <w:rsid w:val="2C8D32DB"/>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F07456"/>
    <w:rsid w:val="32497AF3"/>
    <w:rsid w:val="343C0775"/>
    <w:rsid w:val="34401962"/>
    <w:rsid w:val="348D47EE"/>
    <w:rsid w:val="34A51AF9"/>
    <w:rsid w:val="356C50EC"/>
    <w:rsid w:val="36137E45"/>
    <w:rsid w:val="36376E0A"/>
    <w:rsid w:val="36484C39"/>
    <w:rsid w:val="364A4C7C"/>
    <w:rsid w:val="36A83A7F"/>
    <w:rsid w:val="36C02CFA"/>
    <w:rsid w:val="36E27AE8"/>
    <w:rsid w:val="3700166C"/>
    <w:rsid w:val="379A1012"/>
    <w:rsid w:val="38694EE9"/>
    <w:rsid w:val="387B329C"/>
    <w:rsid w:val="39717338"/>
    <w:rsid w:val="39B40599"/>
    <w:rsid w:val="3A0946EB"/>
    <w:rsid w:val="3A117273"/>
    <w:rsid w:val="3A6818FA"/>
    <w:rsid w:val="3AB344ED"/>
    <w:rsid w:val="3B0B7708"/>
    <w:rsid w:val="3B365CC9"/>
    <w:rsid w:val="3B60677A"/>
    <w:rsid w:val="3B697D24"/>
    <w:rsid w:val="3B814447"/>
    <w:rsid w:val="3B9A7B88"/>
    <w:rsid w:val="3BB42978"/>
    <w:rsid w:val="3BD8694B"/>
    <w:rsid w:val="3C161A03"/>
    <w:rsid w:val="3CDF3F9E"/>
    <w:rsid w:val="3D2C7AC8"/>
    <w:rsid w:val="3D4E2786"/>
    <w:rsid w:val="3D536596"/>
    <w:rsid w:val="3D855D12"/>
    <w:rsid w:val="3D8B42FF"/>
    <w:rsid w:val="3DD338D1"/>
    <w:rsid w:val="3DE86C4C"/>
    <w:rsid w:val="3DF36A6E"/>
    <w:rsid w:val="3EA572C5"/>
    <w:rsid w:val="3EBA1EE9"/>
    <w:rsid w:val="3F0833B0"/>
    <w:rsid w:val="3F182204"/>
    <w:rsid w:val="3F792F1E"/>
    <w:rsid w:val="3F9133A5"/>
    <w:rsid w:val="40493E7F"/>
    <w:rsid w:val="40824826"/>
    <w:rsid w:val="40A54574"/>
    <w:rsid w:val="40E63923"/>
    <w:rsid w:val="41546D80"/>
    <w:rsid w:val="415643E4"/>
    <w:rsid w:val="419158DF"/>
    <w:rsid w:val="41E537CB"/>
    <w:rsid w:val="42293AD3"/>
    <w:rsid w:val="42971481"/>
    <w:rsid w:val="42A04182"/>
    <w:rsid w:val="43032966"/>
    <w:rsid w:val="43194544"/>
    <w:rsid w:val="433437C5"/>
    <w:rsid w:val="43A91E5B"/>
    <w:rsid w:val="448121A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5C7B62"/>
    <w:rsid w:val="47995D18"/>
    <w:rsid w:val="483E28ED"/>
    <w:rsid w:val="484F2050"/>
    <w:rsid w:val="488302AE"/>
    <w:rsid w:val="48831CF9"/>
    <w:rsid w:val="48AC020A"/>
    <w:rsid w:val="48CB7AD6"/>
    <w:rsid w:val="48F54394"/>
    <w:rsid w:val="49024C9C"/>
    <w:rsid w:val="49044BE8"/>
    <w:rsid w:val="496F4D40"/>
    <w:rsid w:val="49B1408D"/>
    <w:rsid w:val="49FE5ADB"/>
    <w:rsid w:val="4A027BBB"/>
    <w:rsid w:val="4A323C61"/>
    <w:rsid w:val="4A39249C"/>
    <w:rsid w:val="4A7D4FD2"/>
    <w:rsid w:val="4A913C9A"/>
    <w:rsid w:val="4B1F70AC"/>
    <w:rsid w:val="4B240F94"/>
    <w:rsid w:val="4B4D6D1A"/>
    <w:rsid w:val="4B856638"/>
    <w:rsid w:val="4C0832E5"/>
    <w:rsid w:val="4C3C565C"/>
    <w:rsid w:val="4C5C55E6"/>
    <w:rsid w:val="4CCC79C7"/>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723664"/>
    <w:rsid w:val="51771629"/>
    <w:rsid w:val="51BB7195"/>
    <w:rsid w:val="51CB1C78"/>
    <w:rsid w:val="51FD6A51"/>
    <w:rsid w:val="521D240A"/>
    <w:rsid w:val="52224331"/>
    <w:rsid w:val="526B680A"/>
    <w:rsid w:val="52836F71"/>
    <w:rsid w:val="52D26B02"/>
    <w:rsid w:val="53671FD0"/>
    <w:rsid w:val="53D61877"/>
    <w:rsid w:val="54161C73"/>
    <w:rsid w:val="541A5D30"/>
    <w:rsid w:val="5463070C"/>
    <w:rsid w:val="549239F0"/>
    <w:rsid w:val="55102B67"/>
    <w:rsid w:val="55132D9D"/>
    <w:rsid w:val="556A0B5D"/>
    <w:rsid w:val="55C1559C"/>
    <w:rsid w:val="55F068CD"/>
    <w:rsid w:val="566C3136"/>
    <w:rsid w:val="56823A8C"/>
    <w:rsid w:val="568D04F2"/>
    <w:rsid w:val="578B0CFA"/>
    <w:rsid w:val="580845C6"/>
    <w:rsid w:val="587F6530"/>
    <w:rsid w:val="58F17C86"/>
    <w:rsid w:val="593C217C"/>
    <w:rsid w:val="59513E7A"/>
    <w:rsid w:val="5A0B43C0"/>
    <w:rsid w:val="5A296BA4"/>
    <w:rsid w:val="5A526582"/>
    <w:rsid w:val="5A5F5C77"/>
    <w:rsid w:val="5A711A0D"/>
    <w:rsid w:val="5B1613E4"/>
    <w:rsid w:val="5B2568B5"/>
    <w:rsid w:val="5B78003B"/>
    <w:rsid w:val="5BC11A60"/>
    <w:rsid w:val="5C7A4D54"/>
    <w:rsid w:val="5CBF7A3A"/>
    <w:rsid w:val="5CC86079"/>
    <w:rsid w:val="5CD23B73"/>
    <w:rsid w:val="5CD57954"/>
    <w:rsid w:val="5D5A77C0"/>
    <w:rsid w:val="5DAA0B9B"/>
    <w:rsid w:val="5DC14E75"/>
    <w:rsid w:val="5E1C65B7"/>
    <w:rsid w:val="5E231B5D"/>
    <w:rsid w:val="5E2C3A34"/>
    <w:rsid w:val="5F127819"/>
    <w:rsid w:val="60350ED3"/>
    <w:rsid w:val="60B72AEE"/>
    <w:rsid w:val="60F650B9"/>
    <w:rsid w:val="60F872D1"/>
    <w:rsid w:val="61025188"/>
    <w:rsid w:val="61057D5F"/>
    <w:rsid w:val="614D4977"/>
    <w:rsid w:val="61704C00"/>
    <w:rsid w:val="61E33ADD"/>
    <w:rsid w:val="626D25CE"/>
    <w:rsid w:val="62CE1B77"/>
    <w:rsid w:val="63C60FC0"/>
    <w:rsid w:val="643B4928"/>
    <w:rsid w:val="64BA3D7A"/>
    <w:rsid w:val="64F179BC"/>
    <w:rsid w:val="65323AFA"/>
    <w:rsid w:val="654A23E3"/>
    <w:rsid w:val="65815634"/>
    <w:rsid w:val="658971CF"/>
    <w:rsid w:val="660A2050"/>
    <w:rsid w:val="66127E0B"/>
    <w:rsid w:val="662D4693"/>
    <w:rsid w:val="665704D3"/>
    <w:rsid w:val="669944D9"/>
    <w:rsid w:val="67201527"/>
    <w:rsid w:val="67A140FF"/>
    <w:rsid w:val="67C065A4"/>
    <w:rsid w:val="67D359C9"/>
    <w:rsid w:val="68042537"/>
    <w:rsid w:val="68103BDF"/>
    <w:rsid w:val="68E2428E"/>
    <w:rsid w:val="68FE36DD"/>
    <w:rsid w:val="694E60FC"/>
    <w:rsid w:val="696702F4"/>
    <w:rsid w:val="6A256904"/>
    <w:rsid w:val="6A2C1D99"/>
    <w:rsid w:val="6A7476FC"/>
    <w:rsid w:val="6AAA163C"/>
    <w:rsid w:val="6B656832"/>
    <w:rsid w:val="6BA22313"/>
    <w:rsid w:val="6BAA76A3"/>
    <w:rsid w:val="6C675CE6"/>
    <w:rsid w:val="6D4F4321"/>
    <w:rsid w:val="6DF41B82"/>
    <w:rsid w:val="6DFF7360"/>
    <w:rsid w:val="6E035DE2"/>
    <w:rsid w:val="6E3F02ED"/>
    <w:rsid w:val="6E7A5F73"/>
    <w:rsid w:val="6EE90F9D"/>
    <w:rsid w:val="6F1D7B64"/>
    <w:rsid w:val="6FB6454A"/>
    <w:rsid w:val="6FD74228"/>
    <w:rsid w:val="7021106F"/>
    <w:rsid w:val="702754DC"/>
    <w:rsid w:val="71462F6F"/>
    <w:rsid w:val="71633091"/>
    <w:rsid w:val="71874904"/>
    <w:rsid w:val="71C617F4"/>
    <w:rsid w:val="71F8286E"/>
    <w:rsid w:val="72361A07"/>
    <w:rsid w:val="725A270A"/>
    <w:rsid w:val="72620EA6"/>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AE0CEB"/>
    <w:rsid w:val="75F37776"/>
    <w:rsid w:val="76BC207F"/>
    <w:rsid w:val="76EB4904"/>
    <w:rsid w:val="771C566F"/>
    <w:rsid w:val="77645DCD"/>
    <w:rsid w:val="777378F5"/>
    <w:rsid w:val="777A2D3C"/>
    <w:rsid w:val="7838290E"/>
    <w:rsid w:val="78A715E8"/>
    <w:rsid w:val="79074B81"/>
    <w:rsid w:val="794F0939"/>
    <w:rsid w:val="79AF0FCA"/>
    <w:rsid w:val="7A1044F1"/>
    <w:rsid w:val="7A2D43C7"/>
    <w:rsid w:val="7AF9279C"/>
    <w:rsid w:val="7BCA404B"/>
    <w:rsid w:val="7C5D0785"/>
    <w:rsid w:val="7C722BF6"/>
    <w:rsid w:val="7CC51958"/>
    <w:rsid w:val="7CD53DF9"/>
    <w:rsid w:val="7D097C86"/>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1389</Words>
  <Characters>1536</Characters>
  <Lines>293</Lines>
  <Paragraphs>82</Paragraphs>
  <TotalTime>12</TotalTime>
  <ScaleCrop>false</ScaleCrop>
  <LinksUpToDate>false</LinksUpToDate>
  <CharactersWithSpaces>1620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WPS_1550722479</cp:lastModifiedBy>
  <cp:lastPrinted>2019-12-07T15:18:00Z</cp:lastPrinted>
  <dcterms:modified xsi:type="dcterms:W3CDTF">2025-12-02T02:19:06Z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1ECEA165F94845FFAF35C1C96E4FB9B0_12</vt:lpwstr>
  </property>
  <property fmtid="{D5CDD505-2E9C-101B-9397-08002B2CF9AE}" pid="4" name="KSOTemplateDocerSaveRecord">
    <vt:lpwstr>eyJoZGlkIjoiYzZhZTc3Y2E5MDYyNWU2NzRiZDA3NjMyMTNjOWM1ZWUiLCJ1c2VySWQiOiI0NzkzNDYyOTMifQ==</vt:lpwstr>
  </property>
</Properties>
</file>