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BA3647">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rPr>
      </w:pPr>
      <w:bookmarkStart w:id="0" w:name="_Hlk9544796"/>
    </w:p>
    <w:p w14:paraId="1AC75022">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rPr>
        <w:t>（</w:t>
      </w:r>
      <w:r>
        <w:rPr>
          <w:rFonts w:hint="eastAsia" w:ascii="宋体" w:hAnsi="宋体" w:eastAsia="宋体"/>
          <w:b/>
          <w:bCs/>
          <w:color w:val="auto"/>
          <w:sz w:val="52"/>
          <w:szCs w:val="52"/>
          <w:highlight w:val="none"/>
          <w:lang w:val="en-US" w:eastAsia="zh-CN"/>
        </w:rPr>
        <w:t>服务</w:t>
      </w:r>
      <w:r>
        <w:rPr>
          <w:rFonts w:hint="eastAsia" w:ascii="宋体" w:hAnsi="宋体" w:eastAsia="宋体"/>
          <w:b/>
          <w:bCs/>
          <w:color w:val="auto"/>
          <w:sz w:val="52"/>
          <w:szCs w:val="52"/>
          <w:highlight w:val="none"/>
        </w:rPr>
        <w:t>类）</w:t>
      </w:r>
    </w:p>
    <w:p w14:paraId="6B59F766">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rPr>
      </w:pPr>
      <w:r>
        <w:rPr>
          <w:rFonts w:hint="eastAsia" w:ascii="宋体" w:hAnsi="宋体" w:eastAsia="宋体"/>
          <w:b/>
          <w:bCs/>
          <w:color w:val="auto"/>
          <w:sz w:val="52"/>
          <w:szCs w:val="52"/>
          <w:highlight w:val="none"/>
        </w:rPr>
        <w:t>（2024年版）</w:t>
      </w:r>
    </w:p>
    <w:p w14:paraId="7574F618">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2311E23E">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0021312E">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14685E39">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02F36024">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4142C1E2">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3914E520">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02D9B442">
      <w:pPr>
        <w:autoSpaceDE w:val="0"/>
        <w:autoSpaceDN w:val="0"/>
        <w:adjustRightInd w:val="0"/>
        <w:snapToGrid w:val="0"/>
        <w:spacing w:line="360" w:lineRule="auto"/>
        <w:ind w:left="2444" w:leftChars="304" w:hanging="1806" w:hangingChars="500"/>
        <w:rPr>
          <w:rFonts w:hint="eastAsia" w:ascii="宋体" w:hAnsi="宋体" w:eastAsia="宋体" w:cs="宋体"/>
          <w:b/>
          <w:color w:val="auto"/>
          <w:spacing w:val="20"/>
          <w:kern w:val="0"/>
          <w:sz w:val="32"/>
          <w:szCs w:val="32"/>
          <w:highlight w:val="none"/>
          <w:u w:val="single"/>
          <w:lang w:eastAsia="zh-CN" w:bidi="ar"/>
        </w:rPr>
      </w:pPr>
      <w:r>
        <w:rPr>
          <w:rFonts w:hint="eastAsia" w:ascii="宋体" w:hAnsi="宋体" w:eastAsia="宋体" w:cs="宋体"/>
          <w:b/>
          <w:color w:val="auto"/>
          <w:spacing w:val="20"/>
          <w:kern w:val="0"/>
          <w:sz w:val="32"/>
          <w:szCs w:val="32"/>
          <w:highlight w:val="none"/>
          <w:lang w:bidi="ar"/>
        </w:rPr>
        <w:t>项目名称：</w:t>
      </w:r>
      <w:r>
        <w:rPr>
          <w:rFonts w:hint="eastAsia" w:ascii="宋体" w:hAnsi="宋体" w:eastAsia="宋体" w:cs="宋体"/>
          <w:b/>
          <w:color w:val="auto"/>
          <w:spacing w:val="20"/>
          <w:kern w:val="0"/>
          <w:sz w:val="32"/>
          <w:szCs w:val="32"/>
          <w:highlight w:val="none"/>
          <w:u w:val="single"/>
          <w:lang w:eastAsia="zh-CN" w:bidi="ar"/>
        </w:rPr>
        <w:t>滁州市第一人民医院水处理消毒服务项目</w:t>
      </w:r>
    </w:p>
    <w:p w14:paraId="289E037B">
      <w:pPr>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eastAsia="zh-CN"/>
        </w:rPr>
      </w:pPr>
      <w:r>
        <w:rPr>
          <w:rFonts w:hint="eastAsia" w:ascii="宋体" w:hAnsi="宋体" w:eastAsia="宋体" w:cs="宋体"/>
          <w:b/>
          <w:color w:val="auto"/>
          <w:spacing w:val="20"/>
          <w:kern w:val="0"/>
          <w:sz w:val="32"/>
          <w:szCs w:val="32"/>
          <w:highlight w:val="none"/>
          <w:lang w:bidi="ar"/>
        </w:rPr>
        <w:t>项目编号：</w:t>
      </w:r>
      <w:r>
        <w:rPr>
          <w:rFonts w:hint="eastAsia" w:ascii="宋体" w:hAnsi="宋体" w:eastAsia="宋体"/>
          <w:b/>
          <w:color w:val="auto"/>
          <w:spacing w:val="20"/>
          <w:kern w:val="0"/>
          <w:sz w:val="32"/>
          <w:szCs w:val="32"/>
          <w:highlight w:val="none"/>
          <w:u w:val="single"/>
          <w:lang w:eastAsia="zh-CN" w:bidi="ar"/>
        </w:rPr>
        <w:t>CZYY-2025-70</w:t>
      </w:r>
      <w:r>
        <w:rPr>
          <w:rFonts w:hint="eastAsia" w:ascii="宋体" w:hAnsi="宋体" w:eastAsia="宋体"/>
          <w:b/>
          <w:color w:val="auto"/>
          <w:spacing w:val="20"/>
          <w:kern w:val="0"/>
          <w:sz w:val="32"/>
          <w:szCs w:val="32"/>
          <w:highlight w:val="none"/>
          <w:u w:val="single"/>
          <w:lang w:val="en-US" w:eastAsia="zh-CN" w:bidi="ar"/>
        </w:rPr>
        <w:t xml:space="preserve">  </w:t>
      </w:r>
    </w:p>
    <w:p w14:paraId="50F8582E">
      <w:pPr>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rPr>
      </w:pPr>
      <w:r>
        <w:rPr>
          <w:rFonts w:hint="eastAsia" w:ascii="宋体" w:hAnsi="宋体" w:eastAsia="宋体" w:cs="宋体"/>
          <w:b/>
          <w:color w:val="auto"/>
          <w:spacing w:val="20"/>
          <w:kern w:val="0"/>
          <w:sz w:val="32"/>
          <w:szCs w:val="32"/>
          <w:highlight w:val="none"/>
          <w:lang w:bidi="ar"/>
        </w:rPr>
        <w:t>采</w:t>
      </w:r>
      <w:r>
        <w:rPr>
          <w:rFonts w:hint="eastAsia" w:ascii="宋体" w:hAnsi="宋体" w:eastAsia="宋体"/>
          <w:b/>
          <w:color w:val="auto"/>
          <w:spacing w:val="20"/>
          <w:kern w:val="0"/>
          <w:sz w:val="32"/>
          <w:szCs w:val="32"/>
          <w:highlight w:val="none"/>
          <w:lang w:bidi="ar"/>
        </w:rPr>
        <w:t xml:space="preserve"> </w:t>
      </w:r>
      <w:r>
        <w:rPr>
          <w:rFonts w:hint="eastAsia" w:ascii="宋体" w:hAnsi="宋体" w:eastAsia="宋体" w:cs="宋体"/>
          <w:b/>
          <w:color w:val="auto"/>
          <w:spacing w:val="20"/>
          <w:kern w:val="0"/>
          <w:sz w:val="32"/>
          <w:szCs w:val="32"/>
          <w:highlight w:val="none"/>
          <w:lang w:bidi="ar"/>
        </w:rPr>
        <w:t>购</w:t>
      </w:r>
      <w:r>
        <w:rPr>
          <w:rFonts w:hint="eastAsia" w:ascii="宋体" w:hAnsi="宋体" w:eastAsia="宋体"/>
          <w:b/>
          <w:color w:val="auto"/>
          <w:spacing w:val="20"/>
          <w:kern w:val="0"/>
          <w:sz w:val="32"/>
          <w:szCs w:val="32"/>
          <w:highlight w:val="none"/>
          <w:lang w:bidi="ar"/>
        </w:rPr>
        <w:t xml:space="preserve"> </w:t>
      </w:r>
      <w:r>
        <w:rPr>
          <w:rFonts w:hint="eastAsia" w:ascii="宋体" w:hAnsi="宋体" w:eastAsia="宋体" w:cs="宋体"/>
          <w:b/>
          <w:color w:val="auto"/>
          <w:spacing w:val="20"/>
          <w:kern w:val="0"/>
          <w:sz w:val="32"/>
          <w:szCs w:val="32"/>
          <w:highlight w:val="none"/>
          <w:lang w:bidi="ar"/>
        </w:rPr>
        <w:t>人：</w:t>
      </w:r>
      <w:r>
        <w:rPr>
          <w:rFonts w:hint="eastAsia" w:ascii="宋体" w:hAnsi="宋体" w:eastAsia="宋体" w:cs="宋体"/>
          <w:b/>
          <w:color w:val="auto"/>
          <w:spacing w:val="20"/>
          <w:kern w:val="0"/>
          <w:sz w:val="32"/>
          <w:szCs w:val="32"/>
          <w:highlight w:val="none"/>
          <w:u w:val="single"/>
          <w:lang w:bidi="ar"/>
        </w:rPr>
        <w:t>滁州市第一人民医院</w:t>
      </w:r>
    </w:p>
    <w:p w14:paraId="625BB606">
      <w:pPr>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rPr>
      </w:pPr>
      <w:r>
        <w:rPr>
          <w:rFonts w:hint="eastAsia" w:ascii="宋体" w:hAnsi="宋体" w:eastAsia="宋体" w:cs="宋体"/>
          <w:b/>
          <w:color w:val="auto"/>
          <w:spacing w:val="20"/>
          <w:kern w:val="0"/>
          <w:sz w:val="32"/>
          <w:szCs w:val="32"/>
          <w:highlight w:val="none"/>
          <w:lang w:bidi="ar"/>
        </w:rPr>
        <w:t>采购代理机构：</w:t>
      </w:r>
      <w:r>
        <w:rPr>
          <w:rFonts w:hint="eastAsia" w:ascii="宋体" w:hAnsi="宋体" w:eastAsia="宋体" w:cs="宋体"/>
          <w:b/>
          <w:color w:val="auto"/>
          <w:spacing w:val="20"/>
          <w:kern w:val="0"/>
          <w:sz w:val="32"/>
          <w:szCs w:val="32"/>
          <w:highlight w:val="none"/>
          <w:u w:val="single"/>
          <w:lang w:bidi="ar"/>
        </w:rPr>
        <w:t>安徽百士德工程咨询有限公司</w:t>
      </w:r>
    </w:p>
    <w:p w14:paraId="7362F1CC">
      <w:pPr>
        <w:spacing w:before="312" w:beforeLines="100" w:after="156" w:afterLines="50" w:line="500" w:lineRule="exact"/>
        <w:ind w:right="267" w:rightChars="127"/>
        <w:jc w:val="center"/>
        <w:rPr>
          <w:rFonts w:hint="eastAsia"/>
          <w:color w:val="auto"/>
          <w:highlight w:val="none"/>
        </w:rPr>
      </w:pPr>
      <w:r>
        <w:rPr>
          <w:rFonts w:hint="eastAsia" w:ascii="宋体" w:hAnsi="宋体" w:eastAsia="宋体" w:cs="宋体"/>
          <w:b/>
          <w:color w:val="auto"/>
          <w:sz w:val="36"/>
          <w:szCs w:val="36"/>
          <w:highlight w:val="none"/>
          <w:u w:val="single"/>
          <w:lang w:bidi="ar"/>
        </w:rPr>
        <w:t>202</w:t>
      </w:r>
      <w:r>
        <w:rPr>
          <w:rFonts w:hint="eastAsia" w:ascii="宋体" w:hAnsi="宋体" w:eastAsia="宋体" w:cs="宋体"/>
          <w:b/>
          <w:color w:val="auto"/>
          <w:sz w:val="36"/>
          <w:szCs w:val="36"/>
          <w:highlight w:val="none"/>
          <w:u w:val="single"/>
          <w:lang w:val="en-US" w:eastAsia="zh-CN" w:bidi="ar"/>
        </w:rPr>
        <w:t>5</w:t>
      </w:r>
      <w:r>
        <w:rPr>
          <w:rFonts w:hint="eastAsia" w:ascii="宋体" w:hAnsi="宋体" w:eastAsia="宋体" w:cs="宋体"/>
          <w:b/>
          <w:color w:val="auto"/>
          <w:sz w:val="36"/>
          <w:szCs w:val="36"/>
          <w:highlight w:val="none"/>
          <w:lang w:bidi="ar"/>
        </w:rPr>
        <w:t>年</w:t>
      </w:r>
      <w:r>
        <w:rPr>
          <w:rFonts w:hint="eastAsia" w:ascii="宋体" w:hAnsi="宋体" w:eastAsia="宋体" w:cs="宋体"/>
          <w:b/>
          <w:color w:val="auto"/>
          <w:sz w:val="36"/>
          <w:szCs w:val="36"/>
          <w:highlight w:val="none"/>
          <w:u w:val="single"/>
          <w:lang w:val="en-US" w:eastAsia="zh-CN" w:bidi="ar"/>
        </w:rPr>
        <w:t>12</w:t>
      </w:r>
      <w:r>
        <w:rPr>
          <w:rFonts w:hint="eastAsia" w:ascii="宋体" w:hAnsi="宋体" w:eastAsia="宋体" w:cs="宋体"/>
          <w:b/>
          <w:color w:val="auto"/>
          <w:sz w:val="36"/>
          <w:szCs w:val="36"/>
          <w:highlight w:val="none"/>
          <w:lang w:bidi="ar"/>
        </w:rPr>
        <w:t>月</w:t>
      </w:r>
    </w:p>
    <w:p w14:paraId="35E31559">
      <w:pPr>
        <w:tabs>
          <w:tab w:val="left" w:pos="2410"/>
        </w:tabs>
        <w:autoSpaceDE w:val="0"/>
        <w:autoSpaceDN w:val="0"/>
        <w:adjustRightInd w:val="0"/>
        <w:snapToGrid w:val="0"/>
        <w:spacing w:line="360" w:lineRule="auto"/>
        <w:jc w:val="center"/>
        <w:rPr>
          <w:rFonts w:hint="eastAsia" w:ascii="宋体" w:hAnsi="宋体" w:eastAsia="宋体"/>
          <w:b/>
          <w:color w:val="auto"/>
          <w:sz w:val="28"/>
          <w:highlight w:val="none"/>
        </w:rPr>
      </w:pPr>
      <w:r>
        <w:rPr>
          <w:rFonts w:ascii="宋体" w:hAnsi="宋体" w:eastAsia="宋体"/>
          <w:b/>
          <w:color w:val="auto"/>
          <w:sz w:val="36"/>
          <w:highlight w:val="none"/>
        </w:rPr>
        <w:br w:type="page"/>
      </w:r>
      <w:r>
        <w:rPr>
          <w:rFonts w:hint="eastAsia" w:ascii="宋体" w:hAnsi="宋体" w:eastAsia="宋体"/>
          <w:b/>
          <w:color w:val="auto"/>
          <w:sz w:val="28"/>
          <w:highlight w:val="none"/>
        </w:rPr>
        <w:t>目  录</w:t>
      </w:r>
    </w:p>
    <w:p w14:paraId="63B6C315">
      <w:pPr>
        <w:pStyle w:val="18"/>
        <w:tabs>
          <w:tab w:val="right" w:leader="dot" w:pos="8306"/>
        </w:tabs>
        <w:rPr>
          <w:color w:val="auto"/>
          <w:sz w:val="24"/>
          <w:szCs w:val="24"/>
          <w:highlight w:val="none"/>
        </w:rPr>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color w:val="auto"/>
          <w:highlight w:val="none"/>
        </w:rPr>
        <w:fldChar w:fldCharType="begin"/>
      </w:r>
      <w:r>
        <w:rPr>
          <w:color w:val="auto"/>
          <w:highlight w:val="none"/>
        </w:rPr>
        <w:instrText xml:space="preserve"> HYPERLINK \l "_Toc23443" </w:instrText>
      </w:r>
      <w:r>
        <w:rPr>
          <w:color w:val="auto"/>
          <w:highlight w:val="none"/>
        </w:rPr>
        <w:fldChar w:fldCharType="separate"/>
      </w:r>
      <w:r>
        <w:rPr>
          <w:rFonts w:hint="eastAsia" w:asciiTheme="minorEastAsia" w:hAnsiTheme="minorEastAsia"/>
          <w:color w:val="auto"/>
          <w:sz w:val="24"/>
          <w:szCs w:val="24"/>
          <w:highlight w:val="none"/>
        </w:rPr>
        <w:t xml:space="preserve">第一章 </w:t>
      </w:r>
      <w:r>
        <w:rPr>
          <w:rFonts w:asciiTheme="minorEastAsia" w:hAnsiTheme="minorEastAsia"/>
          <w:color w:val="auto"/>
          <w:sz w:val="24"/>
          <w:szCs w:val="24"/>
          <w:highlight w:val="none"/>
        </w:rPr>
        <w:t xml:space="preserve"> 投标邀请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_Toc23443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color w:val="auto"/>
          <w:sz w:val="24"/>
          <w:szCs w:val="24"/>
          <w:highlight w:val="none"/>
        </w:rPr>
        <w:fldChar w:fldCharType="end"/>
      </w:r>
    </w:p>
    <w:p w14:paraId="7566EEF7">
      <w:pPr>
        <w:pStyle w:val="18"/>
        <w:tabs>
          <w:tab w:val="right" w:leader="dot" w:pos="8306"/>
        </w:tabs>
        <w:rPr>
          <w:color w:val="auto"/>
          <w:sz w:val="24"/>
          <w:szCs w:val="24"/>
          <w:highlight w:val="none"/>
        </w:rPr>
      </w:pPr>
      <w:r>
        <w:rPr>
          <w:color w:val="auto"/>
          <w:highlight w:val="none"/>
        </w:rPr>
        <w:fldChar w:fldCharType="begin"/>
      </w:r>
      <w:r>
        <w:rPr>
          <w:color w:val="auto"/>
          <w:highlight w:val="none"/>
        </w:rPr>
        <w:instrText xml:space="preserve"> HYPERLINK \l "_Toc31935" </w:instrText>
      </w:r>
      <w:r>
        <w:rPr>
          <w:color w:val="auto"/>
          <w:highlight w:val="none"/>
        </w:rPr>
        <w:fldChar w:fldCharType="separate"/>
      </w:r>
      <w:r>
        <w:rPr>
          <w:rFonts w:hint="eastAsia" w:asciiTheme="minorEastAsia" w:hAnsiTheme="minorEastAsia"/>
          <w:color w:val="auto"/>
          <w:sz w:val="24"/>
          <w:szCs w:val="24"/>
          <w:highlight w:val="none"/>
        </w:rPr>
        <w:t>第二章</w:t>
      </w:r>
      <w:r>
        <w:rPr>
          <w:rFonts w:asciiTheme="minorEastAsia" w:hAnsiTheme="minorEastAsia"/>
          <w:color w:val="auto"/>
          <w:sz w:val="24"/>
          <w:szCs w:val="24"/>
          <w:highlight w:val="none"/>
        </w:rPr>
        <w:t xml:space="preserve"> </w:t>
      </w:r>
      <w:r>
        <w:rPr>
          <w:rFonts w:hint="eastAsia" w:asciiTheme="minorEastAsia" w:hAnsiTheme="minorEastAsia"/>
          <w:color w:val="auto"/>
          <w:sz w:val="24"/>
          <w:szCs w:val="24"/>
          <w:highlight w:val="none"/>
        </w:rPr>
        <w:t xml:space="preserve"> </w:t>
      </w:r>
      <w:r>
        <w:rPr>
          <w:rFonts w:asciiTheme="minorEastAsia" w:hAnsiTheme="minorEastAsia"/>
          <w:color w:val="auto"/>
          <w:sz w:val="24"/>
          <w:szCs w:val="24"/>
          <w:highlight w:val="none"/>
        </w:rPr>
        <w:t>投标人须知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_Toc31935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color w:val="auto"/>
          <w:sz w:val="24"/>
          <w:szCs w:val="24"/>
          <w:highlight w:val="none"/>
        </w:rPr>
        <w:fldChar w:fldCharType="end"/>
      </w:r>
    </w:p>
    <w:p w14:paraId="08EA80FB">
      <w:pPr>
        <w:pStyle w:val="18"/>
        <w:tabs>
          <w:tab w:val="right" w:leader="dot" w:pos="8306"/>
        </w:tabs>
        <w:rPr>
          <w:color w:val="auto"/>
          <w:sz w:val="24"/>
          <w:szCs w:val="24"/>
          <w:highlight w:val="none"/>
        </w:rPr>
      </w:pPr>
      <w:r>
        <w:rPr>
          <w:color w:val="auto"/>
          <w:highlight w:val="none"/>
        </w:rPr>
        <w:fldChar w:fldCharType="begin"/>
      </w:r>
      <w:r>
        <w:rPr>
          <w:color w:val="auto"/>
          <w:highlight w:val="none"/>
        </w:rPr>
        <w:instrText xml:space="preserve"> HYPERLINK \l "_Toc10891" </w:instrText>
      </w:r>
      <w:r>
        <w:rPr>
          <w:color w:val="auto"/>
          <w:highlight w:val="none"/>
        </w:rPr>
        <w:fldChar w:fldCharType="separate"/>
      </w:r>
      <w:r>
        <w:rPr>
          <w:rFonts w:hint="eastAsia" w:asciiTheme="minorEastAsia" w:hAnsiTheme="minorEastAsia"/>
          <w:color w:val="auto"/>
          <w:sz w:val="24"/>
          <w:szCs w:val="24"/>
          <w:highlight w:val="none"/>
        </w:rPr>
        <w:t>第三章  采购需求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_Toc10891 \h </w:instrText>
      </w:r>
      <w:r>
        <w:rPr>
          <w:color w:val="auto"/>
          <w:sz w:val="24"/>
          <w:szCs w:val="24"/>
          <w:highlight w:val="none"/>
        </w:rPr>
        <w:fldChar w:fldCharType="separate"/>
      </w:r>
      <w:r>
        <w:rPr>
          <w:color w:val="auto"/>
          <w:sz w:val="24"/>
          <w:szCs w:val="24"/>
          <w:highlight w:val="none"/>
        </w:rPr>
        <w:t>17</w:t>
      </w:r>
      <w:r>
        <w:rPr>
          <w:color w:val="auto"/>
          <w:sz w:val="24"/>
          <w:szCs w:val="24"/>
          <w:highlight w:val="none"/>
        </w:rPr>
        <w:fldChar w:fldCharType="end"/>
      </w:r>
      <w:r>
        <w:rPr>
          <w:color w:val="auto"/>
          <w:sz w:val="24"/>
          <w:szCs w:val="24"/>
          <w:highlight w:val="none"/>
        </w:rPr>
        <w:fldChar w:fldCharType="end"/>
      </w:r>
    </w:p>
    <w:p w14:paraId="2762CB6B">
      <w:pPr>
        <w:pStyle w:val="18"/>
        <w:tabs>
          <w:tab w:val="right" w:leader="dot" w:pos="8306"/>
        </w:tabs>
        <w:rPr>
          <w:color w:val="auto"/>
          <w:sz w:val="24"/>
          <w:szCs w:val="24"/>
          <w:highlight w:val="none"/>
        </w:rPr>
      </w:pPr>
      <w:r>
        <w:rPr>
          <w:color w:val="auto"/>
          <w:highlight w:val="none"/>
        </w:rPr>
        <w:fldChar w:fldCharType="begin"/>
      </w:r>
      <w:r>
        <w:rPr>
          <w:color w:val="auto"/>
          <w:highlight w:val="none"/>
        </w:rPr>
        <w:instrText xml:space="preserve"> HYPERLINK \l "_Toc4328" </w:instrText>
      </w:r>
      <w:r>
        <w:rPr>
          <w:color w:val="auto"/>
          <w:highlight w:val="none"/>
        </w:rPr>
        <w:fldChar w:fldCharType="separate"/>
      </w:r>
      <w:r>
        <w:rPr>
          <w:rFonts w:hint="eastAsia" w:asciiTheme="minorEastAsia" w:hAnsiTheme="minorEastAsia"/>
          <w:color w:val="auto"/>
          <w:sz w:val="24"/>
          <w:szCs w:val="24"/>
          <w:highlight w:val="none"/>
        </w:rPr>
        <w:t>第四章  评标方法和标准（最低评标价法）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_Toc4328 \h </w:instrText>
      </w:r>
      <w:r>
        <w:rPr>
          <w:color w:val="auto"/>
          <w:sz w:val="24"/>
          <w:szCs w:val="24"/>
          <w:highlight w:val="none"/>
        </w:rPr>
        <w:fldChar w:fldCharType="separate"/>
      </w:r>
      <w:r>
        <w:rPr>
          <w:color w:val="auto"/>
          <w:sz w:val="24"/>
          <w:szCs w:val="24"/>
          <w:highlight w:val="none"/>
        </w:rPr>
        <w:t>17</w:t>
      </w:r>
      <w:r>
        <w:rPr>
          <w:color w:val="auto"/>
          <w:sz w:val="24"/>
          <w:szCs w:val="24"/>
          <w:highlight w:val="none"/>
        </w:rPr>
        <w:fldChar w:fldCharType="end"/>
      </w:r>
      <w:r>
        <w:rPr>
          <w:color w:val="auto"/>
          <w:sz w:val="24"/>
          <w:szCs w:val="24"/>
          <w:highlight w:val="none"/>
        </w:rPr>
        <w:fldChar w:fldCharType="end"/>
      </w:r>
    </w:p>
    <w:p w14:paraId="14227E1F">
      <w:pPr>
        <w:pStyle w:val="18"/>
        <w:tabs>
          <w:tab w:val="right" w:leader="dot" w:pos="8306"/>
        </w:tabs>
        <w:rPr>
          <w:color w:val="auto"/>
          <w:sz w:val="24"/>
          <w:szCs w:val="24"/>
          <w:highlight w:val="none"/>
        </w:rPr>
      </w:pPr>
      <w:r>
        <w:rPr>
          <w:color w:val="auto"/>
          <w:highlight w:val="none"/>
        </w:rPr>
        <w:fldChar w:fldCharType="begin"/>
      </w:r>
      <w:r>
        <w:rPr>
          <w:color w:val="auto"/>
          <w:highlight w:val="none"/>
        </w:rPr>
        <w:instrText xml:space="preserve"> HYPERLINK \l "_Toc4682" </w:instrText>
      </w:r>
      <w:r>
        <w:rPr>
          <w:color w:val="auto"/>
          <w:highlight w:val="none"/>
        </w:rPr>
        <w:fldChar w:fldCharType="separate"/>
      </w:r>
      <w:r>
        <w:rPr>
          <w:rFonts w:hint="eastAsia" w:asciiTheme="minorEastAsia" w:hAnsiTheme="minorEastAsia"/>
          <w:color w:val="auto"/>
          <w:sz w:val="24"/>
          <w:szCs w:val="24"/>
          <w:highlight w:val="none"/>
        </w:rPr>
        <w:t xml:space="preserve">第五章  </w:t>
      </w:r>
      <w:r>
        <w:rPr>
          <w:rFonts w:asciiTheme="minorEastAsia" w:hAnsiTheme="minorEastAsia"/>
          <w:color w:val="auto"/>
          <w:sz w:val="24"/>
          <w:szCs w:val="24"/>
          <w:highlight w:val="none"/>
        </w:rPr>
        <w:t>政府采购合同</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_Toc4682 \h </w:instrText>
      </w:r>
      <w:r>
        <w:rPr>
          <w:color w:val="auto"/>
          <w:sz w:val="24"/>
          <w:szCs w:val="24"/>
          <w:highlight w:val="none"/>
        </w:rPr>
        <w:fldChar w:fldCharType="separate"/>
      </w:r>
      <w:r>
        <w:rPr>
          <w:color w:val="auto"/>
          <w:sz w:val="24"/>
          <w:szCs w:val="24"/>
          <w:highlight w:val="none"/>
        </w:rPr>
        <w:t>21</w:t>
      </w:r>
      <w:r>
        <w:rPr>
          <w:color w:val="auto"/>
          <w:sz w:val="24"/>
          <w:szCs w:val="24"/>
          <w:highlight w:val="none"/>
        </w:rPr>
        <w:fldChar w:fldCharType="end"/>
      </w:r>
      <w:r>
        <w:rPr>
          <w:color w:val="auto"/>
          <w:sz w:val="24"/>
          <w:szCs w:val="24"/>
          <w:highlight w:val="none"/>
        </w:rPr>
        <w:fldChar w:fldCharType="end"/>
      </w:r>
    </w:p>
    <w:p w14:paraId="0A4D3239">
      <w:pPr>
        <w:pStyle w:val="18"/>
        <w:tabs>
          <w:tab w:val="right" w:leader="dot" w:pos="8306"/>
        </w:tabs>
        <w:rPr>
          <w:color w:val="auto"/>
          <w:sz w:val="24"/>
          <w:szCs w:val="24"/>
          <w:highlight w:val="none"/>
        </w:rPr>
      </w:pPr>
      <w:r>
        <w:rPr>
          <w:color w:val="auto"/>
          <w:highlight w:val="none"/>
        </w:rPr>
        <w:fldChar w:fldCharType="begin"/>
      </w:r>
      <w:r>
        <w:rPr>
          <w:color w:val="auto"/>
          <w:highlight w:val="none"/>
        </w:rPr>
        <w:instrText xml:space="preserve"> HYPERLINK \l "_Toc22492" </w:instrText>
      </w:r>
      <w:r>
        <w:rPr>
          <w:color w:val="auto"/>
          <w:highlight w:val="none"/>
        </w:rPr>
        <w:fldChar w:fldCharType="separate"/>
      </w:r>
      <w:r>
        <w:rPr>
          <w:rFonts w:hint="eastAsia" w:asciiTheme="minorEastAsia" w:hAnsiTheme="minorEastAsia"/>
          <w:color w:val="auto"/>
          <w:sz w:val="24"/>
          <w:szCs w:val="24"/>
          <w:highlight w:val="none"/>
        </w:rPr>
        <w:t>第六章  投标文件格式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_Toc22492 \h </w:instrText>
      </w:r>
      <w:r>
        <w:rPr>
          <w:color w:val="auto"/>
          <w:sz w:val="24"/>
          <w:szCs w:val="24"/>
          <w:highlight w:val="none"/>
        </w:rPr>
        <w:fldChar w:fldCharType="separate"/>
      </w:r>
      <w:r>
        <w:rPr>
          <w:color w:val="auto"/>
          <w:sz w:val="24"/>
          <w:szCs w:val="24"/>
          <w:highlight w:val="none"/>
        </w:rPr>
        <w:t>21</w:t>
      </w:r>
      <w:r>
        <w:rPr>
          <w:color w:val="auto"/>
          <w:sz w:val="24"/>
          <w:szCs w:val="24"/>
          <w:highlight w:val="none"/>
        </w:rPr>
        <w:fldChar w:fldCharType="end"/>
      </w:r>
      <w:r>
        <w:rPr>
          <w:color w:val="auto"/>
          <w:sz w:val="24"/>
          <w:szCs w:val="24"/>
          <w:highlight w:val="none"/>
        </w:rPr>
        <w:fldChar w:fldCharType="end"/>
      </w:r>
    </w:p>
    <w:p w14:paraId="4E8C68B5">
      <w:pPr>
        <w:pStyle w:val="18"/>
        <w:tabs>
          <w:tab w:val="right" w:leader="dot" w:pos="8306"/>
        </w:tabs>
        <w:rPr>
          <w:color w:val="auto"/>
          <w:sz w:val="24"/>
          <w:szCs w:val="24"/>
          <w:highlight w:val="none"/>
        </w:rPr>
      </w:pPr>
      <w:r>
        <w:rPr>
          <w:color w:val="auto"/>
          <w:highlight w:val="none"/>
        </w:rPr>
        <w:fldChar w:fldCharType="begin"/>
      </w:r>
      <w:r>
        <w:rPr>
          <w:color w:val="auto"/>
          <w:highlight w:val="none"/>
        </w:rPr>
        <w:instrText xml:space="preserve"> HYPERLINK \l "_Toc18131" </w:instrText>
      </w:r>
      <w:r>
        <w:rPr>
          <w:color w:val="auto"/>
          <w:highlight w:val="none"/>
        </w:rPr>
        <w:fldChar w:fldCharType="separate"/>
      </w:r>
      <w:r>
        <w:rPr>
          <w:rFonts w:hint="eastAsia" w:asciiTheme="minorEastAsia" w:hAnsiTheme="minorEastAsia"/>
          <w:color w:val="auto"/>
          <w:sz w:val="24"/>
          <w:szCs w:val="24"/>
          <w:highlight w:val="none"/>
        </w:rPr>
        <w:t>第七章</w:t>
      </w:r>
      <w:r>
        <w:rPr>
          <w:rFonts w:hint="eastAsia" w:ascii="宋体" w:hAnsi="宋体" w:eastAsia="宋体"/>
          <w:bCs/>
          <w:color w:val="auto"/>
          <w:sz w:val="24"/>
          <w:szCs w:val="24"/>
          <w:highlight w:val="none"/>
        </w:rPr>
        <w:t xml:space="preserve">  政府采购</w:t>
      </w:r>
      <w:r>
        <w:rPr>
          <w:rFonts w:hint="eastAsia" w:asciiTheme="minorEastAsia" w:hAnsiTheme="minorEastAsia"/>
          <w:color w:val="auto"/>
          <w:sz w:val="24"/>
          <w:szCs w:val="24"/>
          <w:highlight w:val="none"/>
        </w:rPr>
        <w:t>供应</w:t>
      </w:r>
      <w:r>
        <w:rPr>
          <w:rFonts w:hint="eastAsia" w:ascii="宋体" w:hAnsi="宋体" w:eastAsia="宋体"/>
          <w:bCs/>
          <w:color w:val="auto"/>
          <w:sz w:val="24"/>
          <w:szCs w:val="24"/>
          <w:highlight w:val="none"/>
        </w:rPr>
        <w:t>商询问函和质疑函范本</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_Toc18131 \h </w:instrText>
      </w:r>
      <w:r>
        <w:rPr>
          <w:color w:val="auto"/>
          <w:sz w:val="24"/>
          <w:szCs w:val="24"/>
          <w:highlight w:val="none"/>
        </w:rPr>
        <w:fldChar w:fldCharType="separate"/>
      </w:r>
      <w:r>
        <w:rPr>
          <w:color w:val="auto"/>
          <w:sz w:val="24"/>
          <w:szCs w:val="24"/>
          <w:highlight w:val="none"/>
        </w:rPr>
        <w:t>49</w:t>
      </w:r>
      <w:r>
        <w:rPr>
          <w:color w:val="auto"/>
          <w:sz w:val="24"/>
          <w:szCs w:val="24"/>
          <w:highlight w:val="none"/>
        </w:rPr>
        <w:fldChar w:fldCharType="end"/>
      </w:r>
      <w:r>
        <w:rPr>
          <w:color w:val="auto"/>
          <w:sz w:val="24"/>
          <w:szCs w:val="24"/>
          <w:highlight w:val="none"/>
        </w:rPr>
        <w:fldChar w:fldCharType="end"/>
      </w:r>
    </w:p>
    <w:p w14:paraId="7B99C3D6">
      <w:pPr>
        <w:spacing w:line="360" w:lineRule="auto"/>
        <w:rPr>
          <w:rFonts w:hint="eastAsia" w:asciiTheme="minorEastAsia" w:hAnsiTheme="minorEastAsia" w:eastAsiaTheme="minorEastAsia"/>
          <w:b/>
          <w:color w:val="auto"/>
          <w:sz w:val="32"/>
          <w:highlight w:val="none"/>
        </w:rPr>
      </w:pPr>
      <w:r>
        <w:rPr>
          <w:rFonts w:asciiTheme="minorEastAsia" w:hAnsiTheme="minorEastAsia" w:eastAsiaTheme="minorEastAsia"/>
          <w:color w:val="auto"/>
          <w:sz w:val="24"/>
          <w:szCs w:val="24"/>
          <w:highlight w:val="none"/>
        </w:rPr>
        <w:fldChar w:fldCharType="end"/>
      </w:r>
    </w:p>
    <w:p w14:paraId="477D5860">
      <w:pPr>
        <w:pStyle w:val="9"/>
        <w:rPr>
          <w:rFonts w:hint="eastAsia"/>
          <w:color w:val="auto"/>
          <w:highlight w:val="none"/>
        </w:rPr>
        <w:sectPr>
          <w:footerReference r:id="rId3" w:type="default"/>
          <w:pgSz w:w="11906" w:h="16838"/>
          <w:pgMar w:top="1440" w:right="1800" w:bottom="1440" w:left="1800" w:header="851" w:footer="992" w:gutter="0"/>
          <w:cols w:space="425" w:num="1"/>
          <w:docGrid w:type="lines" w:linePitch="312" w:charSpace="0"/>
        </w:sectPr>
      </w:pPr>
    </w:p>
    <w:p w14:paraId="3A232DF0">
      <w:pPr>
        <w:spacing w:line="360" w:lineRule="auto"/>
        <w:jc w:val="center"/>
        <w:outlineLvl w:val="0"/>
        <w:rPr>
          <w:rFonts w:hint="eastAsia" w:asciiTheme="minorEastAsia" w:hAnsiTheme="minorEastAsia" w:eastAsiaTheme="minorEastAsia"/>
          <w:b/>
          <w:color w:val="auto"/>
          <w:sz w:val="28"/>
          <w:highlight w:val="none"/>
        </w:rPr>
      </w:pPr>
      <w:bookmarkStart w:id="1" w:name="_Toc23443"/>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投标邀请</w:t>
      </w:r>
      <w:bookmarkEnd w:id="1"/>
    </w:p>
    <w:p w14:paraId="72A629A6">
      <w:pPr>
        <w:wordWrap w:val="0"/>
        <w:autoSpaceDE w:val="0"/>
        <w:spacing w:line="360" w:lineRule="auto"/>
        <w:ind w:firstLine="480" w:firstLineChars="200"/>
        <w:outlineLvl w:val="2"/>
        <w:rPr>
          <w:rFonts w:hint="eastAsia" w:ascii="宋体" w:hAnsi="宋体" w:eastAsia="宋体" w:cs="宋体"/>
          <w:color w:val="auto"/>
          <w:sz w:val="24"/>
          <w:szCs w:val="24"/>
          <w:highlight w:val="none"/>
        </w:rPr>
      </w:pPr>
      <w:bookmarkStart w:id="2" w:name="_Toc1215"/>
      <w:bookmarkEnd w:id="2"/>
      <w:bookmarkStart w:id="3" w:name="_Toc31935"/>
      <w:r>
        <w:rPr>
          <w:rFonts w:hint="eastAsia" w:ascii="宋体" w:hAnsi="宋体" w:eastAsia="宋体" w:cs="宋体"/>
          <w:color w:val="auto"/>
          <w:sz w:val="24"/>
          <w:szCs w:val="24"/>
          <w:highlight w:val="none"/>
          <w:lang w:bidi="ar"/>
        </w:rPr>
        <w:t>项目概况</w:t>
      </w:r>
    </w:p>
    <w:p w14:paraId="6B98C0DC">
      <w:pPr>
        <w:wordWrap w:val="0"/>
        <w:autoSpaceDE w:val="0"/>
        <w:spacing w:line="360" w:lineRule="auto"/>
        <w:ind w:firstLine="480" w:firstLineChars="20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eastAsia="zh-CN" w:bidi="ar"/>
        </w:rPr>
        <w:t>滁州市第一人民医院水处理消毒服务项目</w:t>
      </w:r>
      <w:r>
        <w:rPr>
          <w:rFonts w:hint="eastAsia" w:ascii="宋体" w:hAnsi="宋体" w:eastAsia="宋体" w:cs="宋体"/>
          <w:color w:val="auto"/>
          <w:sz w:val="24"/>
          <w:szCs w:val="24"/>
          <w:highlight w:val="none"/>
          <w:lang w:bidi="ar"/>
        </w:rPr>
        <w:t>招标项目的潜在投标人应在</w:t>
      </w:r>
      <w:r>
        <w:rPr>
          <w:rFonts w:hint="eastAsia" w:ascii="宋体" w:hAnsi="宋体" w:eastAsia="宋体" w:cs="宋体"/>
          <w:color w:val="auto"/>
          <w:sz w:val="24"/>
          <w:szCs w:val="24"/>
          <w:highlight w:val="none"/>
          <w:u w:val="single"/>
          <w:lang w:bidi="ar"/>
        </w:rPr>
        <w:t>滁州市第一人民医院网（http://www.czdyrmyy.com/）</w:t>
      </w:r>
      <w:r>
        <w:rPr>
          <w:rFonts w:hint="eastAsia" w:ascii="宋体" w:hAnsi="宋体" w:eastAsia="宋体" w:cs="宋体"/>
          <w:color w:val="auto"/>
          <w:sz w:val="24"/>
          <w:szCs w:val="24"/>
          <w:highlight w:val="none"/>
          <w:lang w:bidi="ar"/>
        </w:rPr>
        <w:t>获取招标文件，并于</w:t>
      </w: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5</w:t>
      </w:r>
      <w:r>
        <w:rPr>
          <w:rFonts w:hint="eastAsia" w:ascii="宋体" w:hAnsi="宋体" w:eastAsia="宋体" w:cs="宋体"/>
          <w:bCs/>
          <w:color w:val="auto"/>
          <w:sz w:val="24"/>
          <w:szCs w:val="24"/>
          <w:highlight w:val="none"/>
          <w:u w:val="single"/>
          <w:lang w:bidi="ar"/>
        </w:rPr>
        <w:t>年</w:t>
      </w:r>
      <w:r>
        <w:rPr>
          <w:rFonts w:hint="eastAsia" w:ascii="宋体" w:hAnsi="宋体" w:eastAsia="宋体" w:cs="宋体"/>
          <w:bCs/>
          <w:color w:val="auto"/>
          <w:sz w:val="24"/>
          <w:szCs w:val="24"/>
          <w:highlight w:val="none"/>
          <w:u w:val="single"/>
          <w:lang w:val="en-US" w:eastAsia="zh-CN" w:bidi="ar"/>
        </w:rPr>
        <w:t xml:space="preserve"> 12</w:t>
      </w:r>
      <w:r>
        <w:rPr>
          <w:rFonts w:hint="eastAsia" w:ascii="宋体" w:hAnsi="宋体" w:eastAsia="宋体" w:cs="宋体"/>
          <w:bCs/>
          <w:color w:val="auto"/>
          <w:sz w:val="24"/>
          <w:szCs w:val="24"/>
          <w:highlight w:val="none"/>
          <w:u w:val="single"/>
          <w:lang w:bidi="ar"/>
        </w:rPr>
        <w:t>月</w:t>
      </w:r>
      <w:r>
        <w:rPr>
          <w:rFonts w:hint="eastAsia" w:ascii="宋体" w:hAnsi="宋体" w:eastAsia="宋体" w:cs="宋体"/>
          <w:bCs/>
          <w:color w:val="auto"/>
          <w:sz w:val="24"/>
          <w:szCs w:val="24"/>
          <w:highlight w:val="none"/>
          <w:u w:val="single"/>
          <w:lang w:val="en-US" w:eastAsia="zh-CN" w:bidi="ar"/>
        </w:rPr>
        <w:t>16</w:t>
      </w:r>
      <w:r>
        <w:rPr>
          <w:rFonts w:hint="eastAsia" w:ascii="宋体" w:hAnsi="宋体" w:eastAsia="宋体" w:cs="宋体"/>
          <w:bCs/>
          <w:color w:val="auto"/>
          <w:sz w:val="24"/>
          <w:szCs w:val="24"/>
          <w:highlight w:val="none"/>
          <w:u w:val="single"/>
          <w:lang w:bidi="ar"/>
        </w:rPr>
        <w:t>日1</w:t>
      </w:r>
      <w:r>
        <w:rPr>
          <w:rFonts w:hint="eastAsia" w:ascii="宋体" w:hAnsi="宋体" w:eastAsia="宋体" w:cs="宋体"/>
          <w:bCs/>
          <w:color w:val="auto"/>
          <w:sz w:val="24"/>
          <w:szCs w:val="24"/>
          <w:highlight w:val="none"/>
          <w:u w:val="single"/>
          <w:lang w:val="en-US" w:eastAsia="zh-CN" w:bidi="ar"/>
        </w:rPr>
        <w:t>5</w:t>
      </w:r>
      <w:r>
        <w:rPr>
          <w:rFonts w:hint="eastAsia" w:ascii="宋体" w:hAnsi="宋体" w:eastAsia="宋体" w:cs="宋体"/>
          <w:bCs/>
          <w:color w:val="auto"/>
          <w:sz w:val="24"/>
          <w:szCs w:val="24"/>
          <w:highlight w:val="none"/>
          <w:u w:val="single"/>
          <w:lang w:bidi="ar"/>
        </w:rPr>
        <w:t>点00分</w:t>
      </w:r>
      <w:r>
        <w:rPr>
          <w:rFonts w:hint="eastAsia" w:ascii="宋体" w:hAnsi="宋体" w:eastAsia="宋体" w:cs="宋体"/>
          <w:bCs/>
          <w:color w:val="auto"/>
          <w:sz w:val="24"/>
          <w:szCs w:val="24"/>
          <w:highlight w:val="none"/>
          <w:lang w:bidi="ar"/>
        </w:rPr>
        <w:t>（北京时间）前递交投标文件</w:t>
      </w:r>
      <w:r>
        <w:rPr>
          <w:rFonts w:hint="eastAsia" w:ascii="宋体" w:hAnsi="宋体" w:eastAsia="宋体" w:cs="宋体"/>
          <w:color w:val="auto"/>
          <w:sz w:val="24"/>
          <w:szCs w:val="24"/>
          <w:highlight w:val="none"/>
          <w:lang w:bidi="ar"/>
        </w:rPr>
        <w:t>。</w:t>
      </w:r>
    </w:p>
    <w:p w14:paraId="5E2BA5FD">
      <w:pPr>
        <w:spacing w:line="360" w:lineRule="auto"/>
        <w:ind w:firstLine="437"/>
        <w:outlineLvl w:val="1"/>
        <w:rPr>
          <w:rFonts w:hint="eastAsia" w:ascii="宋体" w:hAnsi="宋体" w:eastAsia="宋体"/>
          <w:b/>
          <w:bCs/>
          <w:color w:val="auto"/>
          <w:sz w:val="24"/>
          <w:szCs w:val="24"/>
          <w:highlight w:val="none"/>
        </w:rPr>
      </w:pPr>
      <w:bookmarkStart w:id="4" w:name="_Toc58430305"/>
      <w:bookmarkEnd w:id="4"/>
      <w:bookmarkStart w:id="5" w:name="_Toc28359079"/>
      <w:bookmarkEnd w:id="5"/>
      <w:bookmarkStart w:id="6" w:name="_Toc35393790"/>
      <w:bookmarkEnd w:id="6"/>
      <w:bookmarkStart w:id="7" w:name="_Toc35393621"/>
      <w:bookmarkEnd w:id="7"/>
      <w:bookmarkStart w:id="8" w:name="_Toc28359002"/>
      <w:bookmarkEnd w:id="8"/>
      <w:bookmarkStart w:id="9" w:name="_Hlk24379207"/>
      <w:r>
        <w:rPr>
          <w:rFonts w:hint="eastAsia" w:ascii="宋体" w:hAnsi="宋体" w:eastAsia="宋体" w:cs="宋体"/>
          <w:b/>
          <w:bCs/>
          <w:color w:val="auto"/>
          <w:sz w:val="24"/>
          <w:szCs w:val="24"/>
          <w:highlight w:val="none"/>
          <w:lang w:bidi="ar"/>
        </w:rPr>
        <w:t>一、项目基本情况</w:t>
      </w:r>
      <w:bookmarkEnd w:id="9"/>
    </w:p>
    <w:p w14:paraId="555C6839">
      <w:pPr>
        <w:wordWrap w:val="0"/>
        <w:autoSpaceDE w:val="0"/>
        <w:spacing w:line="360" w:lineRule="auto"/>
        <w:ind w:firstLine="480" w:firstLineChars="200"/>
        <w:outlineLvl w:val="2"/>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bidi="ar"/>
        </w:rPr>
        <w:t>项目编号：</w:t>
      </w:r>
      <w:r>
        <w:rPr>
          <w:rFonts w:hint="eastAsia" w:ascii="宋体" w:hAnsi="宋体" w:eastAsia="宋体" w:cs="宋体"/>
          <w:color w:val="auto"/>
          <w:sz w:val="24"/>
          <w:szCs w:val="24"/>
          <w:highlight w:val="none"/>
          <w:lang w:eastAsia="zh-CN" w:bidi="ar"/>
        </w:rPr>
        <w:t>CZYY-2025-70</w:t>
      </w:r>
    </w:p>
    <w:p w14:paraId="5178FB6F">
      <w:pPr>
        <w:wordWrap w:val="0"/>
        <w:autoSpaceDE w:val="0"/>
        <w:spacing w:line="360" w:lineRule="auto"/>
        <w:ind w:firstLine="480" w:firstLineChars="200"/>
        <w:outlineLvl w:val="2"/>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bidi="ar"/>
        </w:rPr>
        <w:t>项目名称：</w:t>
      </w:r>
      <w:r>
        <w:rPr>
          <w:rFonts w:hint="eastAsia" w:ascii="宋体" w:hAnsi="宋体" w:eastAsia="宋体" w:cs="宋体"/>
          <w:color w:val="auto"/>
          <w:sz w:val="24"/>
          <w:szCs w:val="24"/>
          <w:highlight w:val="none"/>
          <w:lang w:eastAsia="zh-CN" w:bidi="ar"/>
        </w:rPr>
        <w:t>滁州市第一人民医院水处理消毒服务项目</w:t>
      </w:r>
    </w:p>
    <w:p w14:paraId="67636D0B">
      <w:pPr>
        <w:wordWrap w:val="0"/>
        <w:autoSpaceDE w:val="0"/>
        <w:spacing w:line="360" w:lineRule="auto"/>
        <w:ind w:firstLine="480" w:firstLineChars="200"/>
        <w:outlineLvl w:val="2"/>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bidi="ar"/>
        </w:rPr>
        <w:t>预算金额</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bidi="ar"/>
        </w:rPr>
        <w:t>52440元/年</w:t>
      </w:r>
    </w:p>
    <w:p w14:paraId="0B559EFE">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最高限价：</w:t>
      </w:r>
      <w:r>
        <w:rPr>
          <w:rFonts w:hint="eastAsia" w:ascii="宋体" w:hAnsi="宋体" w:eastAsia="宋体" w:cs="宋体"/>
          <w:color w:val="auto"/>
          <w:sz w:val="24"/>
          <w:szCs w:val="24"/>
          <w:highlight w:val="none"/>
          <w:lang w:val="en-US" w:eastAsia="zh-CN" w:bidi="ar"/>
        </w:rPr>
        <w:t>52440元/年</w:t>
      </w:r>
      <w:r>
        <w:rPr>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szCs w:val="24"/>
          <w:highlight w:val="none"/>
        </w:rPr>
        <w:t>投标人投标</w:t>
      </w:r>
      <w:r>
        <w:rPr>
          <w:rFonts w:hint="eastAsia" w:ascii="宋体" w:hAnsi="宋体" w:eastAsia="宋体" w:cs="宋体"/>
          <w:color w:val="auto"/>
          <w:kern w:val="0"/>
          <w:sz w:val="24"/>
          <w:szCs w:val="24"/>
          <w:highlight w:val="none"/>
          <w:lang w:val="en-US" w:eastAsia="zh-CN"/>
        </w:rPr>
        <w:t>总报价及单价均</w:t>
      </w:r>
      <w:r>
        <w:rPr>
          <w:rFonts w:hint="eastAsia" w:ascii="宋体" w:hAnsi="宋体" w:eastAsia="宋体" w:cs="宋体"/>
          <w:color w:val="auto"/>
          <w:kern w:val="0"/>
          <w:sz w:val="24"/>
          <w:szCs w:val="24"/>
          <w:highlight w:val="none"/>
        </w:rPr>
        <w:t>不得高于本项目设置</w:t>
      </w:r>
      <w:r>
        <w:rPr>
          <w:rFonts w:hint="eastAsia" w:ascii="宋体" w:hAnsi="宋体" w:eastAsia="宋体" w:cs="宋体"/>
          <w:color w:val="auto"/>
          <w:kern w:val="0"/>
          <w:sz w:val="24"/>
          <w:szCs w:val="24"/>
          <w:highlight w:val="none"/>
          <w:lang w:val="en-US" w:eastAsia="zh-CN"/>
        </w:rPr>
        <w:t>总价</w:t>
      </w:r>
      <w:r>
        <w:rPr>
          <w:rFonts w:hint="eastAsia" w:ascii="宋体" w:hAnsi="宋体" w:eastAsia="宋体" w:cs="宋体"/>
          <w:color w:val="auto"/>
          <w:kern w:val="0"/>
          <w:sz w:val="24"/>
          <w:szCs w:val="24"/>
          <w:highlight w:val="none"/>
        </w:rPr>
        <w:t>最高限价</w:t>
      </w:r>
      <w:r>
        <w:rPr>
          <w:rFonts w:hint="eastAsia" w:ascii="宋体" w:hAnsi="宋体" w:eastAsia="宋体" w:cs="宋体"/>
          <w:color w:val="auto"/>
          <w:kern w:val="0"/>
          <w:sz w:val="24"/>
          <w:szCs w:val="24"/>
          <w:highlight w:val="none"/>
          <w:lang w:val="en-US" w:eastAsia="zh-CN"/>
        </w:rPr>
        <w:t>及单价最高限价（单价最高限价详见采购清单）</w:t>
      </w:r>
      <w:r>
        <w:rPr>
          <w:rFonts w:hint="eastAsia" w:ascii="宋体" w:hAnsi="宋体" w:eastAsia="宋体" w:cs="宋体"/>
          <w:color w:val="auto"/>
          <w:kern w:val="0"/>
          <w:sz w:val="24"/>
          <w:szCs w:val="24"/>
          <w:highlight w:val="none"/>
        </w:rPr>
        <w:t>，否则，按无效投标处理。</w:t>
      </w:r>
    </w:p>
    <w:p w14:paraId="02C282A5">
      <w:pPr>
        <w:wordWrap w:val="0"/>
        <w:autoSpaceDE w:val="0"/>
        <w:spacing w:line="360" w:lineRule="auto"/>
        <w:ind w:firstLine="480" w:firstLineChars="200"/>
        <w:outlineLvl w:val="2"/>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bidi="ar"/>
        </w:rPr>
        <w:t>采购需求：</w:t>
      </w:r>
      <w:r>
        <w:rPr>
          <w:rFonts w:hint="eastAsia" w:ascii="宋体" w:hAnsi="宋体" w:eastAsia="宋体" w:cs="宋体"/>
          <w:color w:val="auto"/>
          <w:sz w:val="24"/>
          <w:szCs w:val="24"/>
          <w:highlight w:val="none"/>
          <w:lang w:eastAsia="zh-CN" w:bidi="ar"/>
        </w:rPr>
        <w:t>水处理消毒服务</w:t>
      </w:r>
      <w:r>
        <w:rPr>
          <w:rFonts w:hint="eastAsia" w:ascii="宋体" w:hAnsi="宋体" w:eastAsia="宋体" w:cs="宋体"/>
          <w:color w:val="auto"/>
          <w:sz w:val="24"/>
          <w:szCs w:val="24"/>
          <w:highlight w:val="none"/>
          <w:lang w:val="en-US" w:eastAsia="zh-CN" w:bidi="ar"/>
        </w:rPr>
        <w:t>及过氧乙酸消毒液采购。</w:t>
      </w:r>
    </w:p>
    <w:p w14:paraId="7B1AA0F8">
      <w:pPr>
        <w:pStyle w:val="21"/>
        <w:widowControl/>
        <w:spacing w:before="0" w:beforeAutospacing="0" w:after="0" w:afterAutospacing="0" w:line="23" w:lineRule="atLeast"/>
        <w:ind w:firstLine="480" w:firstLineChars="200"/>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lang w:bidi="ar"/>
        </w:rPr>
        <w:t>合同履行期</w:t>
      </w:r>
      <w:r>
        <w:rPr>
          <w:rFonts w:hint="eastAsia" w:ascii="宋体" w:hAnsi="宋体" w:eastAsia="宋体" w:cs="宋体"/>
          <w:color w:val="auto"/>
          <w:kern w:val="2"/>
          <w:sz w:val="24"/>
          <w:szCs w:val="24"/>
          <w:highlight w:val="none"/>
          <w:lang w:val="en-US" w:eastAsia="zh-CN" w:bidi="ar"/>
        </w:rPr>
        <w:t>限：</w:t>
      </w:r>
      <w:r>
        <w:rPr>
          <w:rFonts w:hint="eastAsia" w:ascii="宋体" w:hAnsi="宋体" w:eastAsia="宋体" w:cs="宋体"/>
          <w:color w:val="auto"/>
          <w:kern w:val="2"/>
          <w:sz w:val="24"/>
          <w:szCs w:val="24"/>
          <w:highlight w:val="none"/>
          <w:lang w:val="en-US" w:eastAsia="zh-CN" w:bidi="ar"/>
        </w:rPr>
        <w:t>叁年。</w:t>
      </w:r>
    </w:p>
    <w:p w14:paraId="479E50AB">
      <w:pPr>
        <w:wordWrap w:val="0"/>
        <w:autoSpaceDE w:val="0"/>
        <w:spacing w:line="360" w:lineRule="auto"/>
        <w:ind w:firstLine="480" w:firstLineChars="20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本项目不接受联合体投标。</w:t>
      </w:r>
    </w:p>
    <w:p w14:paraId="1F89835E">
      <w:pPr>
        <w:spacing w:line="360" w:lineRule="auto"/>
        <w:ind w:firstLine="437"/>
        <w:outlineLvl w:val="1"/>
        <w:rPr>
          <w:rFonts w:hint="eastAsia" w:ascii="宋体" w:hAnsi="宋体" w:eastAsia="宋体"/>
          <w:b/>
          <w:bCs/>
          <w:color w:val="auto"/>
          <w:sz w:val="24"/>
          <w:szCs w:val="24"/>
          <w:highlight w:val="none"/>
        </w:rPr>
      </w:pPr>
      <w:bookmarkStart w:id="10" w:name="_Toc35393622"/>
      <w:bookmarkEnd w:id="10"/>
      <w:bookmarkStart w:id="11" w:name="_Toc58430306"/>
      <w:bookmarkEnd w:id="11"/>
      <w:bookmarkStart w:id="12" w:name="_Toc28359003"/>
      <w:bookmarkEnd w:id="12"/>
      <w:bookmarkStart w:id="13" w:name="_Toc35393791"/>
      <w:bookmarkEnd w:id="13"/>
      <w:bookmarkStart w:id="14" w:name="_Toc28359080"/>
      <w:r>
        <w:rPr>
          <w:rFonts w:hint="eastAsia" w:ascii="宋体" w:hAnsi="宋体" w:eastAsia="宋体" w:cs="宋体"/>
          <w:b/>
          <w:bCs/>
          <w:color w:val="auto"/>
          <w:sz w:val="24"/>
          <w:szCs w:val="24"/>
          <w:highlight w:val="none"/>
          <w:lang w:bidi="ar"/>
        </w:rPr>
        <w:t>二、申请人的资格要求</w:t>
      </w:r>
      <w:bookmarkEnd w:id="14"/>
    </w:p>
    <w:p w14:paraId="57752899">
      <w:pPr>
        <w:autoSpaceDE w:val="0"/>
        <w:spacing w:line="440" w:lineRule="exact"/>
        <w:ind w:firstLine="480" w:firstLineChars="200"/>
        <w:outlineLvl w:val="2"/>
        <w:rPr>
          <w:rFonts w:hint="eastAsia" w:ascii="宋体" w:hAnsi="宋体" w:eastAsia="宋体" w:cs="宋体"/>
          <w:color w:val="auto"/>
          <w:sz w:val="24"/>
          <w:szCs w:val="24"/>
          <w:highlight w:val="none"/>
        </w:rPr>
      </w:pPr>
      <w:bookmarkStart w:id="15" w:name="_Toc35393623"/>
      <w:bookmarkEnd w:id="15"/>
      <w:bookmarkStart w:id="16" w:name="_Toc35393792"/>
      <w:bookmarkEnd w:id="16"/>
      <w:bookmarkStart w:id="17" w:name="_Toc58430307"/>
      <w:r>
        <w:rPr>
          <w:rFonts w:hint="eastAsia" w:ascii="宋体" w:hAnsi="宋体" w:eastAsia="宋体" w:cs="宋体"/>
          <w:color w:val="auto"/>
          <w:sz w:val="24"/>
          <w:szCs w:val="24"/>
          <w:highlight w:val="none"/>
          <w:lang w:bidi="ar"/>
        </w:rPr>
        <w:t>1.满足《中华人民共和国政府采购法》第二十二条规定；</w:t>
      </w:r>
    </w:p>
    <w:p w14:paraId="118CE43C">
      <w:pPr>
        <w:autoSpaceDE w:val="0"/>
        <w:spacing w:line="440" w:lineRule="exact"/>
        <w:ind w:firstLine="480" w:firstLineChars="200"/>
        <w:outlineLvl w:val="2"/>
        <w:rPr>
          <w:rFonts w:hint="eastAsia" w:ascii="宋体" w:hAnsi="宋体" w:eastAsia="宋体" w:cs="宋体"/>
          <w:color w:val="auto"/>
          <w:sz w:val="24"/>
          <w:szCs w:val="24"/>
          <w:highlight w:val="none"/>
          <w:lang w:val="en-US" w:eastAsia="zh-CN" w:bidi="ar"/>
        </w:rPr>
      </w:pPr>
      <w:bookmarkStart w:id="18" w:name="_Toc28359081"/>
      <w:bookmarkEnd w:id="18"/>
      <w:r>
        <w:rPr>
          <w:rFonts w:hint="eastAsia" w:ascii="宋体" w:hAnsi="宋体" w:eastAsia="宋体" w:cs="宋体"/>
          <w:color w:val="auto"/>
          <w:sz w:val="24"/>
          <w:szCs w:val="24"/>
          <w:highlight w:val="none"/>
          <w:lang w:bidi="ar"/>
        </w:rPr>
        <w:t>2.本项目的特定资格要求：</w:t>
      </w:r>
      <w:r>
        <w:rPr>
          <w:rFonts w:hint="eastAsia" w:ascii="宋体" w:hAnsi="宋体" w:eastAsia="宋体" w:cs="宋体"/>
          <w:color w:val="auto"/>
          <w:sz w:val="24"/>
          <w:szCs w:val="24"/>
          <w:highlight w:val="none"/>
          <w:lang w:val="en-US" w:eastAsia="zh-CN" w:bidi="ar"/>
        </w:rPr>
        <w:t>无</w:t>
      </w:r>
      <w:r>
        <w:rPr>
          <w:rFonts w:hint="eastAsia" w:ascii="宋体" w:hAnsi="宋体" w:eastAsia="宋体" w:cs="宋体"/>
          <w:color w:val="auto"/>
          <w:sz w:val="24"/>
          <w:szCs w:val="24"/>
          <w:highlight w:val="none"/>
          <w:lang w:eastAsia="zh-CN" w:bidi="ar"/>
        </w:rPr>
        <w:t>。</w:t>
      </w:r>
    </w:p>
    <w:p w14:paraId="4C2FC59B">
      <w:pPr>
        <w:autoSpaceDE w:val="0"/>
        <w:spacing w:line="440" w:lineRule="exact"/>
        <w:ind w:firstLine="480" w:firstLineChars="20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3.信誉要求：投标人不得存在以下情形：</w:t>
      </w:r>
    </w:p>
    <w:p w14:paraId="5FBCB987">
      <w:pPr>
        <w:autoSpaceDE w:val="0"/>
        <w:spacing w:line="440" w:lineRule="exact"/>
        <w:ind w:firstLine="480" w:firstLineChars="20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①投标人被人民法院列入失信被执行人的；</w:t>
      </w:r>
    </w:p>
    <w:p w14:paraId="6626514C">
      <w:pPr>
        <w:autoSpaceDE w:val="0"/>
        <w:spacing w:line="440" w:lineRule="exact"/>
        <w:ind w:firstLine="480" w:firstLineChars="20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②投标人或其法定代表人或拟派项目经理（项目负责人）前三年有行贿犯罪行为的；</w:t>
      </w:r>
    </w:p>
    <w:p w14:paraId="6709C7F8">
      <w:pPr>
        <w:autoSpaceDE w:val="0"/>
        <w:spacing w:line="440" w:lineRule="exact"/>
        <w:ind w:firstLine="480" w:firstLineChars="20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③投标人被市场监督管理部门列入经营异常名录或者严重违法企业名单，且未被移除的；</w:t>
      </w:r>
    </w:p>
    <w:p w14:paraId="7D495C7E">
      <w:pPr>
        <w:autoSpaceDE w:val="0"/>
        <w:spacing w:line="440" w:lineRule="exact"/>
        <w:ind w:firstLine="480" w:firstLineChars="20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④投标人被税务部门列入重大税收违法案件当事人的；</w:t>
      </w:r>
    </w:p>
    <w:p w14:paraId="026E4118">
      <w:pPr>
        <w:autoSpaceDE w:val="0"/>
        <w:spacing w:line="440" w:lineRule="exact"/>
        <w:ind w:firstLine="480" w:firstLineChars="20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⑤投标人被政府采购监管部门列入政府采购严重违法失信行为记录名单的；</w:t>
      </w:r>
    </w:p>
    <w:p w14:paraId="5AC3D7CF">
      <w:pPr>
        <w:autoSpaceDE w:val="0"/>
        <w:spacing w:line="440" w:lineRule="exact"/>
        <w:ind w:firstLine="480" w:firstLineChars="20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⑥在“信用中国”网站上披露仍在公示期的严重失信行为的。</w:t>
      </w:r>
    </w:p>
    <w:p w14:paraId="263B12D8">
      <w:pPr>
        <w:autoSpaceDE w:val="0"/>
        <w:spacing w:line="440" w:lineRule="exact"/>
        <w:ind w:firstLine="480" w:firstLineChars="20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4.投标人所属分公司、办事处等分支机构存在第3款信誉要求①-⑥项情形之一的，接受投标人参加本项目。</w:t>
      </w:r>
    </w:p>
    <w:p w14:paraId="6DDE074D">
      <w:pPr>
        <w:spacing w:line="360" w:lineRule="auto"/>
        <w:ind w:firstLine="437"/>
        <w:outlineLvl w:val="1"/>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备注：第3、4条按照“关于联合惩戒失信行为加强信用查询管理的通知”查询或承诺。</w:t>
      </w:r>
    </w:p>
    <w:bookmarkEnd w:id="17"/>
    <w:p w14:paraId="3CAFA2D5">
      <w:pPr>
        <w:spacing w:line="440" w:lineRule="exact"/>
        <w:ind w:firstLine="43"/>
        <w:outlineLvl w:val="1"/>
        <w:rPr>
          <w:rFonts w:hint="eastAsia" w:ascii="宋体" w:hAnsi="宋体" w:eastAsia="宋体"/>
          <w:b/>
          <w:bCs/>
          <w:color w:val="auto"/>
          <w:sz w:val="24"/>
          <w:szCs w:val="24"/>
          <w:highlight w:val="none"/>
        </w:rPr>
      </w:pPr>
      <w:r>
        <w:rPr>
          <w:rFonts w:hint="eastAsia" w:ascii="宋体" w:hAnsi="宋体" w:eastAsia="宋体" w:cs="宋体"/>
          <w:b/>
          <w:bCs/>
          <w:color w:val="auto"/>
          <w:sz w:val="24"/>
          <w:szCs w:val="24"/>
          <w:highlight w:val="none"/>
          <w:lang w:bidi="ar"/>
        </w:rPr>
        <w:t>三、获取招标文件</w:t>
      </w:r>
    </w:p>
    <w:p w14:paraId="39069D58">
      <w:pPr>
        <w:autoSpaceDE w:val="0"/>
        <w:spacing w:line="440" w:lineRule="exact"/>
        <w:ind w:firstLine="480" w:firstLineChars="200"/>
        <w:outlineLvl w:val="2"/>
        <w:rPr>
          <w:rFonts w:hint="eastAsia" w:ascii="宋体" w:hAnsi="宋体" w:eastAsia="宋体" w:cs="宋体"/>
          <w:iCs/>
          <w:color w:val="auto"/>
          <w:sz w:val="24"/>
          <w:szCs w:val="24"/>
          <w:highlight w:val="none"/>
          <w:u w:val="single"/>
        </w:rPr>
      </w:pPr>
      <w:r>
        <w:rPr>
          <w:rFonts w:hint="eastAsia" w:ascii="宋体" w:hAnsi="宋体" w:eastAsia="宋体" w:cs="宋体"/>
          <w:color w:val="auto"/>
          <w:sz w:val="24"/>
          <w:szCs w:val="24"/>
          <w:highlight w:val="none"/>
          <w:lang w:bidi="ar"/>
        </w:rPr>
        <w:t>时间：</w:t>
      </w:r>
      <w:r>
        <w:rPr>
          <w:rFonts w:hint="eastAsia" w:ascii="宋体" w:hAnsi="宋体" w:eastAsia="宋体" w:cs="宋体"/>
          <w:color w:val="auto"/>
          <w:sz w:val="24"/>
          <w:szCs w:val="24"/>
          <w:highlight w:val="none"/>
          <w:u w:val="single"/>
          <w:lang w:bidi="ar"/>
        </w:rPr>
        <w:t>2025年</w:t>
      </w:r>
      <w:r>
        <w:rPr>
          <w:rFonts w:hint="eastAsia" w:ascii="宋体" w:hAnsi="宋体" w:eastAsia="宋体" w:cs="宋体"/>
          <w:color w:val="auto"/>
          <w:sz w:val="24"/>
          <w:szCs w:val="24"/>
          <w:highlight w:val="none"/>
          <w:u w:val="single"/>
          <w:lang w:val="en-US" w:eastAsia="zh-CN" w:bidi="ar"/>
        </w:rPr>
        <w:t>12</w:t>
      </w:r>
      <w:r>
        <w:rPr>
          <w:rFonts w:hint="eastAsia" w:ascii="宋体" w:hAnsi="宋体" w:eastAsia="宋体" w:cs="宋体"/>
          <w:color w:val="auto"/>
          <w:sz w:val="24"/>
          <w:szCs w:val="24"/>
          <w:highlight w:val="none"/>
          <w:u w:val="single"/>
          <w:lang w:bidi="ar"/>
        </w:rPr>
        <w:t>月</w:t>
      </w:r>
      <w:r>
        <w:rPr>
          <w:rFonts w:hint="eastAsia" w:ascii="宋体" w:hAnsi="宋体" w:eastAsia="宋体" w:cs="宋体"/>
          <w:color w:val="auto"/>
          <w:sz w:val="24"/>
          <w:szCs w:val="24"/>
          <w:highlight w:val="none"/>
          <w:u w:val="single"/>
          <w:lang w:val="en-US" w:eastAsia="zh-CN" w:bidi="ar"/>
        </w:rPr>
        <w:t>8</w:t>
      </w:r>
      <w:r>
        <w:rPr>
          <w:rFonts w:hint="eastAsia" w:ascii="宋体" w:hAnsi="宋体" w:eastAsia="宋体" w:cs="宋体"/>
          <w:color w:val="auto"/>
          <w:sz w:val="24"/>
          <w:szCs w:val="24"/>
          <w:highlight w:val="none"/>
          <w:u w:val="single"/>
          <w:lang w:bidi="ar"/>
        </w:rPr>
        <w:t>日至2025年</w:t>
      </w:r>
      <w:r>
        <w:rPr>
          <w:rFonts w:hint="eastAsia" w:ascii="宋体" w:hAnsi="宋体" w:eastAsia="宋体" w:cs="宋体"/>
          <w:color w:val="auto"/>
          <w:sz w:val="24"/>
          <w:szCs w:val="24"/>
          <w:highlight w:val="none"/>
          <w:u w:val="single"/>
          <w:lang w:val="en-US" w:eastAsia="zh-CN" w:bidi="ar"/>
        </w:rPr>
        <w:t>12</w:t>
      </w:r>
      <w:r>
        <w:rPr>
          <w:rFonts w:hint="eastAsia" w:ascii="宋体" w:hAnsi="宋体" w:eastAsia="宋体" w:cs="宋体"/>
          <w:color w:val="auto"/>
          <w:sz w:val="24"/>
          <w:szCs w:val="24"/>
          <w:highlight w:val="none"/>
          <w:u w:val="single"/>
          <w:lang w:bidi="ar"/>
        </w:rPr>
        <w:t>月</w:t>
      </w:r>
      <w:r>
        <w:rPr>
          <w:rFonts w:hint="eastAsia" w:ascii="宋体" w:hAnsi="宋体" w:eastAsia="宋体" w:cs="宋体"/>
          <w:color w:val="auto"/>
          <w:sz w:val="24"/>
          <w:szCs w:val="24"/>
          <w:highlight w:val="none"/>
          <w:u w:val="single"/>
          <w:lang w:val="en-US" w:eastAsia="zh-CN" w:bidi="ar"/>
        </w:rPr>
        <w:t>16</w:t>
      </w:r>
      <w:r>
        <w:rPr>
          <w:rFonts w:hint="eastAsia" w:ascii="宋体" w:hAnsi="宋体" w:eastAsia="宋体" w:cs="宋体"/>
          <w:color w:val="auto"/>
          <w:sz w:val="24"/>
          <w:szCs w:val="24"/>
          <w:highlight w:val="none"/>
          <w:u w:val="single"/>
          <w:lang w:bidi="ar"/>
        </w:rPr>
        <w:t>日</w:t>
      </w:r>
    </w:p>
    <w:p w14:paraId="4DCF1C40">
      <w:pPr>
        <w:autoSpaceDE w:val="0"/>
        <w:spacing w:line="440" w:lineRule="exact"/>
        <w:ind w:firstLine="480" w:firstLineChars="200"/>
        <w:outlineLvl w:val="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地点：滁州市第一人民医院网</w:t>
      </w:r>
    </w:p>
    <w:p w14:paraId="1D7B9094">
      <w:pPr>
        <w:autoSpaceDE w:val="0"/>
        <w:spacing w:line="440" w:lineRule="exact"/>
        <w:ind w:firstLine="480" w:firstLineChars="200"/>
        <w:outlineLvl w:val="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方式：网上下载</w:t>
      </w:r>
    </w:p>
    <w:p w14:paraId="286642A0">
      <w:pPr>
        <w:autoSpaceDE w:val="0"/>
        <w:spacing w:line="440" w:lineRule="exact"/>
        <w:ind w:firstLine="480" w:firstLineChars="20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售价：0元</w:t>
      </w:r>
    </w:p>
    <w:p w14:paraId="7616CB30">
      <w:pPr>
        <w:spacing w:line="440" w:lineRule="exact"/>
        <w:ind w:firstLine="43"/>
        <w:outlineLvl w:val="1"/>
        <w:rPr>
          <w:rFonts w:hint="eastAsia" w:ascii="宋体" w:hAnsi="宋体" w:eastAsia="宋体"/>
          <w:b/>
          <w:bCs/>
          <w:color w:val="auto"/>
          <w:sz w:val="24"/>
          <w:szCs w:val="24"/>
          <w:highlight w:val="none"/>
        </w:rPr>
      </w:pPr>
      <w:bookmarkStart w:id="19" w:name="_Toc35393793"/>
      <w:bookmarkEnd w:id="19"/>
      <w:bookmarkStart w:id="20" w:name="_Toc28359005"/>
      <w:bookmarkEnd w:id="20"/>
      <w:bookmarkStart w:id="21" w:name="_Toc35393624"/>
      <w:bookmarkEnd w:id="21"/>
      <w:bookmarkStart w:id="22" w:name="_Toc28359082"/>
      <w:bookmarkEnd w:id="22"/>
      <w:bookmarkStart w:id="23" w:name="_Toc58430308"/>
      <w:r>
        <w:rPr>
          <w:rFonts w:hint="eastAsia" w:ascii="宋体" w:hAnsi="宋体" w:eastAsia="宋体" w:cs="宋体"/>
          <w:b/>
          <w:bCs/>
          <w:color w:val="auto"/>
          <w:sz w:val="24"/>
          <w:szCs w:val="24"/>
          <w:highlight w:val="none"/>
          <w:lang w:bidi="ar"/>
        </w:rPr>
        <w:t>四、提交投标文件</w:t>
      </w:r>
      <w:bookmarkEnd w:id="23"/>
      <w:r>
        <w:rPr>
          <w:rFonts w:hint="eastAsia" w:ascii="宋体" w:hAnsi="宋体" w:eastAsia="宋体" w:cs="宋体"/>
          <w:b/>
          <w:bCs/>
          <w:color w:val="auto"/>
          <w:sz w:val="24"/>
          <w:szCs w:val="24"/>
          <w:highlight w:val="none"/>
          <w:lang w:bidi="ar"/>
        </w:rPr>
        <w:t>截止时间、开标时间和地点</w:t>
      </w:r>
    </w:p>
    <w:p w14:paraId="637DF32F">
      <w:pPr>
        <w:autoSpaceDE w:val="0"/>
        <w:spacing w:line="440" w:lineRule="exact"/>
        <w:ind w:firstLine="480" w:firstLineChars="200"/>
        <w:outlineLvl w:val="2"/>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u w:val="single"/>
          <w:lang w:bidi="ar"/>
        </w:rPr>
        <w:t>2025年</w:t>
      </w:r>
      <w:r>
        <w:rPr>
          <w:rFonts w:hint="eastAsia" w:ascii="宋体" w:hAnsi="宋体" w:eastAsia="宋体" w:cs="宋体"/>
          <w:bCs/>
          <w:color w:val="auto"/>
          <w:sz w:val="24"/>
          <w:szCs w:val="24"/>
          <w:highlight w:val="none"/>
          <w:u w:val="single"/>
          <w:lang w:val="en-US" w:eastAsia="zh-CN" w:bidi="ar"/>
        </w:rPr>
        <w:t>12</w:t>
      </w:r>
      <w:r>
        <w:rPr>
          <w:rFonts w:hint="eastAsia" w:ascii="宋体" w:hAnsi="宋体" w:eastAsia="宋体" w:cs="宋体"/>
          <w:bCs/>
          <w:color w:val="auto"/>
          <w:sz w:val="24"/>
          <w:szCs w:val="24"/>
          <w:highlight w:val="none"/>
          <w:u w:val="single"/>
          <w:lang w:bidi="ar"/>
        </w:rPr>
        <w:t>月</w:t>
      </w:r>
      <w:r>
        <w:rPr>
          <w:rFonts w:hint="eastAsia" w:ascii="宋体" w:hAnsi="宋体" w:eastAsia="宋体" w:cs="宋体"/>
          <w:bCs/>
          <w:color w:val="auto"/>
          <w:sz w:val="24"/>
          <w:szCs w:val="24"/>
          <w:highlight w:val="none"/>
          <w:u w:val="single"/>
          <w:lang w:val="en-US" w:eastAsia="zh-CN" w:bidi="ar"/>
        </w:rPr>
        <w:t>16</w:t>
      </w:r>
      <w:r>
        <w:rPr>
          <w:rFonts w:hint="eastAsia" w:ascii="宋体" w:hAnsi="宋体" w:eastAsia="宋体" w:cs="宋体"/>
          <w:bCs/>
          <w:color w:val="auto"/>
          <w:sz w:val="24"/>
          <w:szCs w:val="24"/>
          <w:highlight w:val="none"/>
          <w:u w:val="single"/>
          <w:lang w:bidi="ar"/>
        </w:rPr>
        <w:t>日15点00分（</w:t>
      </w:r>
      <w:r>
        <w:rPr>
          <w:rFonts w:hint="eastAsia" w:ascii="宋体" w:hAnsi="宋体" w:eastAsia="宋体" w:cs="宋体"/>
          <w:bCs/>
          <w:color w:val="auto"/>
          <w:sz w:val="24"/>
          <w:szCs w:val="24"/>
          <w:highlight w:val="none"/>
          <w:lang w:bidi="ar"/>
        </w:rPr>
        <w:t>北京时间）</w:t>
      </w:r>
    </w:p>
    <w:p w14:paraId="71E750ED">
      <w:pPr>
        <w:autoSpaceDE w:val="0"/>
        <w:spacing w:line="440" w:lineRule="exact"/>
        <w:ind w:firstLine="480" w:firstLineChars="200"/>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开标地点：</w:t>
      </w:r>
      <w:r>
        <w:rPr>
          <w:rFonts w:hint="eastAsia" w:ascii="宋体" w:hAnsi="宋体" w:eastAsia="宋体"/>
          <w:color w:val="auto"/>
          <w:sz w:val="24"/>
          <w:szCs w:val="18"/>
          <w:highlight w:val="none"/>
        </w:rPr>
        <w:t>滁州市第一人民医院南区行政部六楼会议室</w:t>
      </w:r>
    </w:p>
    <w:p w14:paraId="521881CB">
      <w:pPr>
        <w:autoSpaceDE w:val="0"/>
        <w:spacing w:line="440" w:lineRule="exact"/>
        <w:ind w:firstLine="480" w:firstLineChars="200"/>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投标文件递送（或邮寄）地址：滁</w:t>
      </w:r>
      <w:r>
        <w:rPr>
          <w:rFonts w:hint="eastAsia" w:ascii="宋体" w:hAnsi="宋体" w:eastAsia="宋体"/>
          <w:color w:val="auto"/>
          <w:sz w:val="24"/>
          <w:szCs w:val="18"/>
          <w:highlight w:val="none"/>
        </w:rPr>
        <w:t>州市醉翁西路369号，滁州市第一人民医院南区行政部五楼西招标办（请各投标人在响应文件提交截止时间前将响应文件递送或邮寄至滁州市第一人民医院南区行政部五楼西招标办，招标办联系电话：0550-3526032；采用邮寄方式提交，供应商请自行计算好邮件路途中所需的时间，逾期的概不接受）。</w:t>
      </w:r>
    </w:p>
    <w:p w14:paraId="11381F97">
      <w:pPr>
        <w:spacing w:line="440" w:lineRule="exact"/>
        <w:ind w:firstLine="43"/>
        <w:outlineLvl w:val="1"/>
        <w:rPr>
          <w:rFonts w:hint="eastAsia" w:ascii="宋体" w:hAnsi="宋体" w:eastAsia="宋体"/>
          <w:b/>
          <w:bCs/>
          <w:color w:val="auto"/>
          <w:sz w:val="24"/>
          <w:szCs w:val="24"/>
          <w:highlight w:val="none"/>
        </w:rPr>
      </w:pPr>
      <w:bookmarkStart w:id="24" w:name="_Toc35393794"/>
      <w:bookmarkEnd w:id="24"/>
      <w:bookmarkStart w:id="25" w:name="_Toc58430309"/>
      <w:bookmarkEnd w:id="25"/>
      <w:bookmarkStart w:id="26" w:name="_Toc35393625"/>
      <w:bookmarkEnd w:id="26"/>
      <w:bookmarkStart w:id="27" w:name="_Toc28359007"/>
      <w:bookmarkEnd w:id="27"/>
      <w:bookmarkStart w:id="28" w:name="_Toc28359084"/>
      <w:r>
        <w:rPr>
          <w:rFonts w:hint="eastAsia" w:ascii="宋体" w:hAnsi="宋体" w:eastAsia="宋体" w:cs="宋体"/>
          <w:b/>
          <w:bCs/>
          <w:color w:val="auto"/>
          <w:sz w:val="24"/>
          <w:szCs w:val="24"/>
          <w:highlight w:val="none"/>
          <w:lang w:bidi="ar"/>
        </w:rPr>
        <w:t>五、公告期限</w:t>
      </w:r>
      <w:bookmarkEnd w:id="28"/>
    </w:p>
    <w:p w14:paraId="3120AB57">
      <w:pPr>
        <w:autoSpaceDE w:val="0"/>
        <w:spacing w:line="440" w:lineRule="exact"/>
        <w:ind w:firstLine="480" w:firstLineChars="200"/>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自本公告发布之日起5个工作日。</w:t>
      </w:r>
    </w:p>
    <w:p w14:paraId="4D59E705">
      <w:pPr>
        <w:spacing w:line="440" w:lineRule="exact"/>
        <w:ind w:firstLine="43"/>
        <w:outlineLvl w:val="1"/>
        <w:rPr>
          <w:rFonts w:hint="eastAsia" w:ascii="宋体" w:hAnsi="宋体" w:eastAsia="宋体"/>
          <w:b/>
          <w:bCs/>
          <w:color w:val="auto"/>
          <w:sz w:val="24"/>
          <w:szCs w:val="24"/>
          <w:highlight w:val="none"/>
        </w:rPr>
      </w:pPr>
      <w:bookmarkStart w:id="29" w:name="_Toc58430310"/>
      <w:bookmarkEnd w:id="29"/>
      <w:r>
        <w:rPr>
          <w:rFonts w:hint="eastAsia" w:ascii="宋体" w:hAnsi="宋体" w:eastAsia="宋体" w:cs="宋体"/>
          <w:b/>
          <w:bCs/>
          <w:color w:val="auto"/>
          <w:sz w:val="24"/>
          <w:szCs w:val="24"/>
          <w:highlight w:val="none"/>
          <w:lang w:bidi="ar"/>
        </w:rPr>
        <w:t>六、其他补充事宜</w:t>
      </w:r>
    </w:p>
    <w:p w14:paraId="0D00906C">
      <w:pPr>
        <w:spacing w:line="440" w:lineRule="exact"/>
        <w:ind w:firstLine="528" w:firstLineChars="220"/>
        <w:outlineLvl w:val="1"/>
        <w:rPr>
          <w:rFonts w:hint="eastAsia" w:ascii="宋体" w:hAnsi="宋体" w:eastAsia="宋体" w:cs="宋体"/>
          <w:color w:val="auto"/>
          <w:sz w:val="24"/>
          <w:szCs w:val="24"/>
          <w:highlight w:val="none"/>
          <w:lang w:bidi="ar"/>
        </w:rPr>
      </w:pPr>
      <w:bookmarkStart w:id="30" w:name="_Toc7265"/>
      <w:bookmarkEnd w:id="30"/>
      <w:bookmarkStart w:id="31" w:name="_Toc3854"/>
      <w:r>
        <w:rPr>
          <w:rFonts w:hint="eastAsia" w:ascii="宋体" w:hAnsi="宋体" w:eastAsia="宋体" w:cs="宋体"/>
          <w:color w:val="auto"/>
          <w:sz w:val="24"/>
          <w:szCs w:val="24"/>
          <w:highlight w:val="none"/>
          <w:lang w:bidi="ar"/>
        </w:rPr>
        <w:t>无</w:t>
      </w:r>
    </w:p>
    <w:p w14:paraId="69B13E66">
      <w:pPr>
        <w:spacing w:line="440" w:lineRule="exact"/>
        <w:ind w:firstLine="43"/>
        <w:outlineLvl w:val="1"/>
        <w:rPr>
          <w:rFonts w:hint="eastAsia" w:ascii="宋体" w:hAnsi="宋体" w:eastAsia="宋体"/>
          <w:b/>
          <w:bCs/>
          <w:color w:val="auto"/>
          <w:sz w:val="24"/>
          <w:szCs w:val="24"/>
          <w:highlight w:val="none"/>
        </w:rPr>
      </w:pPr>
      <w:r>
        <w:rPr>
          <w:rFonts w:hint="eastAsia" w:ascii="宋体" w:hAnsi="宋体" w:eastAsia="宋体" w:cs="宋体"/>
          <w:b/>
          <w:bCs/>
          <w:color w:val="auto"/>
          <w:sz w:val="24"/>
          <w:szCs w:val="24"/>
          <w:highlight w:val="none"/>
          <w:lang w:bidi="ar"/>
        </w:rPr>
        <w:t>七、</w:t>
      </w:r>
      <w:bookmarkEnd w:id="31"/>
      <w:r>
        <w:rPr>
          <w:rFonts w:hint="eastAsia" w:ascii="宋体" w:hAnsi="宋体" w:eastAsia="宋体" w:cs="宋体"/>
          <w:b/>
          <w:bCs/>
          <w:color w:val="auto"/>
          <w:sz w:val="24"/>
          <w:szCs w:val="24"/>
          <w:highlight w:val="none"/>
          <w:lang w:bidi="ar"/>
        </w:rPr>
        <w:t>对本次招标提出询问，请按以下方式联系</w:t>
      </w:r>
    </w:p>
    <w:p w14:paraId="4FB3AD9D">
      <w:pPr>
        <w:autoSpaceDE w:val="0"/>
        <w:spacing w:line="440" w:lineRule="exact"/>
        <w:ind w:firstLine="480" w:firstLineChars="200"/>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1.采购人信息</w:t>
      </w:r>
    </w:p>
    <w:p w14:paraId="3B1842B7">
      <w:pPr>
        <w:autoSpaceDE w:val="0"/>
        <w:spacing w:line="440" w:lineRule="exact"/>
        <w:ind w:firstLine="480" w:firstLineChars="200"/>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名  称：</w:t>
      </w:r>
      <w:r>
        <w:rPr>
          <w:rFonts w:hint="eastAsia" w:ascii="宋体" w:hAnsi="宋体" w:eastAsia="宋体"/>
          <w:color w:val="auto"/>
          <w:sz w:val="24"/>
          <w:szCs w:val="24"/>
          <w:highlight w:val="none"/>
          <w:u w:val="single"/>
          <w:lang w:bidi="ar"/>
        </w:rPr>
        <w:t>滁州市第一人民医院</w:t>
      </w:r>
    </w:p>
    <w:p w14:paraId="2CC448CA">
      <w:pPr>
        <w:autoSpaceDE w:val="0"/>
        <w:spacing w:line="440" w:lineRule="exact"/>
        <w:ind w:firstLine="480" w:firstLineChars="200"/>
        <w:outlineLvl w:val="2"/>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地</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址：</w:t>
      </w:r>
      <w:r>
        <w:rPr>
          <w:rFonts w:hint="eastAsia" w:ascii="宋体" w:hAnsi="宋体" w:eastAsia="宋体"/>
          <w:color w:val="auto"/>
          <w:sz w:val="24"/>
          <w:szCs w:val="24"/>
          <w:highlight w:val="none"/>
          <w:u w:val="single"/>
          <w:lang w:bidi="ar"/>
        </w:rPr>
        <w:t>滁州市醉翁西路369号</w:t>
      </w:r>
    </w:p>
    <w:p w14:paraId="01292CDA">
      <w:pPr>
        <w:autoSpaceDE w:val="0"/>
        <w:spacing w:line="440" w:lineRule="exact"/>
        <w:ind w:firstLine="480" w:firstLineChars="200"/>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联系人：</w:t>
      </w:r>
      <w:r>
        <w:rPr>
          <w:rFonts w:hint="eastAsia" w:ascii="宋体" w:hAnsi="宋体" w:eastAsia="宋体"/>
          <w:color w:val="auto"/>
          <w:sz w:val="24"/>
          <w:szCs w:val="24"/>
          <w:highlight w:val="none"/>
          <w:u w:val="single"/>
          <w:lang w:bidi="ar"/>
        </w:rPr>
        <w:t>招标办</w:t>
      </w:r>
    </w:p>
    <w:p w14:paraId="23AA54E7">
      <w:pPr>
        <w:autoSpaceDE w:val="0"/>
        <w:spacing w:line="440" w:lineRule="exact"/>
        <w:ind w:firstLine="480" w:firstLineChars="200"/>
        <w:outlineLvl w:val="2"/>
        <w:rPr>
          <w:rFonts w:hint="eastAsia" w:ascii="宋体" w:hAnsi="宋体" w:eastAsia="宋体"/>
          <w:color w:val="auto"/>
          <w:sz w:val="24"/>
          <w:szCs w:val="24"/>
          <w:highlight w:val="none"/>
          <w:u w:val="single"/>
          <w:lang w:bidi="ar"/>
        </w:rPr>
      </w:pPr>
      <w:r>
        <w:rPr>
          <w:rFonts w:hint="eastAsia" w:ascii="宋体" w:hAnsi="宋体" w:eastAsia="宋体" w:cs="宋体"/>
          <w:color w:val="auto"/>
          <w:sz w:val="24"/>
          <w:szCs w:val="24"/>
          <w:highlight w:val="none"/>
          <w:lang w:bidi="ar"/>
        </w:rPr>
        <w:t>联系方式：</w:t>
      </w:r>
      <w:r>
        <w:rPr>
          <w:rFonts w:hint="eastAsia" w:ascii="宋体" w:hAnsi="宋体" w:eastAsia="宋体"/>
          <w:color w:val="auto"/>
          <w:sz w:val="24"/>
          <w:szCs w:val="24"/>
          <w:highlight w:val="none"/>
          <w:u w:val="single"/>
          <w:lang w:bidi="ar"/>
        </w:rPr>
        <w:t>0550-3526032</w:t>
      </w:r>
    </w:p>
    <w:p w14:paraId="5887F41D">
      <w:pPr>
        <w:autoSpaceDE w:val="0"/>
        <w:spacing w:line="440" w:lineRule="exact"/>
        <w:ind w:firstLine="480" w:firstLineChars="200"/>
        <w:outlineLvl w:val="2"/>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2.采购代理机构</w:t>
      </w:r>
      <w:r>
        <w:rPr>
          <w:rFonts w:hint="eastAsia" w:ascii="宋体" w:hAnsi="宋体" w:eastAsia="宋体" w:cs="宋体"/>
          <w:color w:val="auto"/>
          <w:sz w:val="24"/>
          <w:szCs w:val="24"/>
          <w:highlight w:val="none"/>
          <w:lang w:bidi="ar"/>
        </w:rPr>
        <w:t>信息</w:t>
      </w:r>
    </w:p>
    <w:p w14:paraId="72ACEBD7">
      <w:pPr>
        <w:autoSpaceDE w:val="0"/>
        <w:spacing w:line="440" w:lineRule="exact"/>
        <w:ind w:firstLine="480" w:firstLineChars="200"/>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名  称：</w:t>
      </w:r>
      <w:r>
        <w:rPr>
          <w:rFonts w:hint="eastAsia" w:ascii="宋体" w:hAnsi="宋体" w:eastAsia="宋体"/>
          <w:color w:val="auto"/>
          <w:sz w:val="24"/>
          <w:szCs w:val="24"/>
          <w:highlight w:val="none"/>
          <w:u w:val="single"/>
          <w:lang w:bidi="ar"/>
        </w:rPr>
        <w:t>安徽百士德工程咨询有限公司</w:t>
      </w:r>
    </w:p>
    <w:p w14:paraId="6EE07D74">
      <w:pPr>
        <w:autoSpaceDE w:val="0"/>
        <w:spacing w:line="440" w:lineRule="exact"/>
        <w:ind w:firstLine="480" w:firstLineChars="200"/>
        <w:outlineLvl w:val="2"/>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地</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址：</w:t>
      </w:r>
      <w:r>
        <w:rPr>
          <w:rFonts w:hint="eastAsia" w:ascii="宋体" w:hAnsi="宋体" w:eastAsia="宋体"/>
          <w:color w:val="auto"/>
          <w:sz w:val="24"/>
          <w:szCs w:val="24"/>
          <w:highlight w:val="none"/>
          <w:u w:val="single"/>
          <w:lang w:bidi="ar"/>
        </w:rPr>
        <w:t xml:space="preserve">滁州市会峰西路72-11号 </w:t>
      </w:r>
    </w:p>
    <w:p w14:paraId="3539D024">
      <w:pPr>
        <w:autoSpaceDE w:val="0"/>
        <w:spacing w:line="440" w:lineRule="exact"/>
        <w:ind w:firstLine="480" w:firstLineChars="200"/>
        <w:outlineLvl w:val="2"/>
        <w:rPr>
          <w:rFonts w:hint="eastAsia" w:eastAsia="宋体"/>
          <w:color w:val="auto"/>
          <w:szCs w:val="21"/>
          <w:highlight w:val="none"/>
          <w:lang w:eastAsia="zh-CN"/>
        </w:rPr>
      </w:pPr>
      <w:r>
        <w:rPr>
          <w:rFonts w:hint="eastAsia" w:ascii="宋体" w:hAnsi="宋体" w:eastAsia="宋体" w:cs="宋体"/>
          <w:color w:val="auto"/>
          <w:sz w:val="24"/>
          <w:szCs w:val="24"/>
          <w:highlight w:val="none"/>
          <w:lang w:bidi="ar"/>
        </w:rPr>
        <w:t>联系人：</w:t>
      </w:r>
      <w:r>
        <w:rPr>
          <w:rFonts w:hint="eastAsia" w:ascii="宋体" w:hAnsi="宋体" w:eastAsia="宋体"/>
          <w:color w:val="auto"/>
          <w:sz w:val="24"/>
          <w:szCs w:val="24"/>
          <w:highlight w:val="none"/>
          <w:u w:val="single"/>
          <w:lang w:val="en-US" w:eastAsia="zh-CN" w:bidi="ar"/>
        </w:rPr>
        <w:t>吕倩</w:t>
      </w:r>
    </w:p>
    <w:p w14:paraId="05F2B871">
      <w:pPr>
        <w:pStyle w:val="9"/>
        <w:spacing w:after="0" w:line="440" w:lineRule="exact"/>
        <w:ind w:firstLine="480" w:firstLineChars="200"/>
        <w:rPr>
          <w:rFonts w:hint="eastAsia" w:ascii="宋体" w:hAnsi="宋体" w:eastAsia="宋体"/>
          <w:color w:val="auto"/>
          <w:sz w:val="24"/>
          <w:highlight w:val="none"/>
          <w:u w:val="single"/>
          <w:lang w:bidi="ar"/>
        </w:rPr>
      </w:pPr>
      <w:r>
        <w:rPr>
          <w:rFonts w:hint="eastAsia" w:ascii="宋体" w:hAnsi="宋体" w:eastAsia="宋体" w:cs="宋体"/>
          <w:color w:val="auto"/>
          <w:sz w:val="24"/>
          <w:highlight w:val="none"/>
          <w:lang w:bidi="ar"/>
        </w:rPr>
        <w:t>联系方式：</w:t>
      </w:r>
      <w:r>
        <w:rPr>
          <w:rFonts w:hint="eastAsia" w:ascii="宋体" w:hAnsi="宋体" w:eastAsia="宋体"/>
          <w:color w:val="auto"/>
          <w:sz w:val="24"/>
          <w:highlight w:val="none"/>
          <w:u w:val="single"/>
          <w:lang w:bidi="ar"/>
        </w:rPr>
        <w:t>0550-3011399、</w:t>
      </w:r>
      <w:r>
        <w:rPr>
          <w:rFonts w:hint="eastAsia" w:ascii="宋体" w:hAnsi="宋体" w:eastAsia="宋体"/>
          <w:color w:val="auto"/>
          <w:sz w:val="24"/>
          <w:highlight w:val="none"/>
          <w:u w:val="single"/>
          <w:lang w:val="en-US" w:eastAsia="zh-CN" w:bidi="ar"/>
        </w:rPr>
        <w:t>15178499373</w:t>
      </w:r>
      <w:r>
        <w:rPr>
          <w:rFonts w:hint="eastAsia" w:ascii="宋体" w:hAnsi="宋体" w:eastAsia="宋体"/>
          <w:color w:val="auto"/>
          <w:sz w:val="24"/>
          <w:highlight w:val="none"/>
          <w:u w:val="single"/>
          <w:lang w:bidi="ar"/>
        </w:rPr>
        <w:t xml:space="preserve"> </w:t>
      </w:r>
    </w:p>
    <w:p w14:paraId="6CD319E6">
      <w:pPr>
        <w:pStyle w:val="9"/>
        <w:spacing w:after="0" w:line="440" w:lineRule="exact"/>
        <w:ind w:firstLine="480" w:firstLineChars="200"/>
        <w:rPr>
          <w:rFonts w:hint="eastAsia" w:ascii="宋体" w:hAnsi="宋体" w:eastAsia="宋体"/>
          <w:color w:val="auto"/>
          <w:sz w:val="24"/>
          <w:highlight w:val="none"/>
          <w:u w:val="single"/>
          <w:lang w:bidi="ar"/>
        </w:rPr>
      </w:pPr>
    </w:p>
    <w:p w14:paraId="6D05C892">
      <w:pPr>
        <w:pStyle w:val="9"/>
        <w:spacing w:after="0" w:line="440" w:lineRule="exact"/>
        <w:ind w:firstLine="480" w:firstLineChars="200"/>
        <w:rPr>
          <w:rFonts w:hint="eastAsia" w:ascii="宋体" w:hAnsi="宋体" w:eastAsia="宋体"/>
          <w:color w:val="auto"/>
          <w:sz w:val="24"/>
          <w:highlight w:val="none"/>
          <w:u w:val="single"/>
          <w:lang w:bidi="ar"/>
        </w:rPr>
      </w:pPr>
    </w:p>
    <w:p w14:paraId="5586CC1D">
      <w:pPr>
        <w:spacing w:line="360" w:lineRule="auto"/>
        <w:jc w:val="center"/>
        <w:outlineLvl w:val="0"/>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3"/>
    </w:p>
    <w:p w14:paraId="2F5158DE">
      <w:pPr>
        <w:spacing w:line="360" w:lineRule="auto"/>
        <w:jc w:val="center"/>
        <w:outlineLvl w:val="1"/>
        <w:rPr>
          <w:rFonts w:hint="eastAsia" w:asciiTheme="minorEastAsia" w:hAnsiTheme="minorEastAsia" w:eastAsiaTheme="minorEastAsia"/>
          <w:b/>
          <w:color w:val="auto"/>
          <w:sz w:val="24"/>
          <w:highlight w:val="none"/>
        </w:rPr>
      </w:pPr>
      <w:bookmarkStart w:id="32" w:name="_Toc7178"/>
      <w:bookmarkStart w:id="33" w:name="_Toc3114"/>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32"/>
      <w:bookmarkEnd w:id="33"/>
    </w:p>
    <w:p w14:paraId="5ECAF871">
      <w:pPr>
        <w:spacing w:line="360" w:lineRule="auto"/>
        <w:ind w:firstLine="435"/>
        <w:rPr>
          <w:rFonts w:hint="eastAsia"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6"/>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79E34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AE0E279">
            <w:pPr>
              <w:pStyle w:val="44"/>
              <w:widowControl w:val="0"/>
              <w:spacing w:before="0" w:beforeAutospacing="0" w:after="0" w:afterAutospacing="0" w:line="400" w:lineRule="exact"/>
              <w:ind w:firstLine="45"/>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14:paraId="105D1713">
            <w:pPr>
              <w:pStyle w:val="44"/>
              <w:widowControl w:val="0"/>
              <w:spacing w:before="0" w:beforeAutospacing="0" w:after="0" w:afterAutospacing="0" w:line="400" w:lineRule="exact"/>
              <w:ind w:firstLine="45"/>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4" w:type="pct"/>
            <w:vAlign w:val="center"/>
          </w:tcPr>
          <w:p w14:paraId="5E4AE295">
            <w:pPr>
              <w:pStyle w:val="44"/>
              <w:widowControl w:val="0"/>
              <w:spacing w:before="0" w:beforeAutospacing="0" w:after="0" w:afterAutospacing="0" w:line="400" w:lineRule="exact"/>
              <w:ind w:firstLine="45"/>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48151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03B5C09">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5</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20467B98">
            <w:pPr>
              <w:pStyle w:val="44"/>
              <w:widowControl w:val="0"/>
              <w:spacing w:before="0" w:beforeAutospacing="0" w:after="0" w:afterAutospacing="0" w:line="400" w:lineRule="exact"/>
              <w:ind w:firstLine="45"/>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现场考察或标前答疑会</w:t>
            </w:r>
          </w:p>
        </w:tc>
        <w:tc>
          <w:tcPr>
            <w:tcW w:w="3244" w:type="pct"/>
            <w:vAlign w:val="center"/>
          </w:tcPr>
          <w:p w14:paraId="4B004425">
            <w:pPr>
              <w:spacing w:line="400" w:lineRule="exact"/>
              <w:ind w:firstLine="45"/>
              <w:rPr>
                <w:rFonts w:hint="eastAsia" w:ascii="宋体" w:hAnsi="宋体" w:eastAsia="宋体"/>
                <w:bCs/>
                <w:color w:val="auto"/>
                <w:sz w:val="24"/>
                <w:highlight w:val="none"/>
              </w:rPr>
            </w:pPr>
            <w:r>
              <w:rPr>
                <w:rFonts w:ascii="Segoe UI Symbol" w:hAnsi="Segoe UI Symbol" w:eastAsia="宋体" w:cs="Segoe UI Symbol"/>
                <w:bCs/>
                <w:color w:val="auto"/>
                <w:sz w:val="24"/>
                <w:szCs w:val="24"/>
                <w:highlight w:val="none"/>
              </w:rPr>
              <w:t>☑</w:t>
            </w:r>
            <w:r>
              <w:rPr>
                <w:rFonts w:hint="eastAsia" w:ascii="宋体" w:hAnsi="宋体" w:eastAsia="宋体"/>
                <w:color w:val="auto"/>
                <w:sz w:val="24"/>
                <w:highlight w:val="none"/>
              </w:rPr>
              <w:t>不组织或不召开</w:t>
            </w:r>
          </w:p>
          <w:p w14:paraId="644315AF">
            <w:pPr>
              <w:spacing w:line="400" w:lineRule="exact"/>
              <w:ind w:firstLine="45"/>
              <w:rPr>
                <w:rFonts w:hint="eastAsia" w:ascii="宋体" w:hAnsi="宋体" w:eastAsia="宋体"/>
                <w:bCs/>
                <w:color w:val="auto"/>
                <w:sz w:val="24"/>
                <w:highlight w:val="none"/>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统一组织或统一召开</w:t>
            </w:r>
          </w:p>
          <w:p w14:paraId="7CA3B708">
            <w:pPr>
              <w:spacing w:line="400" w:lineRule="exact"/>
              <w:ind w:firstLine="45"/>
              <w:rPr>
                <w:rFonts w:hint="eastAsia"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2FB1B3A8">
            <w:pPr>
              <w:spacing w:line="400" w:lineRule="exact"/>
              <w:ind w:firstLine="45"/>
              <w:rPr>
                <w:rFonts w:hint="eastAsia"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w:t>
            </w:r>
            <w:r>
              <w:rPr>
                <w:rFonts w:ascii="宋体" w:hAnsi="宋体" w:eastAsia="宋体"/>
                <w:bCs/>
                <w:color w:val="auto"/>
                <w:sz w:val="24"/>
                <w:highlight w:val="none"/>
                <w:u w:val="single"/>
              </w:rPr>
              <w:t xml:space="preserve">             </w:t>
            </w:r>
          </w:p>
          <w:p w14:paraId="4F45F059">
            <w:pPr>
              <w:spacing w:line="400" w:lineRule="exact"/>
              <w:ind w:firstLine="45"/>
              <w:rPr>
                <w:rFonts w:hint="eastAsia"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w:t>
            </w:r>
            <w:r>
              <w:rPr>
                <w:rFonts w:ascii="宋体" w:hAnsi="宋体" w:eastAsia="宋体"/>
                <w:bCs/>
                <w:color w:val="auto"/>
                <w:sz w:val="24"/>
                <w:highlight w:val="none"/>
                <w:u w:val="single"/>
              </w:rPr>
              <w:t xml:space="preserve">        </w:t>
            </w:r>
          </w:p>
          <w:p w14:paraId="492268A3">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hint="eastAsia" w:ascii="宋体" w:hAnsi="宋体" w:eastAsia="宋体"/>
                <w:bCs w:val="0"/>
                <w:color w:val="auto"/>
                <w:sz w:val="24"/>
                <w:highlight w:val="none"/>
              </w:rPr>
              <w:t>注：如投标人未参加采购人统一组织的现场考察或采购人统一召开的标前答疑会，视同放弃现场考察或标前答疑会，由此引起的一切责任由投标人自行承担。</w:t>
            </w:r>
          </w:p>
        </w:tc>
      </w:tr>
      <w:tr w14:paraId="4FDD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CBB4910">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6</w:t>
            </w:r>
            <w:r>
              <w:rPr>
                <w:rFonts w:ascii="宋体" w:hAnsi="宋体" w:eastAsia="宋体"/>
                <w:bCs/>
                <w:color w:val="auto"/>
                <w:kern w:val="2"/>
                <w:highlight w:val="none"/>
              </w:rPr>
              <w:t>.1</w:t>
            </w:r>
          </w:p>
        </w:tc>
        <w:tc>
          <w:tcPr>
            <w:tcW w:w="1174" w:type="pct"/>
            <w:vAlign w:val="center"/>
          </w:tcPr>
          <w:p w14:paraId="67EEE35F">
            <w:pPr>
              <w:pStyle w:val="44"/>
              <w:widowControl w:val="0"/>
              <w:spacing w:before="0" w:beforeAutospacing="0" w:after="0" w:afterAutospacing="0" w:line="400" w:lineRule="exact"/>
              <w:ind w:firstLine="45"/>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4" w:type="pct"/>
            <w:vAlign w:val="center"/>
          </w:tcPr>
          <w:p w14:paraId="52959764">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u w:val="single"/>
              </w:rPr>
              <w:t>2025</w:t>
            </w:r>
            <w:r>
              <w:rPr>
                <w:rFonts w:ascii="宋体" w:hAnsi="宋体" w:eastAsia="宋体"/>
                <w:b w:val="0"/>
                <w:color w:val="auto"/>
                <w:sz w:val="24"/>
                <w:highlight w:val="none"/>
              </w:rPr>
              <w:t>年</w:t>
            </w:r>
            <w:r>
              <w:rPr>
                <w:rFonts w:hint="eastAsia" w:ascii="宋体" w:hAnsi="宋体" w:eastAsia="宋体"/>
                <w:b w:val="0"/>
                <w:color w:val="auto"/>
                <w:sz w:val="24"/>
                <w:highlight w:val="none"/>
                <w:u w:val="single"/>
                <w:lang w:val="en-US" w:eastAsia="zh-CN"/>
              </w:rPr>
              <w:t>12</w:t>
            </w:r>
            <w:r>
              <w:rPr>
                <w:rFonts w:ascii="宋体" w:hAnsi="宋体" w:eastAsia="宋体"/>
                <w:b w:val="0"/>
                <w:color w:val="auto"/>
                <w:sz w:val="24"/>
                <w:highlight w:val="none"/>
              </w:rPr>
              <w:t>月</w:t>
            </w:r>
            <w:r>
              <w:rPr>
                <w:rFonts w:hint="eastAsia" w:ascii="宋体" w:hAnsi="宋体" w:eastAsia="宋体"/>
                <w:b w:val="0"/>
                <w:color w:val="auto"/>
                <w:sz w:val="24"/>
                <w:highlight w:val="none"/>
                <w:u w:val="single"/>
                <w:lang w:val="en-US" w:eastAsia="zh-CN"/>
              </w:rPr>
              <w:t>10</w:t>
            </w:r>
            <w:r>
              <w:rPr>
                <w:rFonts w:ascii="宋体" w:hAnsi="宋体" w:eastAsia="宋体"/>
                <w:b w:val="0"/>
                <w:color w:val="auto"/>
                <w:sz w:val="24"/>
                <w:highlight w:val="none"/>
              </w:rPr>
              <w:t>日</w:t>
            </w:r>
            <w:r>
              <w:rPr>
                <w:rFonts w:hint="eastAsia" w:ascii="宋体" w:hAnsi="宋体" w:eastAsia="宋体"/>
                <w:b w:val="0"/>
                <w:color w:val="auto"/>
                <w:sz w:val="24"/>
                <w:highlight w:val="none"/>
                <w:u w:val="single"/>
              </w:rPr>
              <w:t>17</w:t>
            </w:r>
            <w:r>
              <w:rPr>
                <w:rFonts w:ascii="宋体" w:hAnsi="宋体" w:eastAsia="宋体"/>
                <w:b w:val="0"/>
                <w:color w:val="auto"/>
                <w:sz w:val="24"/>
                <w:highlight w:val="none"/>
              </w:rPr>
              <w:t>时</w:t>
            </w:r>
            <w:r>
              <w:rPr>
                <w:rFonts w:hint="eastAsia" w:ascii="宋体" w:hAnsi="宋体" w:eastAsia="宋体"/>
                <w:b w:val="0"/>
                <w:color w:val="auto"/>
                <w:sz w:val="24"/>
                <w:highlight w:val="none"/>
                <w:u w:val="single"/>
              </w:rPr>
              <w:t>00</w:t>
            </w:r>
            <w:r>
              <w:rPr>
                <w:rFonts w:hint="eastAsia" w:ascii="宋体" w:hAnsi="宋体" w:eastAsia="宋体"/>
                <w:b w:val="0"/>
                <w:color w:val="auto"/>
                <w:sz w:val="24"/>
                <w:highlight w:val="none"/>
              </w:rPr>
              <w:t>分</w:t>
            </w:r>
          </w:p>
        </w:tc>
      </w:tr>
      <w:tr w14:paraId="53E58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79D67E4">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7</w:t>
            </w:r>
            <w:r>
              <w:rPr>
                <w:rFonts w:ascii="宋体" w:hAnsi="宋体" w:eastAsia="宋体"/>
                <w:bCs/>
                <w:color w:val="auto"/>
                <w:kern w:val="2"/>
                <w:highlight w:val="none"/>
              </w:rPr>
              <w:t>.1</w:t>
            </w:r>
          </w:p>
        </w:tc>
        <w:tc>
          <w:tcPr>
            <w:tcW w:w="1174" w:type="pct"/>
            <w:vAlign w:val="center"/>
          </w:tcPr>
          <w:p w14:paraId="3CA74987">
            <w:pPr>
              <w:pStyle w:val="44"/>
              <w:widowControl w:val="0"/>
              <w:spacing w:before="0" w:beforeAutospacing="0" w:after="0" w:afterAutospacing="0" w:line="400" w:lineRule="exact"/>
              <w:ind w:firstLine="45"/>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4" w:type="pct"/>
            <w:vAlign w:val="center"/>
          </w:tcPr>
          <w:p w14:paraId="78BCA69E">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ascii="Segoe UI Symbol" w:hAnsi="Segoe UI Symbol" w:eastAsia="宋体" w:cs="Segoe UI Symbol"/>
                <w:b w:val="0"/>
                <w:bCs w:val="0"/>
                <w:color w:val="auto"/>
                <w:sz w:val="24"/>
                <w:szCs w:val="24"/>
                <w:highlight w:val="none"/>
              </w:rPr>
              <w:t>☑</w:t>
            </w:r>
            <w:r>
              <w:rPr>
                <w:rFonts w:ascii="宋体" w:hAnsi="宋体" w:eastAsia="宋体"/>
                <w:b w:val="0"/>
                <w:color w:val="auto"/>
                <w:sz w:val="24"/>
                <w:highlight w:val="none"/>
              </w:rPr>
              <w:t>不分包     □分为</w:t>
            </w:r>
            <w:r>
              <w:rPr>
                <w:rFonts w:hint="eastAsia" w:ascii="宋体" w:hAnsi="宋体" w:eastAsia="宋体"/>
                <w:b w:val="0"/>
                <w:color w:val="auto"/>
                <w:sz w:val="24"/>
                <w:highlight w:val="none"/>
                <w:u w:val="single"/>
              </w:rPr>
              <w:t>/</w:t>
            </w:r>
            <w:r>
              <w:rPr>
                <w:rFonts w:ascii="宋体" w:hAnsi="宋体" w:eastAsia="宋体"/>
                <w:b w:val="0"/>
                <w:color w:val="auto"/>
                <w:sz w:val="24"/>
                <w:highlight w:val="none"/>
              </w:rPr>
              <w:t xml:space="preserve"> 个包</w:t>
            </w:r>
          </w:p>
          <w:p w14:paraId="7850EEC9">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w:t>
            </w:r>
            <w:r>
              <w:rPr>
                <w:rFonts w:ascii="宋体" w:hAnsi="宋体" w:eastAsia="宋体"/>
                <w:b w:val="0"/>
                <w:bCs w:val="0"/>
                <w:color w:val="auto"/>
                <w:sz w:val="24"/>
                <w:szCs w:val="18"/>
                <w:highlight w:val="none"/>
                <w:u w:val="single"/>
              </w:rPr>
              <w:t xml:space="preserve">  </w:t>
            </w:r>
          </w:p>
        </w:tc>
      </w:tr>
      <w:tr w14:paraId="7CC39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28080F90">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10</w:t>
            </w:r>
            <w:r>
              <w:rPr>
                <w:rFonts w:ascii="宋体" w:hAnsi="宋体" w:eastAsia="宋体"/>
                <w:bCs/>
                <w:color w:val="auto"/>
                <w:kern w:val="2"/>
                <w:highlight w:val="none"/>
              </w:rPr>
              <w:t>.1</w:t>
            </w:r>
          </w:p>
        </w:tc>
        <w:tc>
          <w:tcPr>
            <w:tcW w:w="1174" w:type="pct"/>
            <w:vAlign w:val="center"/>
          </w:tcPr>
          <w:p w14:paraId="5849C2CE">
            <w:pPr>
              <w:pStyle w:val="44"/>
              <w:widowControl w:val="0"/>
              <w:spacing w:before="0" w:beforeAutospacing="0" w:after="0" w:afterAutospacing="0" w:line="400" w:lineRule="exact"/>
              <w:ind w:firstLine="45"/>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4" w:type="pct"/>
            <w:vAlign w:val="center"/>
          </w:tcPr>
          <w:p w14:paraId="20C33B38">
            <w:pPr>
              <w:spacing w:line="400" w:lineRule="exact"/>
              <w:ind w:firstLine="45"/>
              <w:rPr>
                <w:rFonts w:hint="eastAsia"/>
                <w:color w:val="auto"/>
                <w:highlight w:val="none"/>
              </w:rPr>
            </w:pPr>
            <w:r>
              <w:rPr>
                <w:rFonts w:hint="eastAsia" w:ascii="宋体" w:hAnsi="宋体" w:eastAsia="宋体"/>
                <w:bCs/>
                <w:color w:val="auto"/>
                <w:kern w:val="0"/>
                <w:sz w:val="24"/>
                <w:szCs w:val="28"/>
                <w:highlight w:val="none"/>
              </w:rPr>
              <w:t>不收取</w:t>
            </w:r>
          </w:p>
        </w:tc>
      </w:tr>
      <w:tr w14:paraId="15B20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6EF373D">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11</w:t>
            </w:r>
            <w:r>
              <w:rPr>
                <w:rFonts w:ascii="宋体" w:hAnsi="宋体" w:eastAsia="宋体"/>
                <w:bCs/>
                <w:color w:val="auto"/>
                <w:kern w:val="2"/>
                <w:highlight w:val="none"/>
              </w:rPr>
              <w:t>.1</w:t>
            </w:r>
          </w:p>
        </w:tc>
        <w:tc>
          <w:tcPr>
            <w:tcW w:w="1174" w:type="pct"/>
            <w:vAlign w:val="center"/>
          </w:tcPr>
          <w:p w14:paraId="5227182B">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4" w:type="pct"/>
            <w:vAlign w:val="center"/>
          </w:tcPr>
          <w:p w14:paraId="40D710F3">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90</w:t>
            </w:r>
            <w:r>
              <w:rPr>
                <w:rFonts w:hint="eastAsia" w:ascii="宋体" w:hAnsi="宋体" w:eastAsia="宋体"/>
                <w:b w:val="0"/>
                <w:color w:val="auto"/>
                <w:sz w:val="24"/>
                <w:highlight w:val="none"/>
                <w:u w:val="single"/>
              </w:rPr>
              <w:t>个</w:t>
            </w:r>
            <w:r>
              <w:rPr>
                <w:rFonts w:hint="eastAsia" w:ascii="宋体" w:hAnsi="宋体" w:eastAsia="宋体"/>
                <w:b w:val="0"/>
                <w:color w:val="auto"/>
                <w:sz w:val="24"/>
                <w:highlight w:val="none"/>
              </w:rPr>
              <w:t>日历日</w:t>
            </w:r>
          </w:p>
        </w:tc>
      </w:tr>
      <w:tr w14:paraId="12875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8C0D6D7">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12.3</w:t>
            </w:r>
          </w:p>
        </w:tc>
        <w:tc>
          <w:tcPr>
            <w:tcW w:w="1174" w:type="pct"/>
            <w:vAlign w:val="center"/>
          </w:tcPr>
          <w:p w14:paraId="48FEE167">
            <w:pPr>
              <w:widowControl/>
              <w:spacing w:line="400" w:lineRule="exact"/>
              <w:ind w:firstLine="45"/>
              <w:jc w:val="left"/>
              <w:rPr>
                <w:rFonts w:hint="eastAsia" w:ascii="宋体" w:hAnsi="宋体" w:eastAsia="宋体"/>
                <w:color w:val="auto"/>
                <w:sz w:val="24"/>
                <w:highlight w:val="none"/>
              </w:rPr>
            </w:pPr>
            <w:r>
              <w:rPr>
                <w:rFonts w:hint="eastAsia" w:ascii="宋体" w:hAnsi="宋体" w:eastAsia="宋体" w:cs="宋体"/>
                <w:b/>
                <w:bCs/>
                <w:color w:val="auto"/>
                <w:sz w:val="24"/>
                <w:szCs w:val="24"/>
                <w:highlight w:val="none"/>
                <w:lang w:bidi="ar"/>
              </w:rPr>
              <w:t>提交投标文件截止时间和地点</w:t>
            </w:r>
          </w:p>
        </w:tc>
        <w:tc>
          <w:tcPr>
            <w:tcW w:w="3244" w:type="pct"/>
            <w:vAlign w:val="center"/>
          </w:tcPr>
          <w:p w14:paraId="751A0A73">
            <w:pPr>
              <w:autoSpaceDE w:val="0"/>
              <w:spacing w:line="400" w:lineRule="exact"/>
              <w:ind w:firstLine="45"/>
              <w:outlineLvl w:val="2"/>
              <w:rPr>
                <w:rFonts w:hint="eastAsia" w:ascii="宋体" w:hAnsi="宋体" w:eastAsia="宋体" w:cs="宋体"/>
                <w:bCs/>
                <w:color w:val="auto"/>
                <w:sz w:val="24"/>
                <w:szCs w:val="24"/>
                <w:highlight w:val="none"/>
                <w:u w:val="single"/>
              </w:rPr>
            </w:pPr>
            <w:r>
              <w:rPr>
                <w:rFonts w:hint="eastAsia" w:ascii="宋体" w:hAnsi="宋体" w:eastAsia="宋体" w:cs="宋体"/>
                <w:b/>
                <w:bCs/>
                <w:color w:val="auto"/>
                <w:sz w:val="24"/>
                <w:szCs w:val="24"/>
                <w:highlight w:val="none"/>
                <w:lang w:bidi="ar"/>
              </w:rPr>
              <w:t>时间：</w:t>
            </w:r>
            <w:r>
              <w:rPr>
                <w:rFonts w:hint="eastAsia" w:ascii="宋体" w:hAnsi="宋体" w:eastAsia="宋体"/>
                <w:color w:val="auto"/>
                <w:sz w:val="24"/>
                <w:highlight w:val="none"/>
                <w:u w:val="single"/>
              </w:rPr>
              <w:t>2025</w:t>
            </w:r>
            <w:r>
              <w:rPr>
                <w:rFonts w:ascii="宋体" w:hAnsi="宋体" w:eastAsia="宋体"/>
                <w:color w:val="auto"/>
                <w:sz w:val="24"/>
                <w:highlight w:val="none"/>
              </w:rPr>
              <w:t>年</w:t>
            </w:r>
            <w:r>
              <w:rPr>
                <w:rFonts w:hint="eastAsia" w:ascii="宋体" w:hAnsi="宋体" w:eastAsia="宋体"/>
                <w:color w:val="auto"/>
                <w:sz w:val="24"/>
                <w:highlight w:val="none"/>
                <w:u w:val="single"/>
                <w:lang w:val="en-US" w:eastAsia="zh-CN"/>
              </w:rPr>
              <w:t>12</w:t>
            </w:r>
            <w:r>
              <w:rPr>
                <w:rFonts w:ascii="宋体" w:hAnsi="宋体" w:eastAsia="宋体"/>
                <w:color w:val="auto"/>
                <w:sz w:val="24"/>
                <w:highlight w:val="none"/>
              </w:rPr>
              <w:t>月</w:t>
            </w:r>
            <w:r>
              <w:rPr>
                <w:rFonts w:hint="eastAsia" w:ascii="宋体" w:hAnsi="宋体" w:eastAsia="宋体"/>
                <w:color w:val="auto"/>
                <w:sz w:val="24"/>
                <w:highlight w:val="none"/>
                <w:u w:val="single"/>
                <w:lang w:val="en-US" w:eastAsia="zh-CN"/>
              </w:rPr>
              <w:t>16</w:t>
            </w:r>
            <w:r>
              <w:rPr>
                <w:rFonts w:ascii="宋体" w:hAnsi="宋体" w:eastAsia="宋体"/>
                <w:color w:val="auto"/>
                <w:sz w:val="24"/>
                <w:highlight w:val="none"/>
              </w:rPr>
              <w:t>日</w:t>
            </w:r>
            <w:r>
              <w:rPr>
                <w:rFonts w:hint="eastAsia" w:ascii="宋体" w:hAnsi="宋体" w:eastAsia="宋体" w:cs="宋体"/>
                <w:bCs/>
                <w:color w:val="auto"/>
                <w:sz w:val="24"/>
                <w:szCs w:val="24"/>
                <w:highlight w:val="none"/>
                <w:u w:val="single"/>
                <w:lang w:val="en-US" w:eastAsia="zh-CN" w:bidi="ar"/>
              </w:rPr>
              <w:t xml:space="preserve"> 15 </w:t>
            </w:r>
            <w:r>
              <w:rPr>
                <w:rFonts w:hint="eastAsia" w:ascii="宋体" w:hAnsi="宋体" w:eastAsia="宋体" w:cs="宋体"/>
                <w:bCs/>
                <w:color w:val="auto"/>
                <w:sz w:val="24"/>
                <w:szCs w:val="24"/>
                <w:highlight w:val="none"/>
                <w:u w:val="single"/>
                <w:lang w:bidi="ar"/>
              </w:rPr>
              <w:t>点</w:t>
            </w:r>
            <w:r>
              <w:rPr>
                <w:rFonts w:hint="eastAsia" w:ascii="宋体" w:hAnsi="宋体" w:eastAsia="宋体" w:cs="宋体"/>
                <w:bCs/>
                <w:color w:val="auto"/>
                <w:sz w:val="24"/>
                <w:szCs w:val="24"/>
                <w:highlight w:val="none"/>
                <w:u w:val="single"/>
                <w:lang w:val="en-US" w:eastAsia="zh-CN" w:bidi="ar"/>
              </w:rPr>
              <w:t>00</w:t>
            </w:r>
            <w:r>
              <w:rPr>
                <w:rFonts w:hint="eastAsia" w:ascii="宋体" w:hAnsi="宋体" w:eastAsia="宋体" w:cs="宋体"/>
                <w:bCs/>
                <w:color w:val="auto"/>
                <w:sz w:val="24"/>
                <w:szCs w:val="24"/>
                <w:highlight w:val="none"/>
                <w:u w:val="single"/>
                <w:lang w:bidi="ar"/>
              </w:rPr>
              <w:t>分</w:t>
            </w:r>
            <w:r>
              <w:rPr>
                <w:rFonts w:hint="eastAsia" w:ascii="宋体" w:hAnsi="宋体" w:eastAsia="宋体" w:cs="宋体"/>
                <w:bCs/>
                <w:color w:val="auto"/>
                <w:sz w:val="24"/>
                <w:szCs w:val="24"/>
                <w:highlight w:val="none"/>
                <w:u w:val="single"/>
                <w:lang w:bidi="ar"/>
              </w:rPr>
              <w:t>（</w:t>
            </w:r>
            <w:r>
              <w:rPr>
                <w:rFonts w:hint="eastAsia" w:ascii="宋体" w:hAnsi="宋体" w:eastAsia="宋体" w:cs="宋体"/>
                <w:bCs/>
                <w:color w:val="auto"/>
                <w:sz w:val="24"/>
                <w:szCs w:val="24"/>
                <w:highlight w:val="none"/>
                <w:lang w:bidi="ar"/>
              </w:rPr>
              <w:t>北京时间）</w:t>
            </w:r>
          </w:p>
          <w:p w14:paraId="030FDC69">
            <w:pPr>
              <w:autoSpaceDE w:val="0"/>
              <w:spacing w:line="400" w:lineRule="exact"/>
              <w:ind w:firstLine="45"/>
              <w:outlineLvl w:val="2"/>
              <w:rPr>
                <w:rFonts w:hint="eastAsia" w:ascii="宋体" w:hAnsi="宋体" w:eastAsia="宋体"/>
                <w:color w:val="auto"/>
                <w:sz w:val="24"/>
                <w:highlight w:val="none"/>
                <w:u w:val="single"/>
              </w:rPr>
            </w:pPr>
            <w:r>
              <w:rPr>
                <w:rFonts w:hint="eastAsia" w:ascii="宋体" w:hAnsi="宋体" w:eastAsia="宋体" w:cs="宋体"/>
                <w:b/>
                <w:bCs/>
                <w:color w:val="auto"/>
                <w:sz w:val="24"/>
                <w:szCs w:val="24"/>
                <w:highlight w:val="none"/>
                <w:lang w:bidi="ar"/>
              </w:rPr>
              <w:t>地点：</w:t>
            </w:r>
            <w:r>
              <w:rPr>
                <w:rFonts w:hint="eastAsia" w:asciiTheme="minorEastAsia" w:hAnsiTheme="minorEastAsia" w:eastAsiaTheme="minorEastAsia"/>
                <w:b/>
                <w:bCs/>
                <w:color w:val="auto"/>
                <w:sz w:val="24"/>
                <w:szCs w:val="18"/>
                <w:highlight w:val="none"/>
              </w:rPr>
              <w:t>滁州市醉翁西路369号，滁州市第一人民医院南区行政部五楼西招标办（请各投标人在投标文件提交截止时间前将投标文件递送或邮寄至滁州市第一人民医院南区行政部五楼西招标办，招标办联系电话：0550-3526032；采用邮寄方式提交，供应商请自行计算好邮件路途中所需的时间，逾期的概不接受）</w:t>
            </w:r>
            <w:r>
              <w:rPr>
                <w:rFonts w:hint="eastAsia" w:asciiTheme="minorEastAsia" w:hAnsiTheme="minorEastAsia" w:eastAsiaTheme="minorEastAsia"/>
                <w:color w:val="auto"/>
                <w:sz w:val="24"/>
                <w:szCs w:val="18"/>
                <w:highlight w:val="none"/>
              </w:rPr>
              <w:t>。</w:t>
            </w:r>
          </w:p>
        </w:tc>
      </w:tr>
      <w:tr w14:paraId="20BF9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DB035FC">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13.1</w:t>
            </w:r>
          </w:p>
        </w:tc>
        <w:tc>
          <w:tcPr>
            <w:tcW w:w="1174" w:type="pct"/>
            <w:shd w:val="clear" w:color="auto" w:fill="auto"/>
            <w:vAlign w:val="center"/>
          </w:tcPr>
          <w:p w14:paraId="1C140008">
            <w:pPr>
              <w:widowControl/>
              <w:spacing w:line="400" w:lineRule="exact"/>
              <w:ind w:firstLine="45"/>
              <w:jc w:val="left"/>
              <w:rPr>
                <w:rFonts w:hint="eastAsia"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开标时间和地点</w:t>
            </w:r>
          </w:p>
        </w:tc>
        <w:tc>
          <w:tcPr>
            <w:tcW w:w="3244" w:type="pct"/>
            <w:shd w:val="clear" w:color="auto" w:fill="auto"/>
            <w:vAlign w:val="center"/>
          </w:tcPr>
          <w:p w14:paraId="4651F392">
            <w:pPr>
              <w:spacing w:line="400" w:lineRule="exact"/>
              <w:ind w:firstLine="45"/>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开标时间：</w:t>
            </w:r>
            <w:r>
              <w:rPr>
                <w:rFonts w:hint="eastAsia" w:ascii="宋体" w:hAnsi="宋体" w:eastAsia="宋体" w:cs="宋体"/>
                <w:color w:val="auto"/>
                <w:sz w:val="24"/>
                <w:highlight w:val="none"/>
              </w:rPr>
              <w:t>2025年</w:t>
            </w: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16</w:t>
            </w:r>
            <w:r>
              <w:rPr>
                <w:rFonts w:hint="eastAsia" w:ascii="宋体" w:hAnsi="宋体" w:eastAsia="宋体" w:cs="宋体"/>
                <w:color w:val="auto"/>
                <w:sz w:val="24"/>
                <w:highlight w:val="none"/>
              </w:rPr>
              <w:t xml:space="preserve">日15 时00分 </w:t>
            </w:r>
            <w:r>
              <w:rPr>
                <w:rFonts w:hint="eastAsia" w:ascii="宋体" w:hAnsi="宋体" w:eastAsia="宋体" w:cs="宋体"/>
                <w:color w:val="auto"/>
                <w:sz w:val="24"/>
                <w:highlight w:val="none"/>
              </w:rPr>
              <w:t xml:space="preserve">  </w:t>
            </w:r>
          </w:p>
          <w:p w14:paraId="50F9F883">
            <w:pPr>
              <w:autoSpaceDE w:val="0"/>
              <w:spacing w:line="400" w:lineRule="exact"/>
              <w:ind w:firstLine="45"/>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kern w:val="0"/>
                <w:sz w:val="24"/>
                <w:highlight w:val="none"/>
              </w:rPr>
              <w:t>开标地点</w:t>
            </w:r>
            <w:r>
              <w:rPr>
                <w:rFonts w:hint="eastAsia" w:ascii="宋体" w:hAnsi="宋体" w:eastAsia="宋体" w:cs="宋体"/>
                <w:color w:val="auto"/>
                <w:sz w:val="24"/>
                <w:highlight w:val="none"/>
              </w:rPr>
              <w:t>：</w:t>
            </w:r>
            <w:r>
              <w:rPr>
                <w:rFonts w:hint="eastAsia" w:ascii="宋体" w:hAnsi="宋体" w:eastAsia="宋体"/>
                <w:color w:val="auto"/>
                <w:sz w:val="24"/>
                <w:szCs w:val="18"/>
                <w:highlight w:val="none"/>
              </w:rPr>
              <w:t>滁州市第一人民医院南区行政部六楼会议室</w:t>
            </w:r>
            <w:r>
              <w:rPr>
                <w:rFonts w:hint="eastAsia" w:ascii="宋体" w:hAnsi="宋体" w:eastAsia="宋体" w:cs="宋体"/>
                <w:color w:val="auto"/>
                <w:sz w:val="24"/>
                <w:highlight w:val="none"/>
              </w:rPr>
              <w:t>。</w:t>
            </w:r>
          </w:p>
        </w:tc>
      </w:tr>
      <w:tr w14:paraId="50CD9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1006F33">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14.1</w:t>
            </w:r>
          </w:p>
        </w:tc>
        <w:tc>
          <w:tcPr>
            <w:tcW w:w="1174" w:type="pct"/>
            <w:vAlign w:val="center"/>
          </w:tcPr>
          <w:p w14:paraId="38B6E3A6">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4" w:type="pct"/>
            <w:vAlign w:val="center"/>
          </w:tcPr>
          <w:p w14:paraId="5B483557">
            <w:pPr>
              <w:pStyle w:val="44"/>
              <w:widowControl w:val="0"/>
              <w:spacing w:before="0" w:beforeAutospacing="0" w:after="0" w:afterAutospacing="0" w:line="400" w:lineRule="exact"/>
              <w:ind w:firstLine="45"/>
              <w:jc w:val="both"/>
              <w:rPr>
                <w:rFonts w:hint="eastAsia" w:ascii="宋体" w:hAnsi="宋体" w:eastAsia="宋体"/>
                <w:b w:val="0"/>
                <w:bCs w:val="0"/>
                <w:color w:val="auto"/>
                <w:sz w:val="24"/>
                <w:highlight w:val="none"/>
              </w:rPr>
            </w:pPr>
            <w:r>
              <w:rPr>
                <w:rFonts w:ascii="Segoe UI Symbol" w:hAnsi="Segoe UI Symbol" w:eastAsia="宋体" w:cs="Segoe UI Symbol"/>
                <w:b w:val="0"/>
                <w:bCs w:val="0"/>
                <w:color w:val="auto"/>
                <w:sz w:val="24"/>
                <w:szCs w:val="24"/>
                <w:highlight w:val="none"/>
              </w:rPr>
              <w:t>☑</w:t>
            </w:r>
            <w:r>
              <w:rPr>
                <w:rFonts w:hint="eastAsia" w:ascii="宋体" w:hAnsi="宋体" w:eastAsia="宋体"/>
                <w:b w:val="0"/>
                <w:bCs w:val="0"/>
                <w:color w:val="auto"/>
                <w:sz w:val="24"/>
                <w:highlight w:val="none"/>
              </w:rPr>
              <w:t>采购人审查</w:t>
            </w:r>
          </w:p>
          <w:p w14:paraId="7C3322DE">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u w:val="single"/>
              </w:rPr>
            </w:pPr>
            <w:r>
              <w:rPr>
                <w:rFonts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0F954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B2BA4C0">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17</w:t>
            </w:r>
            <w:r>
              <w:rPr>
                <w:rFonts w:ascii="宋体" w:hAnsi="宋体" w:eastAsia="宋体"/>
                <w:bCs/>
                <w:color w:val="auto"/>
                <w:kern w:val="2"/>
                <w:highlight w:val="none"/>
              </w:rPr>
              <w:t>.2</w:t>
            </w:r>
          </w:p>
        </w:tc>
        <w:tc>
          <w:tcPr>
            <w:tcW w:w="1174" w:type="pct"/>
            <w:vAlign w:val="center"/>
          </w:tcPr>
          <w:p w14:paraId="545C4D70">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4" w:type="pct"/>
            <w:vAlign w:val="center"/>
          </w:tcPr>
          <w:p w14:paraId="7413ACE8">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ascii="Segoe UI Symbol" w:hAnsi="Segoe UI Symbol" w:eastAsia="宋体" w:cs="Segoe UI Symbol"/>
                <w:b w:val="0"/>
                <w:bCs w:val="0"/>
                <w:color w:val="auto"/>
                <w:sz w:val="24"/>
                <w:szCs w:val="24"/>
                <w:highlight w:val="none"/>
              </w:rPr>
              <w:t>☑</w:t>
            </w:r>
            <w:r>
              <w:rPr>
                <w:rFonts w:hint="eastAsia" w:ascii="宋体" w:hAnsi="宋体" w:eastAsia="宋体"/>
                <w:b w:val="0"/>
                <w:color w:val="auto"/>
                <w:sz w:val="24"/>
                <w:highlight w:val="none"/>
              </w:rPr>
              <w:t>最低评标价法</w:t>
            </w:r>
          </w:p>
          <w:p w14:paraId="31DD3DB6">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color w:val="auto"/>
                <w:sz w:val="24"/>
                <w:highlight w:val="none"/>
              </w:rPr>
              <w:t>综合评分法</w:t>
            </w:r>
          </w:p>
        </w:tc>
      </w:tr>
      <w:tr w14:paraId="69509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D842C04">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02999A4E">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3244" w:type="pct"/>
            <w:vAlign w:val="center"/>
          </w:tcPr>
          <w:p w14:paraId="59C157C2">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u w:val="single"/>
              </w:rPr>
            </w:pPr>
            <w:r>
              <w:rPr>
                <w:rFonts w:hint="eastAsia" w:ascii="宋体" w:hAnsi="宋体" w:eastAsia="宋体"/>
                <w:b w:val="0"/>
                <w:color w:val="auto"/>
                <w:sz w:val="24"/>
                <w:highlight w:val="none"/>
                <w:u w:val="single"/>
              </w:rPr>
              <w:t>3家</w:t>
            </w:r>
          </w:p>
        </w:tc>
      </w:tr>
      <w:tr w14:paraId="4D7B3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4525558">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75A1063B">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4" w:type="pct"/>
            <w:vAlign w:val="center"/>
          </w:tcPr>
          <w:p w14:paraId="3D78E98A">
            <w:pPr>
              <w:spacing w:line="400" w:lineRule="exact"/>
              <w:ind w:firstLine="45"/>
              <w:rPr>
                <w:rFonts w:hint="eastAsia"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sym w:font="Wingdings" w:char="00A8"/>
            </w:r>
            <w:r>
              <w:rPr>
                <w:rFonts w:hint="eastAsia" w:asciiTheme="minorEastAsia" w:hAnsiTheme="minorEastAsia" w:eastAsiaTheme="minorEastAsia"/>
                <w:color w:val="auto"/>
                <w:kern w:val="0"/>
                <w:sz w:val="24"/>
                <w:szCs w:val="24"/>
                <w:highlight w:val="none"/>
              </w:rPr>
              <w:t>采购人委托评标委员会确定</w:t>
            </w:r>
          </w:p>
          <w:p w14:paraId="62A42062">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ascii="Segoe UI Symbol" w:hAnsi="Segoe UI Symbol" w:cs="Segoe UI Symbol" w:eastAsiaTheme="minorEastAsia"/>
                <w:b w:val="0"/>
                <w:bCs w:val="0"/>
                <w:color w:val="auto"/>
                <w:kern w:val="2"/>
                <w:sz w:val="24"/>
                <w:szCs w:val="24"/>
                <w:highlight w:val="none"/>
              </w:rPr>
              <w:t>☑</w:t>
            </w:r>
            <w:r>
              <w:rPr>
                <w:rFonts w:hint="eastAsia" w:asciiTheme="minorEastAsia" w:hAnsiTheme="minorEastAsia" w:eastAsiaTheme="minorEastAsia"/>
                <w:b w:val="0"/>
                <w:bCs w:val="0"/>
                <w:color w:val="auto"/>
                <w:kern w:val="2"/>
                <w:sz w:val="24"/>
                <w:szCs w:val="24"/>
                <w:highlight w:val="none"/>
              </w:rPr>
              <w:t>采购人确定</w:t>
            </w:r>
          </w:p>
        </w:tc>
      </w:tr>
      <w:tr w14:paraId="3624A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A8133C0">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auto"/>
                <w:kern w:val="2"/>
                <w:highlight w:val="none"/>
              </w:rPr>
            </w:pPr>
            <w:r>
              <w:rPr>
                <w:rFonts w:ascii="宋体" w:hAnsi="宋体" w:eastAsia="宋体"/>
                <w:bCs/>
                <w:color w:val="auto"/>
                <w:kern w:val="2"/>
                <w:highlight w:val="none"/>
              </w:rPr>
              <w:t>2</w:t>
            </w:r>
            <w:r>
              <w:rPr>
                <w:rFonts w:hint="eastAsia" w:ascii="宋体" w:hAnsi="宋体" w:eastAsia="宋体"/>
                <w:bCs/>
                <w:color w:val="auto"/>
                <w:kern w:val="2"/>
                <w:highlight w:val="none"/>
              </w:rPr>
              <w:t>3</w:t>
            </w:r>
            <w:r>
              <w:rPr>
                <w:rFonts w:ascii="宋体" w:hAnsi="宋体" w:eastAsia="宋体"/>
                <w:bCs/>
                <w:color w:val="auto"/>
                <w:kern w:val="2"/>
                <w:highlight w:val="none"/>
              </w:rPr>
              <w:t>.3</w:t>
            </w:r>
          </w:p>
        </w:tc>
        <w:tc>
          <w:tcPr>
            <w:tcW w:w="1174" w:type="pct"/>
            <w:vAlign w:val="center"/>
          </w:tcPr>
          <w:p w14:paraId="19AB0267">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随中标结果公告同时公告的内容</w:t>
            </w:r>
          </w:p>
        </w:tc>
        <w:tc>
          <w:tcPr>
            <w:tcW w:w="3244" w:type="pct"/>
            <w:vAlign w:val="center"/>
          </w:tcPr>
          <w:p w14:paraId="5087DEFE">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（1）中标（成交）供应商的评审报价</w:t>
            </w:r>
            <w:r>
              <w:rPr>
                <w:rFonts w:hint="eastAsia" w:ascii="宋体" w:hAnsi="宋体" w:eastAsia="宋体"/>
                <w:bCs w:val="0"/>
                <w:color w:val="auto"/>
                <w:sz w:val="24"/>
                <w:highlight w:val="none"/>
              </w:rPr>
              <w:t>（适用最低评标价法）</w:t>
            </w:r>
          </w:p>
          <w:p w14:paraId="07828B3F">
            <w:pPr>
              <w:pStyle w:val="44"/>
              <w:widowControl w:val="0"/>
              <w:spacing w:before="0" w:beforeAutospacing="0" w:after="0" w:afterAutospacing="0" w:line="400" w:lineRule="exact"/>
              <w:ind w:firstLine="45"/>
              <w:jc w:val="both"/>
              <w:rPr>
                <w:rFonts w:hint="eastAsia" w:ascii="宋体" w:hAnsi="宋体" w:eastAsia="宋体"/>
                <w:b w:val="0"/>
                <w:bCs w:val="0"/>
                <w:color w:val="auto"/>
                <w:sz w:val="24"/>
                <w:szCs w:val="24"/>
                <w:highlight w:val="none"/>
              </w:rPr>
            </w:pPr>
            <w:r>
              <w:rPr>
                <w:rFonts w:hint="eastAsia" w:ascii="宋体" w:hAnsi="宋体" w:eastAsia="宋体"/>
                <w:b w:val="0"/>
                <w:color w:val="auto"/>
                <w:sz w:val="24"/>
                <w:highlight w:val="none"/>
              </w:rPr>
              <w:t>（2）中标（成交）供应商的评审总得分</w:t>
            </w:r>
            <w:r>
              <w:rPr>
                <w:rFonts w:hint="eastAsia" w:ascii="宋体" w:hAnsi="宋体" w:eastAsia="宋体"/>
                <w:bCs w:val="0"/>
                <w:color w:val="auto"/>
                <w:sz w:val="24"/>
                <w:highlight w:val="none"/>
              </w:rPr>
              <w:t>（适用综合评分法）</w:t>
            </w:r>
          </w:p>
        </w:tc>
      </w:tr>
      <w:tr w14:paraId="21CFA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67F39C0">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24</w:t>
            </w:r>
            <w:r>
              <w:rPr>
                <w:rFonts w:ascii="宋体" w:hAnsi="宋体" w:eastAsia="宋体"/>
                <w:bCs/>
                <w:color w:val="auto"/>
                <w:kern w:val="2"/>
                <w:highlight w:val="none"/>
              </w:rPr>
              <w:t>.1</w:t>
            </w:r>
          </w:p>
        </w:tc>
        <w:tc>
          <w:tcPr>
            <w:tcW w:w="1174" w:type="pct"/>
            <w:vAlign w:val="center"/>
          </w:tcPr>
          <w:p w14:paraId="49D756FD">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4" w:type="pct"/>
            <w:vAlign w:val="center"/>
          </w:tcPr>
          <w:p w14:paraId="6530F263">
            <w:pPr>
              <w:pStyle w:val="44"/>
              <w:widowControl w:val="0"/>
              <w:spacing w:before="0" w:beforeAutospacing="0" w:after="0" w:afterAutospacing="0" w:line="400" w:lineRule="exact"/>
              <w:ind w:firstLine="45"/>
              <w:jc w:val="both"/>
              <w:rPr>
                <w:rFonts w:hint="eastAsia" w:ascii="宋体" w:hAnsi="宋体" w:eastAsia="宋体"/>
                <w:b w:val="0"/>
                <w:bCs w:val="0"/>
                <w:color w:val="auto"/>
                <w:sz w:val="24"/>
                <w:szCs w:val="24"/>
                <w:highlight w:val="none"/>
              </w:rPr>
            </w:pPr>
            <w:r>
              <w:rPr>
                <w:rFonts w:ascii="Segoe UI Symbol" w:hAnsi="Segoe UI Symbol" w:eastAsia="宋体" w:cs="Segoe UI Symbol"/>
                <w:b w:val="0"/>
                <w:bCs w:val="0"/>
                <w:color w:val="auto"/>
                <w:sz w:val="24"/>
                <w:szCs w:val="24"/>
                <w:highlight w:val="none"/>
              </w:rPr>
              <w:t>☑</w:t>
            </w:r>
            <w:r>
              <w:rPr>
                <w:rFonts w:hint="eastAsia" w:ascii="宋体" w:hAnsi="宋体" w:eastAsia="宋体"/>
                <w:b w:val="0"/>
                <w:bCs w:val="0"/>
                <w:color w:val="auto"/>
                <w:sz w:val="24"/>
                <w:szCs w:val="24"/>
                <w:highlight w:val="none"/>
              </w:rPr>
              <w:t xml:space="preserve">书面 </w:t>
            </w:r>
            <w:r>
              <w:rPr>
                <w:rFonts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bCs w:val="0"/>
                <w:color w:val="auto"/>
                <w:sz w:val="24"/>
                <w:szCs w:val="24"/>
                <w:highlight w:val="none"/>
              </w:rPr>
              <w:t>数据电文</w:t>
            </w:r>
          </w:p>
        </w:tc>
      </w:tr>
      <w:tr w14:paraId="7F9FF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776E10A">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25</w:t>
            </w:r>
            <w:r>
              <w:rPr>
                <w:rFonts w:ascii="宋体" w:hAnsi="宋体" w:eastAsia="宋体"/>
                <w:bCs/>
                <w:color w:val="auto"/>
                <w:kern w:val="2"/>
                <w:highlight w:val="none"/>
              </w:rPr>
              <w:t>.1</w:t>
            </w:r>
          </w:p>
        </w:tc>
        <w:tc>
          <w:tcPr>
            <w:tcW w:w="1174" w:type="pct"/>
            <w:vAlign w:val="center"/>
          </w:tcPr>
          <w:p w14:paraId="66A40AC8">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4" w:type="pct"/>
            <w:vAlign w:val="center"/>
          </w:tcPr>
          <w:p w14:paraId="3E3E85CE">
            <w:pPr>
              <w:pStyle w:val="21"/>
              <w:spacing w:before="0" w:beforeAutospacing="0" w:after="0" w:afterAutospacing="0" w:line="400" w:lineRule="exact"/>
              <w:ind w:firstLine="45"/>
              <w:jc w:val="both"/>
              <w:rPr>
                <w:rFonts w:hint="eastAsia" w:asciiTheme="minorEastAsia" w:hAnsiTheme="minorEastAsia" w:eastAsiaTheme="minorEastAsia"/>
                <w:color w:val="auto"/>
                <w:kern w:val="2"/>
                <w:szCs w:val="24"/>
                <w:highlight w:val="none"/>
              </w:rPr>
            </w:pPr>
            <w:r>
              <w:rPr>
                <w:rFonts w:hint="eastAsia" w:ascii="宋体" w:hAnsi="宋体" w:eastAsia="宋体" w:cs="宋体"/>
                <w:color w:val="auto"/>
                <w:szCs w:val="24"/>
                <w:highlight w:val="none"/>
              </w:rPr>
              <w:t>投标人自行在滁州市第一人民医院官网查看</w:t>
            </w:r>
          </w:p>
        </w:tc>
      </w:tr>
      <w:tr w14:paraId="2669C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382A5455">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26</w:t>
            </w:r>
            <w:r>
              <w:rPr>
                <w:rFonts w:ascii="宋体" w:hAnsi="宋体" w:eastAsia="宋体"/>
                <w:bCs/>
                <w:color w:val="auto"/>
                <w:kern w:val="2"/>
                <w:highlight w:val="none"/>
              </w:rPr>
              <w:t>.1</w:t>
            </w:r>
          </w:p>
        </w:tc>
        <w:tc>
          <w:tcPr>
            <w:tcW w:w="1174" w:type="pct"/>
            <w:vAlign w:val="center"/>
          </w:tcPr>
          <w:p w14:paraId="4AF218EB">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4" w:type="pct"/>
          </w:tcPr>
          <w:p w14:paraId="44B2D99F">
            <w:pPr>
              <w:spacing w:line="400" w:lineRule="exact"/>
              <w:ind w:firstLine="45"/>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1C5371F8">
            <w:pPr>
              <w:spacing w:line="400" w:lineRule="exact"/>
              <w:ind w:firstLine="45"/>
              <w:rPr>
                <w:rFonts w:hint="eastAsia" w:ascii="宋体" w:hAnsi="宋体" w:eastAsia="宋体"/>
                <w:bCs/>
                <w:color w:val="auto"/>
                <w:kern w:val="0"/>
                <w:sz w:val="24"/>
                <w:szCs w:val="28"/>
                <w:highlight w:val="none"/>
              </w:rPr>
            </w:pPr>
            <w:r>
              <w:rPr>
                <w:rFonts w:ascii="Segoe UI Symbol" w:hAnsi="Segoe UI Symbol" w:eastAsia="宋体" w:cs="Segoe UI Symbol"/>
                <w:bCs/>
                <w:color w:val="auto"/>
                <w:kern w:val="0"/>
                <w:sz w:val="24"/>
                <w:szCs w:val="28"/>
                <w:highlight w:val="none"/>
              </w:rPr>
              <w:t>☑</w:t>
            </w:r>
            <w:r>
              <w:rPr>
                <w:rFonts w:hint="eastAsia" w:ascii="宋体" w:hAnsi="宋体" w:eastAsia="宋体"/>
                <w:bCs/>
                <w:color w:val="auto"/>
                <w:kern w:val="0"/>
                <w:sz w:val="24"/>
                <w:szCs w:val="28"/>
                <w:highlight w:val="none"/>
              </w:rPr>
              <w:t>免收</w:t>
            </w:r>
          </w:p>
          <w:p w14:paraId="4847FC54">
            <w:pPr>
              <w:spacing w:line="400" w:lineRule="exact"/>
              <w:ind w:firstLine="45"/>
              <w:rPr>
                <w:rFonts w:hint="eastAsia"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rPr>
              <w:t>/</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0CA7F610">
            <w:pPr>
              <w:spacing w:line="400" w:lineRule="exact"/>
              <w:ind w:firstLine="45"/>
              <w:rPr>
                <w:rFonts w:hint="eastAsia"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    </w:t>
            </w:r>
            <w:r>
              <w:rPr>
                <w:rFonts w:hint="eastAsia" w:ascii="宋体" w:hAnsi="宋体" w:eastAsia="宋体"/>
                <w:bCs/>
                <w:color w:val="auto"/>
                <w:kern w:val="0"/>
                <w:sz w:val="24"/>
                <w:szCs w:val="28"/>
                <w:highlight w:val="none"/>
              </w:rPr>
              <w:t>元</w:t>
            </w:r>
          </w:p>
          <w:p w14:paraId="22978B99">
            <w:pPr>
              <w:spacing w:line="400" w:lineRule="exact"/>
              <w:ind w:firstLine="45"/>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2AD32082">
            <w:pPr>
              <w:spacing w:line="400" w:lineRule="exact"/>
              <w:ind w:firstLine="45"/>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0092F059">
            <w:pPr>
              <w:spacing w:line="400" w:lineRule="exact"/>
              <w:ind w:firstLine="45"/>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（3）收取单位：</w:t>
            </w:r>
            <w:r>
              <w:rPr>
                <w:rFonts w:hint="eastAsia" w:ascii="宋体" w:hAnsi="宋体" w:eastAsia="宋体"/>
                <w:bCs/>
                <w:color w:val="auto"/>
                <w:kern w:val="0"/>
                <w:sz w:val="24"/>
                <w:szCs w:val="28"/>
                <w:highlight w:val="none"/>
                <w:u w:val="single"/>
              </w:rPr>
              <w:t xml:space="preserve">    /    </w:t>
            </w:r>
            <w:r>
              <w:rPr>
                <w:rFonts w:hint="eastAsia" w:ascii="宋体" w:hAnsi="宋体" w:eastAsia="宋体"/>
                <w:bCs/>
                <w:color w:val="auto"/>
                <w:kern w:val="0"/>
                <w:sz w:val="24"/>
                <w:szCs w:val="28"/>
                <w:highlight w:val="none"/>
              </w:rPr>
              <w:t xml:space="preserve">              </w:t>
            </w:r>
          </w:p>
          <w:p w14:paraId="201B46FF">
            <w:pPr>
              <w:spacing w:line="400" w:lineRule="exact"/>
              <w:ind w:firstLine="45"/>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（4）收取账号：</w:t>
            </w:r>
            <w:r>
              <w:rPr>
                <w:rFonts w:hint="eastAsia" w:ascii="宋体" w:hAnsi="宋体" w:eastAsia="宋体"/>
                <w:bCs/>
                <w:color w:val="auto"/>
                <w:kern w:val="0"/>
                <w:sz w:val="24"/>
                <w:szCs w:val="28"/>
                <w:highlight w:val="none"/>
                <w:u w:val="single"/>
              </w:rPr>
              <w:t xml:space="preserve">   /     </w:t>
            </w:r>
          </w:p>
          <w:p w14:paraId="517F751C">
            <w:pPr>
              <w:spacing w:line="400" w:lineRule="exact"/>
              <w:ind w:firstLine="45"/>
              <w:rPr>
                <w:rFonts w:hint="eastAsia" w:ascii="宋体" w:hAnsi="宋体" w:eastAsia="宋体"/>
                <w:color w:val="auto"/>
                <w:sz w:val="24"/>
                <w:highlight w:val="none"/>
              </w:rPr>
            </w:pPr>
            <w:r>
              <w:rPr>
                <w:rFonts w:hint="eastAsia" w:ascii="宋体" w:hAnsi="宋体" w:eastAsia="宋体"/>
                <w:bCs/>
                <w:color w:val="auto"/>
                <w:kern w:val="0"/>
                <w:sz w:val="24"/>
                <w:szCs w:val="28"/>
                <w:highlight w:val="none"/>
              </w:rPr>
              <w:t>（5）</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      </w:t>
            </w:r>
          </w:p>
          <w:p w14:paraId="21BC9BA9">
            <w:pPr>
              <w:spacing w:line="400" w:lineRule="exact"/>
              <w:ind w:firstLine="45"/>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5BAC7484">
            <w:pPr>
              <w:spacing w:line="400" w:lineRule="exact"/>
              <w:ind w:firstLine="45"/>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01FEC8CB">
            <w:pPr>
              <w:spacing w:line="400" w:lineRule="exact"/>
              <w:ind w:firstLine="45"/>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14A83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435A43E4">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27</w:t>
            </w:r>
            <w:r>
              <w:rPr>
                <w:rFonts w:ascii="宋体" w:hAnsi="宋体" w:eastAsia="宋体"/>
                <w:bCs/>
                <w:color w:val="auto"/>
                <w:kern w:val="2"/>
                <w:highlight w:val="none"/>
              </w:rPr>
              <w:t>.1</w:t>
            </w:r>
          </w:p>
        </w:tc>
        <w:tc>
          <w:tcPr>
            <w:tcW w:w="1174" w:type="pct"/>
            <w:vAlign w:val="center"/>
          </w:tcPr>
          <w:p w14:paraId="78EB4FAD">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签订合同和合同公告时间</w:t>
            </w:r>
          </w:p>
        </w:tc>
        <w:tc>
          <w:tcPr>
            <w:tcW w:w="3244" w:type="pct"/>
          </w:tcPr>
          <w:p w14:paraId="765C957B">
            <w:pPr>
              <w:pStyle w:val="21"/>
              <w:widowControl/>
              <w:spacing w:before="0" w:beforeAutospacing="0" w:after="0" w:afterAutospacing="0" w:line="400" w:lineRule="exact"/>
              <w:ind w:firstLine="45"/>
              <w:rPr>
                <w:rFonts w:hint="eastAsia" w:ascii="宋体" w:hAnsi="宋体" w:eastAsia="宋体" w:cs="宋体"/>
                <w:color w:val="auto"/>
                <w:szCs w:val="24"/>
                <w:highlight w:val="none"/>
              </w:rPr>
            </w:pPr>
            <w:r>
              <w:rPr>
                <w:rFonts w:hint="eastAsia" w:ascii="宋体" w:hAnsi="宋体" w:eastAsia="宋体" w:cs="宋体"/>
                <w:color w:val="auto"/>
                <w:szCs w:val="24"/>
                <w:highlight w:val="none"/>
              </w:rPr>
              <w:t>（1）采购人与中标人应当自发出中标通知书之日起7个工作日内签订合同。</w:t>
            </w:r>
          </w:p>
          <w:p w14:paraId="58DF96C7">
            <w:pPr>
              <w:pStyle w:val="21"/>
              <w:widowControl/>
              <w:spacing w:before="0" w:beforeAutospacing="0" w:after="0" w:afterAutospacing="0" w:line="400" w:lineRule="exact"/>
              <w:ind w:firstLine="45"/>
              <w:rPr>
                <w:rFonts w:hint="eastAsia" w:ascii="宋体" w:hAnsi="宋体" w:eastAsia="宋体"/>
                <w:b/>
                <w:bCs/>
                <w:color w:val="auto"/>
                <w:szCs w:val="24"/>
                <w:highlight w:val="none"/>
              </w:rPr>
            </w:pPr>
            <w:r>
              <w:rPr>
                <w:rFonts w:hint="eastAsia" w:ascii="宋体" w:hAnsi="宋体" w:eastAsia="宋体" w:cs="宋体"/>
                <w:color w:val="auto"/>
                <w:szCs w:val="24"/>
                <w:highlight w:val="none"/>
              </w:rPr>
              <w:t>（2）采购人与中标人</w:t>
            </w:r>
            <w:r>
              <w:rPr>
                <w:rFonts w:ascii="宋体" w:hAnsi="宋体" w:eastAsia="宋体" w:cs="宋体"/>
                <w:color w:val="auto"/>
                <w:szCs w:val="24"/>
                <w:highlight w:val="none"/>
              </w:rPr>
              <w:t>不得擅自变更合同。</w:t>
            </w:r>
          </w:p>
        </w:tc>
      </w:tr>
      <w:tr w14:paraId="62E4E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bottom w:val="single" w:color="auto" w:sz="4" w:space="0"/>
            </w:tcBorders>
            <w:vAlign w:val="center"/>
          </w:tcPr>
          <w:p w14:paraId="15450AEB">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28</w:t>
            </w:r>
            <w:r>
              <w:rPr>
                <w:rFonts w:ascii="宋体" w:hAnsi="宋体" w:eastAsia="宋体"/>
                <w:bCs/>
                <w:color w:val="auto"/>
                <w:kern w:val="2"/>
                <w:highlight w:val="none"/>
              </w:rPr>
              <w:t>.1</w:t>
            </w:r>
          </w:p>
        </w:tc>
        <w:tc>
          <w:tcPr>
            <w:tcW w:w="1174" w:type="pct"/>
            <w:tcBorders>
              <w:bottom w:val="single" w:color="auto" w:sz="4" w:space="0"/>
            </w:tcBorders>
            <w:vAlign w:val="center"/>
          </w:tcPr>
          <w:p w14:paraId="14C09F95">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代理费用</w:t>
            </w:r>
          </w:p>
        </w:tc>
        <w:tc>
          <w:tcPr>
            <w:tcW w:w="3244" w:type="pct"/>
            <w:tcBorders>
              <w:bottom w:val="single" w:color="auto" w:sz="4" w:space="0"/>
            </w:tcBorders>
            <w:vAlign w:val="center"/>
          </w:tcPr>
          <w:p w14:paraId="3CB6D22C">
            <w:pPr>
              <w:spacing w:line="400" w:lineRule="exact"/>
              <w:ind w:firstLine="45"/>
              <w:rPr>
                <w:rFonts w:hint="eastAsia" w:ascii="宋体" w:hAnsi="宋体" w:eastAsia="宋体" w:cs="宋体"/>
                <w:color w:val="auto"/>
                <w:sz w:val="24"/>
                <w:szCs w:val="24"/>
                <w:highlight w:val="none"/>
              </w:rPr>
            </w:pPr>
            <w:r>
              <w:rPr>
                <w:rFonts w:hint="eastAsia" w:ascii="宋体" w:hAnsi="宋体" w:eastAsia="宋体"/>
                <w:bCs/>
                <w:color w:val="auto"/>
                <w:kern w:val="0"/>
                <w:sz w:val="24"/>
                <w:szCs w:val="28"/>
                <w:highlight w:val="none"/>
              </w:rPr>
              <w:t>（1）</w:t>
            </w:r>
            <w:r>
              <w:rPr>
                <w:rFonts w:ascii="宋体" w:hAnsi="宋体" w:eastAsia="宋体"/>
                <w:bCs/>
                <w:color w:val="auto"/>
                <w:kern w:val="0"/>
                <w:sz w:val="24"/>
                <w:szCs w:val="28"/>
                <w:highlight w:val="none"/>
              </w:rPr>
              <w:t>收费对象</w:t>
            </w:r>
            <w:r>
              <w:rPr>
                <w:rFonts w:ascii="宋体" w:hAnsi="宋体" w:eastAsia="宋体" w:cs="宋体"/>
                <w:color w:val="auto"/>
                <w:spacing w:val="-12"/>
                <w:sz w:val="24"/>
                <w:szCs w:val="24"/>
                <w:highlight w:val="none"/>
              </w:rPr>
              <w:t>：</w:t>
            </w:r>
            <w:r>
              <w:rPr>
                <w:rFonts w:hint="eastAsia" w:ascii="宋体" w:hAnsi="宋体" w:eastAsia="宋体"/>
                <w:bCs/>
                <w:color w:val="auto"/>
                <w:kern w:val="0"/>
                <w:sz w:val="24"/>
                <w:szCs w:val="28"/>
                <w:highlight w:val="none"/>
              </w:rPr>
              <w:sym w:font="Wingdings" w:char="00A8"/>
            </w:r>
            <w:r>
              <w:rPr>
                <w:rFonts w:ascii="宋体" w:hAnsi="宋体" w:eastAsia="宋体" w:cs="宋体"/>
                <w:color w:val="auto"/>
                <w:spacing w:val="14"/>
                <w:sz w:val="24"/>
                <w:szCs w:val="24"/>
                <w:highlight w:val="none"/>
              </w:rPr>
              <w:t>采购人</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14"/>
                <w:sz w:val="24"/>
                <w:szCs w:val="24"/>
                <w:highlight w:val="none"/>
              </w:rPr>
              <w:t xml:space="preserve">  </w:t>
            </w:r>
            <w:r>
              <w:rPr>
                <w:rFonts w:hint="eastAsia" w:ascii="宋体" w:hAnsi="宋体" w:eastAsia="宋体"/>
                <w:bCs/>
                <w:color w:val="auto"/>
                <w:kern w:val="0"/>
                <w:sz w:val="24"/>
                <w:szCs w:val="28"/>
                <w:highlight w:val="none"/>
              </w:rPr>
              <w:sym w:font="Wingdings" w:char="00FE"/>
            </w:r>
            <w:r>
              <w:rPr>
                <w:rFonts w:ascii="宋体" w:hAnsi="宋体" w:eastAsia="宋体" w:cs="宋体"/>
                <w:color w:val="auto"/>
                <w:spacing w:val="14"/>
                <w:sz w:val="24"/>
                <w:szCs w:val="24"/>
                <w:highlight w:val="none"/>
              </w:rPr>
              <w:t>中标人</w:t>
            </w:r>
          </w:p>
          <w:p w14:paraId="4CA9C0EB">
            <w:pPr>
              <w:spacing w:line="400" w:lineRule="exact"/>
              <w:ind w:firstLine="45"/>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ascii="宋体" w:hAnsi="宋体" w:eastAsia="宋体"/>
                <w:bCs/>
                <w:color w:val="auto"/>
                <w:kern w:val="0"/>
                <w:sz w:val="24"/>
                <w:szCs w:val="28"/>
                <w:highlight w:val="none"/>
              </w:rPr>
              <w:t>收取方式</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现金或银行转账</w:t>
            </w:r>
          </w:p>
          <w:p w14:paraId="275AD688">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hint="eastAsia" w:ascii="宋体" w:hAnsi="宋体" w:eastAsia="宋体"/>
                <w:b w:val="0"/>
                <w:bCs w:val="0"/>
                <w:color w:val="auto"/>
                <w:sz w:val="24"/>
                <w:highlight w:val="none"/>
              </w:rPr>
              <w:t>（3）</w:t>
            </w:r>
            <w:r>
              <w:rPr>
                <w:rFonts w:ascii="宋体" w:hAnsi="宋体" w:eastAsia="宋体"/>
                <w:b w:val="0"/>
                <w:color w:val="auto"/>
                <w:sz w:val="24"/>
                <w:highlight w:val="none"/>
              </w:rPr>
              <w:t>收费标准：</w:t>
            </w:r>
            <w:r>
              <w:rPr>
                <w:rFonts w:hint="eastAsia" w:ascii="宋体" w:hAnsi="宋体" w:eastAsia="宋体" w:cs="宋体"/>
                <w:b w:val="0"/>
                <w:bCs w:val="0"/>
                <w:color w:val="auto"/>
                <w:kern w:val="2"/>
                <w:sz w:val="24"/>
                <w:szCs w:val="24"/>
                <w:highlight w:val="none"/>
                <w:u w:val="single"/>
                <w:lang w:val="en-US" w:eastAsia="zh-CN" w:bidi="ar-SA"/>
              </w:rPr>
              <w:t>750元</w:t>
            </w:r>
            <w:r>
              <w:rPr>
                <w:rFonts w:hint="eastAsia" w:ascii="宋体" w:hAnsi="宋体" w:eastAsia="宋体" w:cs="宋体"/>
                <w:color w:val="auto"/>
                <w:sz w:val="24"/>
                <w:szCs w:val="24"/>
                <w:highlight w:val="none"/>
                <w:u w:val="single"/>
              </w:rPr>
              <w:t>（评审费另计，以实际发生为准）</w:t>
            </w:r>
          </w:p>
        </w:tc>
      </w:tr>
      <w:tr w14:paraId="4B198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left w:val="single" w:color="auto" w:sz="4" w:space="0"/>
              <w:bottom w:val="single" w:color="auto" w:sz="4" w:space="0"/>
            </w:tcBorders>
            <w:vAlign w:val="center"/>
          </w:tcPr>
          <w:p w14:paraId="03690C83">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31</w:t>
            </w:r>
            <w:r>
              <w:rPr>
                <w:rFonts w:ascii="宋体" w:hAnsi="宋体" w:eastAsia="宋体"/>
                <w:bCs/>
                <w:color w:val="auto"/>
                <w:kern w:val="2"/>
                <w:highlight w:val="none"/>
              </w:rPr>
              <w:t>.</w:t>
            </w:r>
            <w:r>
              <w:rPr>
                <w:rFonts w:hint="eastAsia" w:ascii="宋体" w:hAnsi="宋体" w:eastAsia="宋体"/>
                <w:bCs/>
                <w:color w:val="auto"/>
                <w:kern w:val="2"/>
                <w:highlight w:val="none"/>
              </w:rPr>
              <w:t>3</w:t>
            </w:r>
          </w:p>
        </w:tc>
        <w:tc>
          <w:tcPr>
            <w:tcW w:w="1174" w:type="pct"/>
            <w:tcBorders>
              <w:top w:val="single" w:color="auto" w:sz="4" w:space="0"/>
              <w:bottom w:val="single" w:color="auto" w:sz="4" w:space="0"/>
            </w:tcBorders>
            <w:vAlign w:val="center"/>
          </w:tcPr>
          <w:p w14:paraId="7011C00C">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4" w:type="pct"/>
            <w:tcBorders>
              <w:top w:val="single" w:color="auto" w:sz="4" w:space="0"/>
              <w:bottom w:val="single" w:color="auto" w:sz="4" w:space="0"/>
              <w:right w:val="single" w:color="auto" w:sz="4" w:space="0"/>
            </w:tcBorders>
            <w:vAlign w:val="center"/>
          </w:tcPr>
          <w:p w14:paraId="740190FB">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递交方式：</w:t>
            </w:r>
            <w:r>
              <w:rPr>
                <w:rFonts w:hint="eastAsia" w:ascii="宋体" w:hAnsi="宋体" w:eastAsia="宋体"/>
                <w:b w:val="0"/>
                <w:color w:val="auto"/>
                <w:sz w:val="24"/>
                <w:highlight w:val="none"/>
                <w:u w:val="single"/>
              </w:rPr>
              <w:t>书面形式或通过电子邮件递交。如投标人对招标文件有质疑，可以依据中华人民共和国财政部令第 94 号《政府采购质疑和投诉办法》规定，以书面形式向采购人、采购代理机构提出质疑，也可以通过电子邮件（</w:t>
            </w:r>
            <w:r>
              <w:rPr>
                <w:rFonts w:hint="eastAsia" w:ascii="宋体" w:hAnsi="宋体" w:eastAsia="宋体"/>
                <w:b w:val="0"/>
                <w:color w:val="auto"/>
                <w:sz w:val="24"/>
                <w:highlight w:val="none"/>
                <w:u w:val="single"/>
                <w:lang w:val="en-US" w:eastAsia="zh-CN"/>
              </w:rPr>
              <w:t>1225240102</w:t>
            </w:r>
            <w:r>
              <w:rPr>
                <w:rFonts w:hint="eastAsia" w:ascii="宋体" w:hAnsi="宋体" w:eastAsia="宋体"/>
                <w:b w:val="0"/>
                <w:color w:val="auto"/>
                <w:sz w:val="24"/>
                <w:highlight w:val="none"/>
                <w:u w:val="single"/>
              </w:rPr>
              <w:t xml:space="preserve">@qq.com）递交质疑。 </w:t>
            </w:r>
          </w:p>
          <w:p w14:paraId="7B23DA80">
            <w:pPr>
              <w:spacing w:line="400" w:lineRule="exact"/>
              <w:ind w:firstLine="45"/>
              <w:rPr>
                <w:rFonts w:hint="eastAsia" w:ascii="仿宋" w:hAnsi="仿宋" w:eastAsia="仿宋" w:cs="仿宋"/>
                <w:color w:val="auto"/>
                <w:sz w:val="28"/>
                <w:szCs w:val="28"/>
                <w:highlight w:val="none"/>
              </w:rPr>
            </w:pPr>
            <w:r>
              <w:rPr>
                <w:rFonts w:hint="eastAsia" w:ascii="宋体" w:hAnsi="宋体" w:eastAsia="宋体"/>
                <w:color w:val="auto"/>
                <w:sz w:val="24"/>
                <w:highlight w:val="none"/>
              </w:rPr>
              <w:t>接收部门：</w:t>
            </w:r>
            <w:r>
              <w:rPr>
                <w:rFonts w:hint="eastAsia" w:ascii="宋体" w:hAnsi="宋体" w:eastAsia="宋体"/>
                <w:bCs/>
                <w:color w:val="auto"/>
                <w:kern w:val="0"/>
                <w:sz w:val="24"/>
                <w:szCs w:val="28"/>
                <w:highlight w:val="none"/>
                <w:u w:val="single"/>
              </w:rPr>
              <w:t>滁州市第一人民医院、安徽百士德工程咨询有限公司</w:t>
            </w:r>
          </w:p>
          <w:p w14:paraId="2982614E">
            <w:pPr>
              <w:spacing w:line="400" w:lineRule="exact"/>
              <w:ind w:firstLine="45"/>
              <w:rPr>
                <w:rFonts w:hint="eastAsia" w:ascii="宋体" w:hAnsi="宋体" w:eastAsia="宋体"/>
                <w:color w:val="auto"/>
                <w:sz w:val="24"/>
                <w:szCs w:val="18"/>
                <w:highlight w:val="none"/>
              </w:rPr>
            </w:pPr>
            <w:r>
              <w:rPr>
                <w:rFonts w:ascii="宋体" w:hAnsi="宋体" w:eastAsia="宋体"/>
                <w:color w:val="auto"/>
                <w:sz w:val="24"/>
                <w:highlight w:val="none"/>
              </w:rPr>
              <w:t>联系电话：</w:t>
            </w:r>
            <w:r>
              <w:rPr>
                <w:rFonts w:hint="eastAsia" w:ascii="宋体" w:hAnsi="宋体" w:eastAsia="宋体"/>
                <w:color w:val="auto"/>
                <w:sz w:val="24"/>
                <w:szCs w:val="24"/>
                <w:highlight w:val="none"/>
                <w:u w:val="single"/>
                <w:lang w:bidi="ar"/>
              </w:rPr>
              <w:t>0550-3526032</w:t>
            </w:r>
            <w:r>
              <w:rPr>
                <w:rFonts w:hint="eastAsia" w:ascii="宋体" w:hAnsi="宋体" w:eastAsia="宋体"/>
                <w:bCs/>
                <w:color w:val="auto"/>
                <w:kern w:val="0"/>
                <w:sz w:val="24"/>
                <w:szCs w:val="28"/>
                <w:highlight w:val="none"/>
                <w:u w:val="single"/>
              </w:rPr>
              <w:t>、</w:t>
            </w:r>
            <w:r>
              <w:rPr>
                <w:rFonts w:hint="eastAsia" w:ascii="宋体" w:hAnsi="宋体" w:eastAsia="宋体"/>
                <w:color w:val="auto"/>
                <w:sz w:val="24"/>
                <w:szCs w:val="24"/>
                <w:highlight w:val="none"/>
                <w:u w:val="single"/>
                <w:lang w:bidi="ar"/>
              </w:rPr>
              <w:t>0550-3011399</w:t>
            </w:r>
          </w:p>
          <w:p w14:paraId="09DBAA1B">
            <w:pPr>
              <w:spacing w:line="400" w:lineRule="exact"/>
              <w:ind w:firstLine="45"/>
              <w:rPr>
                <w:rFonts w:hint="eastAsia" w:ascii="宋体" w:hAnsi="宋体" w:eastAsia="宋体"/>
                <w:color w:val="auto"/>
                <w:sz w:val="24"/>
                <w:highlight w:val="none"/>
              </w:rPr>
            </w:pPr>
            <w:r>
              <w:rPr>
                <w:rFonts w:hint="eastAsia" w:ascii="宋体" w:hAnsi="宋体" w:eastAsia="宋体"/>
                <w:color w:val="auto"/>
                <w:sz w:val="24"/>
                <w:highlight w:val="none"/>
              </w:rPr>
              <w:t>通讯地址：</w:t>
            </w:r>
            <w:r>
              <w:rPr>
                <w:rFonts w:hint="eastAsia" w:ascii="宋体" w:hAnsi="宋体" w:eastAsia="宋体"/>
                <w:color w:val="auto"/>
                <w:sz w:val="24"/>
                <w:szCs w:val="24"/>
                <w:highlight w:val="none"/>
                <w:u w:val="single"/>
                <w:lang w:bidi="ar"/>
              </w:rPr>
              <w:t>滁州市醉翁西路369号</w:t>
            </w:r>
            <w:r>
              <w:rPr>
                <w:rFonts w:hint="eastAsia" w:ascii="宋体" w:hAnsi="宋体" w:eastAsia="宋体"/>
                <w:bCs/>
                <w:color w:val="auto"/>
                <w:kern w:val="0"/>
                <w:sz w:val="24"/>
                <w:szCs w:val="28"/>
                <w:highlight w:val="none"/>
                <w:u w:val="single"/>
              </w:rPr>
              <w:t xml:space="preserve">、滁州市会峰西路72-11号 </w:t>
            </w:r>
          </w:p>
        </w:tc>
      </w:tr>
      <w:tr w14:paraId="00B9E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tcBorders>
            <w:vAlign w:val="center"/>
          </w:tcPr>
          <w:p w14:paraId="2E4AAAA1">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32</w:t>
            </w:r>
          </w:p>
        </w:tc>
        <w:tc>
          <w:tcPr>
            <w:tcW w:w="1174" w:type="pct"/>
            <w:tcBorders>
              <w:top w:val="single" w:color="auto" w:sz="4" w:space="0"/>
            </w:tcBorders>
            <w:vAlign w:val="center"/>
          </w:tcPr>
          <w:p w14:paraId="0180B8CF">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其他内容</w:t>
            </w:r>
          </w:p>
        </w:tc>
        <w:tc>
          <w:tcPr>
            <w:tcW w:w="3244" w:type="pct"/>
            <w:tcBorders>
              <w:top w:val="single" w:color="auto" w:sz="4" w:space="0"/>
            </w:tcBorders>
            <w:vAlign w:val="center"/>
          </w:tcPr>
          <w:p w14:paraId="423E9A44">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1.解释权：</w:t>
            </w:r>
          </w:p>
          <w:p w14:paraId="76B0FDF7">
            <w:pPr>
              <w:spacing w:line="400" w:lineRule="exact"/>
              <w:ind w:firstLine="45"/>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构成本招标文件的各个组成文件应互为解释，互为说明；</w:t>
            </w:r>
          </w:p>
          <w:p w14:paraId="7F0BDB2C">
            <w:pPr>
              <w:spacing w:line="400" w:lineRule="exact"/>
              <w:ind w:firstLine="45"/>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04E41D4D">
            <w:pPr>
              <w:spacing w:line="400" w:lineRule="exact"/>
              <w:ind w:firstLine="45"/>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3E44BF41">
            <w:pPr>
              <w:spacing w:line="400" w:lineRule="exact"/>
              <w:ind w:firstLine="45"/>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除招标文件中有特别规定外，仅适用于招标投标阶段的规定，按招标公告、</w:t>
            </w:r>
            <w:r>
              <w:rPr>
                <w:rFonts w:hint="eastAsia" w:asciiTheme="minorEastAsia" w:hAnsiTheme="minorEastAsia" w:eastAsiaTheme="minorEastAsia"/>
                <w:bCs/>
                <w:color w:val="auto"/>
                <w:sz w:val="24"/>
                <w:szCs w:val="24"/>
                <w:highlight w:val="none"/>
              </w:rPr>
              <w:t>投标邀请、</w:t>
            </w:r>
            <w:r>
              <w:rPr>
                <w:rFonts w:asciiTheme="minorEastAsia" w:hAnsiTheme="minorEastAsia" w:eastAsiaTheme="minorEastAsia"/>
                <w:bCs/>
                <w:color w:val="auto"/>
                <w:sz w:val="24"/>
                <w:szCs w:val="24"/>
                <w:highlight w:val="none"/>
              </w:rPr>
              <w:t>投标人须知、评标</w:t>
            </w:r>
            <w:r>
              <w:rPr>
                <w:rFonts w:hint="eastAsia" w:asciiTheme="minorEastAsia" w:hAnsiTheme="minorEastAsia" w:eastAsiaTheme="minorEastAsia"/>
                <w:bCs/>
                <w:color w:val="auto"/>
                <w:sz w:val="24"/>
                <w:szCs w:val="24"/>
                <w:highlight w:val="none"/>
              </w:rPr>
              <w:t>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、投标文件格式的先后顺序解释；</w:t>
            </w:r>
          </w:p>
          <w:p w14:paraId="6E6A07DD">
            <w:pPr>
              <w:pStyle w:val="44"/>
              <w:widowControl w:val="0"/>
              <w:spacing w:before="0" w:beforeAutospacing="0" w:after="0" w:afterAutospacing="0" w:line="400" w:lineRule="exact"/>
              <w:ind w:firstLine="45"/>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（5）</w:t>
            </w:r>
            <w:r>
              <w:rPr>
                <w:rFonts w:asciiTheme="minorEastAsia" w:hAnsiTheme="minorEastAsia" w:eastAsiaTheme="minorEastAsia"/>
                <w:b w:val="0"/>
                <w:color w:val="auto"/>
                <w:kern w:val="2"/>
                <w:sz w:val="24"/>
                <w:szCs w:val="24"/>
                <w:highlight w:val="none"/>
              </w:rPr>
              <w:t>按本款前述规定仍不能形成结论的，由</w:t>
            </w:r>
            <w:r>
              <w:rPr>
                <w:rFonts w:hint="eastAsia" w:asciiTheme="minorEastAsia" w:hAnsiTheme="minorEastAsia" w:eastAsiaTheme="minorEastAsia"/>
                <w:b w:val="0"/>
                <w:color w:val="auto"/>
                <w:kern w:val="2"/>
                <w:sz w:val="24"/>
                <w:szCs w:val="24"/>
                <w:highlight w:val="none"/>
              </w:rPr>
              <w:t>采购</w:t>
            </w:r>
            <w:r>
              <w:rPr>
                <w:rFonts w:asciiTheme="minorEastAsia" w:hAnsiTheme="minorEastAsia" w:eastAsiaTheme="minorEastAsia"/>
                <w:b w:val="0"/>
                <w:color w:val="auto"/>
                <w:kern w:val="2"/>
                <w:sz w:val="24"/>
                <w:szCs w:val="24"/>
                <w:highlight w:val="none"/>
              </w:rPr>
              <w:t>人负责解释。</w:t>
            </w:r>
          </w:p>
          <w:p w14:paraId="74BC8EA9">
            <w:pPr>
              <w:pStyle w:val="44"/>
              <w:widowControl w:val="0"/>
              <w:spacing w:before="0" w:beforeAutospacing="0" w:after="0" w:afterAutospacing="0" w:line="400" w:lineRule="exact"/>
              <w:ind w:firstLine="45"/>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Cs w:val="0"/>
                <w:color w:val="auto"/>
                <w:kern w:val="2"/>
                <w:sz w:val="24"/>
                <w:szCs w:val="24"/>
                <w:highlight w:val="none"/>
              </w:rPr>
              <w:t>（6）投标单位中标后须递交与纸质投标文件完全一致的电子版投标文件一份，一并递交给代理机构。</w:t>
            </w:r>
          </w:p>
        </w:tc>
      </w:tr>
    </w:tbl>
    <w:p w14:paraId="2E83419A">
      <w:pPr>
        <w:spacing w:line="360" w:lineRule="auto"/>
        <w:jc w:val="center"/>
        <w:outlineLvl w:val="1"/>
        <w:rPr>
          <w:rFonts w:hint="eastAsia" w:asciiTheme="minorEastAsia" w:hAnsiTheme="minorEastAsia" w:eastAsiaTheme="minorEastAsia"/>
          <w:b/>
          <w:color w:val="auto"/>
          <w:sz w:val="24"/>
          <w:highlight w:val="none"/>
        </w:rPr>
      </w:pPr>
      <w:bookmarkStart w:id="34" w:name="_Toc14880"/>
      <w:bookmarkStart w:id="35" w:name="_Toc24882"/>
      <w:r>
        <w:rPr>
          <w:rFonts w:hint="eastAsia" w:asciiTheme="minorEastAsia" w:hAnsiTheme="minorEastAsia" w:eastAsiaTheme="minorEastAsia"/>
          <w:b/>
          <w:color w:val="auto"/>
          <w:sz w:val="24"/>
          <w:szCs w:val="24"/>
          <w:highlight w:val="none"/>
        </w:rPr>
        <w:t>二、</w:t>
      </w:r>
      <w:r>
        <w:rPr>
          <w:rFonts w:asciiTheme="minorEastAsia" w:hAnsiTheme="minorEastAsia" w:eastAsiaTheme="minorEastAsia"/>
          <w:b/>
          <w:color w:val="auto"/>
          <w:sz w:val="24"/>
          <w:szCs w:val="24"/>
          <w:highlight w:val="none"/>
        </w:rPr>
        <w:t>投标人须知</w:t>
      </w:r>
      <w:r>
        <w:rPr>
          <w:rFonts w:hint="eastAsia" w:asciiTheme="minorEastAsia" w:hAnsiTheme="minorEastAsia" w:eastAsiaTheme="minorEastAsia"/>
          <w:b/>
          <w:color w:val="auto"/>
          <w:sz w:val="24"/>
          <w:szCs w:val="24"/>
          <w:highlight w:val="none"/>
        </w:rPr>
        <w:t>正文</w:t>
      </w:r>
      <w:bookmarkEnd w:id="34"/>
      <w:bookmarkEnd w:id="35"/>
    </w:p>
    <w:p w14:paraId="7C788636">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1.采购人、采购代理机构及投标人</w:t>
      </w:r>
    </w:p>
    <w:p w14:paraId="36C1BA9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.1采购人：是指依法开展政府采购活动的国家机关、事业单位、团体组织。</w:t>
      </w:r>
    </w:p>
    <w:p w14:paraId="411FAE6F">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.2采购代理机构：是指集中采购机构或从事采购代理业务的社会中介机构。</w:t>
      </w:r>
    </w:p>
    <w:p w14:paraId="7773BD0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2E27942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3F6C6C1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3D7AD3B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2</w:t>
      </w:r>
      <w:r>
        <w:rPr>
          <w:rFonts w:ascii="宋体" w:hAnsi="宋体" w:eastAsia="宋体"/>
          <w:color w:val="auto"/>
          <w:sz w:val="24"/>
          <w:highlight w:val="none"/>
        </w:rPr>
        <w:t>以采购代理机构认可的方式获得了本项目的招标文件。</w:t>
      </w:r>
    </w:p>
    <w:p w14:paraId="2C180F6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3</w:t>
      </w:r>
      <w:r>
        <w:rPr>
          <w:rFonts w:ascii="宋体" w:hAnsi="宋体" w:eastAsia="宋体"/>
          <w:color w:val="auto"/>
          <w:sz w:val="24"/>
          <w:highlight w:val="none"/>
        </w:rPr>
        <w:t>若</w:t>
      </w:r>
      <w:r>
        <w:rPr>
          <w:rFonts w:hint="eastAsia" w:ascii="宋体" w:hAnsi="宋体" w:eastAsia="宋体"/>
          <w:color w:val="auto"/>
          <w:sz w:val="24"/>
          <w:highlight w:val="none"/>
        </w:rPr>
        <w:t>采购需求</w:t>
      </w:r>
      <w:r>
        <w:rPr>
          <w:rFonts w:ascii="宋体" w:hAnsi="宋体" w:eastAsia="宋体"/>
          <w:color w:val="auto"/>
          <w:sz w:val="24"/>
          <w:highlight w:val="none"/>
        </w:rPr>
        <w:t>中写明允许采购进口产品，投标人应保证所投产品可履行合法报通关手续进入中国关境内。</w:t>
      </w:r>
    </w:p>
    <w:p w14:paraId="3212F38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若采购需求中未写明允许采购进口产品，如投标人所投产品为进口产品，其投标将被认定为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1C153C1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75AFF59B">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5.1两个以上供应商可以组成一个投标联合体，以一个投标人的身份投标。联合体投标的，</w:t>
      </w:r>
      <w:r>
        <w:rPr>
          <w:rFonts w:hint="eastAsia" w:ascii="宋体" w:hAnsi="宋体" w:eastAsia="宋体"/>
          <w:color w:val="auto"/>
          <w:sz w:val="24"/>
          <w:highlight w:val="none"/>
        </w:rPr>
        <w:t>招标文件获取</w:t>
      </w:r>
      <w:r>
        <w:rPr>
          <w:rFonts w:ascii="宋体" w:hAnsi="宋体" w:eastAsia="宋体"/>
          <w:color w:val="auto"/>
          <w:sz w:val="24"/>
          <w:highlight w:val="none"/>
        </w:rPr>
        <w:t>手续由联合体</w:t>
      </w:r>
      <w:r>
        <w:rPr>
          <w:rFonts w:hint="eastAsia" w:ascii="宋体" w:hAnsi="宋体" w:eastAsia="宋体"/>
          <w:color w:val="auto"/>
          <w:sz w:val="24"/>
          <w:highlight w:val="none"/>
        </w:rPr>
        <w:t>中</w:t>
      </w:r>
      <w:r>
        <w:rPr>
          <w:rFonts w:ascii="宋体" w:hAnsi="宋体" w:eastAsia="宋体"/>
          <w:color w:val="auto"/>
          <w:sz w:val="24"/>
          <w:highlight w:val="none"/>
        </w:rPr>
        <w:t>任</w:t>
      </w:r>
      <w:r>
        <w:rPr>
          <w:rFonts w:hint="eastAsia" w:ascii="宋体" w:hAnsi="宋体" w:eastAsia="宋体"/>
          <w:color w:val="auto"/>
          <w:sz w:val="24"/>
          <w:highlight w:val="none"/>
        </w:rPr>
        <w:t>一成员单位</w:t>
      </w:r>
      <w:r>
        <w:rPr>
          <w:rFonts w:ascii="宋体" w:hAnsi="宋体" w:eastAsia="宋体"/>
          <w:color w:val="auto"/>
          <w:sz w:val="24"/>
          <w:highlight w:val="none"/>
        </w:rPr>
        <w:t>办理均可。</w:t>
      </w:r>
    </w:p>
    <w:p w14:paraId="7A6E29A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5.2联合体各方均应符合《中华人民共和国政府采购法》第二十二条规定的条件。</w:t>
      </w:r>
    </w:p>
    <w:p w14:paraId="6F41C11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5.3采购人根据采购项目对投标人的特殊要求，联合体中至少应当有一方符合相关规定。</w:t>
      </w:r>
    </w:p>
    <w:p w14:paraId="489A6BB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672276B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3031F9C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08489F04">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65090DC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rPr>
        <w:t>申请人的资格要求</w:t>
      </w:r>
      <w:r>
        <w:rPr>
          <w:rFonts w:ascii="宋体" w:hAnsi="宋体" w:eastAsia="宋体"/>
          <w:color w:val="auto"/>
          <w:sz w:val="24"/>
          <w:highlight w:val="none"/>
        </w:rPr>
        <w:t>。</w:t>
      </w:r>
    </w:p>
    <w:p w14:paraId="276192E3">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2.资金落实情况</w:t>
      </w:r>
    </w:p>
    <w:p w14:paraId="654CC5E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4D51655E">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3.投标费用</w:t>
      </w:r>
    </w:p>
    <w:p w14:paraId="46AAAC4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1CA0E80E">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4.适用法律</w:t>
      </w:r>
    </w:p>
    <w:p w14:paraId="63F33202">
      <w:pPr>
        <w:spacing w:line="360" w:lineRule="auto"/>
        <w:ind w:firstLine="435"/>
        <w:rPr>
          <w:rFonts w:hint="eastAsia" w:asciiTheme="minorEastAsia" w:hAnsiTheme="minorEastAsia" w:eastAsiaTheme="minorEastAsia"/>
          <w:b/>
          <w:color w:val="auto"/>
          <w:sz w:val="24"/>
          <w:highlight w:val="none"/>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03D2572A">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5.招标文件构成</w:t>
      </w:r>
    </w:p>
    <w:p w14:paraId="376690F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5.1招标文件包括下列内容：</w:t>
      </w:r>
    </w:p>
    <w:p w14:paraId="74D44219">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0DF8A847">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175C748D">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50F00702">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2349C400">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5FF0F988">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3AA1C5D3">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第七章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6B2F0D4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考察（标前答疑会）</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071E91D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原则上采购人、采购代理机构不要求投标人提供样品。仅凭书面方式不能准确描述采购需求，或者需要对样品进行主观判断以确认是否满足采购需求等特殊情况除外。</w:t>
      </w:r>
    </w:p>
    <w:p w14:paraId="3ACE1F4E">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如需提供样品，对样品相关要求见</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，对样品的评审方法及评审标准见招标文件第</w:t>
      </w:r>
      <w:r>
        <w:rPr>
          <w:rFonts w:hint="eastAsia" w:asciiTheme="minorEastAsia" w:hAnsiTheme="minorEastAsia" w:eastAsiaTheme="minorEastAsia"/>
          <w:color w:val="auto"/>
          <w:sz w:val="24"/>
          <w:highlight w:val="none"/>
        </w:rPr>
        <w:t>四</w:t>
      </w:r>
      <w:r>
        <w:rPr>
          <w:rFonts w:asciiTheme="minorEastAsia" w:hAnsiTheme="minorEastAsia" w:eastAsiaTheme="minorEastAsia"/>
          <w:color w:val="auto"/>
          <w:sz w:val="24"/>
          <w:highlight w:val="none"/>
        </w:rPr>
        <w:t>章。</w:t>
      </w:r>
    </w:p>
    <w:p w14:paraId="1093B54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投标人应认真阅读招标文件所有的事项、格式、条款和技术规范等。</w:t>
      </w:r>
    </w:p>
    <w:p w14:paraId="0D9E1247">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6.招标文件的澄清与修改</w:t>
      </w:r>
    </w:p>
    <w:p w14:paraId="042FEB17">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w:t>
      </w:r>
      <w:r>
        <w:rPr>
          <w:rFonts w:hint="eastAsia" w:asciiTheme="minorEastAsia" w:hAnsiTheme="minorEastAsia" w:eastAsiaTheme="minorEastAsia"/>
          <w:color w:val="auto"/>
          <w:sz w:val="24"/>
          <w:highlight w:val="none"/>
        </w:rPr>
        <w:t>可</w:t>
      </w:r>
      <w:r>
        <w:rPr>
          <w:rFonts w:asciiTheme="minorEastAsia" w:hAnsiTheme="minorEastAsia" w:eastAsiaTheme="minorEastAsia"/>
          <w:color w:val="auto"/>
          <w:sz w:val="24"/>
          <w:highlight w:val="none"/>
        </w:rPr>
        <w:t>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w:t>
      </w:r>
      <w:r>
        <w:rPr>
          <w:rFonts w:hint="eastAsia" w:ascii="宋体" w:hAnsi="宋体" w:eastAsia="宋体" w:cs="宋体"/>
          <w:color w:val="auto"/>
          <w:sz w:val="24"/>
          <w:szCs w:val="24"/>
          <w:highlight w:val="none"/>
        </w:rPr>
        <w:t>电子邮件形式向采购代理机构（采购代理机构邮箱：</w:t>
      </w:r>
      <w:r>
        <w:rPr>
          <w:rFonts w:hint="eastAsia" w:ascii="宋体" w:hAnsi="宋体" w:eastAsia="宋体" w:cs="宋体"/>
          <w:color w:val="auto"/>
          <w:sz w:val="24"/>
          <w:szCs w:val="24"/>
          <w:highlight w:val="none"/>
          <w:lang w:eastAsia="zh-CN"/>
        </w:rPr>
        <w:t>1225240102</w:t>
      </w:r>
      <w:r>
        <w:rPr>
          <w:rFonts w:hint="eastAsia" w:ascii="宋体" w:hAnsi="宋体" w:eastAsia="宋体" w:cs="宋体"/>
          <w:color w:val="auto"/>
          <w:sz w:val="24"/>
          <w:szCs w:val="24"/>
          <w:highlight w:val="none"/>
        </w:rPr>
        <w:t>@qq.com）提交疑问</w:t>
      </w:r>
      <w:r>
        <w:rPr>
          <w:rFonts w:asciiTheme="minorEastAsia" w:hAnsiTheme="minorEastAsia" w:eastAsiaTheme="minorEastAsia"/>
          <w:color w:val="auto"/>
          <w:sz w:val="24"/>
          <w:highlight w:val="none"/>
        </w:rPr>
        <w:t>。</w:t>
      </w:r>
    </w:p>
    <w:p w14:paraId="3D5A74C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2采购人可主动地或在答复投标人提出的询问时对招标文件进行澄清与修改。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在滁州市第一人民医院网以发布更正公告的方式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523F8CB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6B069482">
      <w:pPr>
        <w:spacing w:line="360" w:lineRule="auto"/>
        <w:ind w:firstLine="435"/>
        <w:rPr>
          <w:rFonts w:hint="eastAsia"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767C305E">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7.投标范围及投标文件中标准和计量单位的使用</w:t>
      </w:r>
    </w:p>
    <w:p w14:paraId="15586AC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7C052C0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6D7723A4">
      <w:pPr>
        <w:spacing w:line="360" w:lineRule="auto"/>
        <w:ind w:firstLine="435"/>
        <w:rPr>
          <w:rFonts w:hint="eastAsia" w:asciiTheme="minorEastAsia" w:hAnsiTheme="minorEastAsia" w:eastAsiaTheme="minorEastAsia"/>
          <w:color w:val="auto"/>
          <w:sz w:val="24"/>
          <w:highlight w:val="none"/>
        </w:rPr>
      </w:pPr>
      <w:bookmarkStart w:id="36" w:name="_Hlk16458980"/>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投标人所投货物及伴随的服务和工程均应符合国家强制性标准。</w:t>
      </w:r>
    </w:p>
    <w:bookmarkEnd w:id="36"/>
    <w:p w14:paraId="0E9F4AC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1004AC6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1E56CBC7">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02D45B6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27C3242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rPr>
        <w:t>形式</w:t>
      </w:r>
      <w:r>
        <w:rPr>
          <w:rFonts w:asciiTheme="minorEastAsia" w:hAnsiTheme="minorEastAsia" w:eastAsiaTheme="minorEastAsia"/>
          <w:color w:val="auto"/>
          <w:sz w:val="24"/>
          <w:highlight w:val="none"/>
        </w:rPr>
        <w:t>可以是文字资料、图纸和数据</w:t>
      </w:r>
      <w:bookmarkStart w:id="37" w:name="_Hlk11703583"/>
      <w:r>
        <w:rPr>
          <w:rFonts w:hint="eastAsia" w:asciiTheme="minorEastAsia" w:hAnsiTheme="minorEastAsia" w:eastAsiaTheme="minorEastAsia"/>
          <w:color w:val="auto"/>
          <w:sz w:val="24"/>
          <w:highlight w:val="none"/>
        </w:rPr>
        <w:t>等。</w:t>
      </w:r>
    </w:p>
    <w:bookmarkEnd w:id="37"/>
    <w:p w14:paraId="044FE78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08722FB1">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1F9C404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.1投标人的报价应当包括满足本次招标全部采购需求</w:t>
      </w:r>
      <w:r>
        <w:rPr>
          <w:rFonts w:hint="eastAsia" w:asciiTheme="minorEastAsia" w:hAnsiTheme="minorEastAsia" w:eastAsiaTheme="minorEastAsia"/>
          <w:color w:val="auto"/>
          <w:sz w:val="24"/>
          <w:highlight w:val="none"/>
        </w:rPr>
        <w:t>。除招标文件另有规定外，所有投标均应以人民币报价。投标人的投标报价应遵守《中华人民共和国价格法》。</w:t>
      </w:r>
    </w:p>
    <w:p w14:paraId="485A359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47C5AC6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0572E1A1">
      <w:pPr>
        <w:spacing w:line="360" w:lineRule="auto"/>
        <w:ind w:firstLine="435"/>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color w:val="auto"/>
          <w:sz w:val="24"/>
          <w:highlight w:val="none"/>
        </w:rPr>
        <w:t>必要时提交相关证明材料；投标人不能证明其报价合理性的，其投标将被认定为</w:t>
      </w:r>
      <w:r>
        <w:rPr>
          <w:rFonts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23468F8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采购人不接受具有附加条件的报价。</w:t>
      </w:r>
    </w:p>
    <w:p w14:paraId="64FD87DC">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6D51DDE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10.1本项目不收取投标保证金。</w:t>
      </w:r>
    </w:p>
    <w:p w14:paraId="78BA1492">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15B40D6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3773766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6391E731">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6F5F2F38">
      <w:pPr>
        <w:spacing w:line="360" w:lineRule="auto"/>
        <w:ind w:firstLine="437"/>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投标文件的密封、递交、修改与撤回</w:t>
      </w:r>
    </w:p>
    <w:p w14:paraId="31A3712E">
      <w:pPr>
        <w:spacing w:line="360" w:lineRule="auto"/>
        <w:ind w:firstLine="435"/>
        <w:rPr>
          <w:rFonts w:hint="eastAsia" w:ascii="宋体" w:hAnsi="宋体" w:cs="宋体"/>
          <w:color w:val="auto"/>
          <w:szCs w:val="21"/>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2.1投标文件的份数和签署</w:t>
      </w:r>
    </w:p>
    <w:p w14:paraId="6639B2A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（1）投标文件份</w:t>
      </w:r>
      <w:r>
        <w:rPr>
          <w:rFonts w:hint="eastAsia" w:asciiTheme="minorEastAsia" w:hAnsiTheme="minorEastAsia" w:eastAsiaTheme="minorEastAsia"/>
          <w:color w:val="auto"/>
          <w:sz w:val="24"/>
          <w:highlight w:val="none"/>
        </w:rPr>
        <w:t>数：一式三份，正本一份，副本二份。</w:t>
      </w:r>
    </w:p>
    <w:p w14:paraId="4E885CD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（1）投标文件的正本和副本均需打印或使用不褪色的蓝、黑墨水笔书写，字迹应清晰易于辩认，并应在投标文件封面的右上角清楚地注明“正本”或“副本”。正本和副本如有不一致之处，以正本为准。</w:t>
      </w:r>
    </w:p>
    <w:p w14:paraId="605E23E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12．2投标文件的密封和标记</w:t>
      </w:r>
    </w:p>
    <w:p w14:paraId="16935A0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（1）供应商应当将投标文件正本、副本密封在一个档案袋内。</w:t>
      </w:r>
    </w:p>
    <w:p w14:paraId="34902D9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12.3投标文件的提交</w:t>
      </w:r>
    </w:p>
    <w:p w14:paraId="1A3245B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（1）供应商应在供应商须知前附表规定的提交截止时间前递交投标文件。</w:t>
      </w:r>
    </w:p>
    <w:p w14:paraId="15AA208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（2）供应商提交投标文件的地点：见供应商须知前附表。</w:t>
      </w:r>
    </w:p>
    <w:p w14:paraId="3AADBB3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（3）除供应商须知前附表另有规定外，供应商所递交的投标文件不予退还。</w:t>
      </w:r>
    </w:p>
    <w:p w14:paraId="35F442B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（4）逾期送达的或者未送达指定地点的投标文件，采购人不予受理。</w:t>
      </w:r>
    </w:p>
    <w:p w14:paraId="76AF30A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12.4投标文件的补充、修改与撤回</w:t>
      </w:r>
    </w:p>
    <w:p w14:paraId="39E9706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（1）供应商在本章规定的投标文件投标截止时间前，供应商可以修改或撤回已递交的投标文件，但应以书面形式通知采购人。</w:t>
      </w:r>
    </w:p>
    <w:p w14:paraId="4B89BFB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（2）供应商修改或撤回已递交投标文件的书面通知应按照本章的要求签字或盖章。</w:t>
      </w:r>
    </w:p>
    <w:p w14:paraId="7E8C8DF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（3）供应商撤回投标文件的，采购人自收到供应商书面撤回通知之日起5日内退还已收取的投标保证金。</w:t>
      </w:r>
    </w:p>
    <w:p w14:paraId="712F4FA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（4）修改的内容为投标文件的组成部分。</w:t>
      </w:r>
    </w:p>
    <w:p w14:paraId="3F100E3D">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65FF202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开标时，</w:t>
      </w:r>
      <w:r>
        <w:rPr>
          <w:rFonts w:ascii="宋体" w:hAnsi="宋体" w:eastAsia="宋体" w:cs="宋体"/>
          <w:color w:val="auto"/>
          <w:sz w:val="24"/>
          <w:szCs w:val="24"/>
          <w:highlight w:val="none"/>
        </w:rPr>
        <w:t>应</w:t>
      </w:r>
      <w:r>
        <w:rPr>
          <w:rFonts w:hint="eastAsia" w:ascii="宋体" w:hAnsi="宋体" w:eastAsia="宋体" w:cs="宋体"/>
          <w:color w:val="auto"/>
          <w:sz w:val="24"/>
          <w:szCs w:val="24"/>
          <w:highlight w:val="none"/>
        </w:rPr>
        <w:t>对</w:t>
      </w:r>
      <w:r>
        <w:rPr>
          <w:rFonts w:ascii="宋体" w:hAnsi="宋体" w:eastAsia="宋体" w:cs="宋体"/>
          <w:color w:val="auto"/>
          <w:sz w:val="24"/>
          <w:szCs w:val="24"/>
          <w:highlight w:val="none"/>
        </w:rPr>
        <w:t>各投标人</w:t>
      </w:r>
      <w:r>
        <w:rPr>
          <w:rFonts w:hint="eastAsia" w:ascii="宋体" w:hAnsi="宋体" w:eastAsia="宋体" w:cs="宋体"/>
          <w:color w:val="auto"/>
          <w:sz w:val="24"/>
          <w:szCs w:val="24"/>
          <w:highlight w:val="none"/>
        </w:rPr>
        <w:t>的</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密封情况进行检查</w:t>
      </w:r>
      <w:r>
        <w:rPr>
          <w:rFonts w:asciiTheme="minorEastAsia" w:hAnsiTheme="minorEastAsia" w:eastAsiaTheme="minorEastAsia"/>
          <w:color w:val="auto"/>
          <w:sz w:val="24"/>
          <w:highlight w:val="none"/>
        </w:rPr>
        <w:t>。</w:t>
      </w:r>
    </w:p>
    <w:p w14:paraId="0780C0B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开标时，采购代理机构将公布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716E432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13.3采购人或采购代理机构将对开标过程进行记录，并存档备查。</w:t>
      </w:r>
    </w:p>
    <w:p w14:paraId="2E136073">
      <w:pPr>
        <w:spacing w:line="360" w:lineRule="auto"/>
        <w:ind w:firstLine="435"/>
        <w:rPr>
          <w:rFonts w:hint="eastAsia"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13.4投标人代表对开标过程和开标记录有疑义，以及认为采购人、采购代理机构相关工作人员有需要回避的情形的，应当场提出询问或者回避申请。</w:t>
      </w:r>
    </w:p>
    <w:p w14:paraId="3867ECA0">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05ED8F9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05AA690E">
      <w:pPr>
        <w:spacing w:line="360" w:lineRule="auto"/>
        <w:ind w:firstLine="435"/>
        <w:rPr>
          <w:rFonts w:hint="eastAsia" w:ascii="宋体" w:hAnsi="宋体" w:eastAsia="宋体" w:cs="宋体"/>
          <w:color w:val="auto"/>
          <w:sz w:val="24"/>
          <w:szCs w:val="24"/>
          <w:highlight w:val="none"/>
        </w:rPr>
      </w:pPr>
      <w:bookmarkStart w:id="38" w:name="_Hlk24663244"/>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bookmarkEnd w:id="38"/>
    <w:p w14:paraId="758CDF5A">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3861726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0D6F039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w:t>
      </w:r>
      <w:r>
        <w:rPr>
          <w:rFonts w:hint="eastAsia" w:ascii="宋体" w:hAnsi="宋体" w:eastAsia="宋体"/>
          <w:color w:val="auto"/>
          <w:sz w:val="24"/>
          <w:highlight w:val="none"/>
        </w:rPr>
        <w:t>2投标文件的澄清</w:t>
      </w:r>
    </w:p>
    <w:p w14:paraId="76E9320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color w:val="auto"/>
          <w:sz w:val="24"/>
          <w:highlight w:val="none"/>
        </w:rPr>
        <w:t>方式或通过电子邮箱（</w:t>
      </w:r>
      <w:r>
        <w:rPr>
          <w:rFonts w:hint="eastAsia" w:ascii="宋体" w:hAnsi="宋体" w:eastAsia="宋体"/>
          <w:color w:val="auto"/>
          <w:sz w:val="24"/>
          <w:highlight w:val="none"/>
          <w:lang w:eastAsia="zh-CN"/>
        </w:rPr>
        <w:t>1225240102</w:t>
      </w:r>
      <w:r>
        <w:rPr>
          <w:rFonts w:hint="eastAsia" w:ascii="宋体" w:hAnsi="宋体" w:eastAsia="宋体"/>
          <w:color w:val="auto"/>
          <w:sz w:val="24"/>
          <w:highlight w:val="none"/>
        </w:rPr>
        <w:t>@qq.com）方式</w:t>
      </w:r>
      <w:r>
        <w:rPr>
          <w:rFonts w:ascii="宋体" w:hAnsi="宋体" w:eastAsia="宋体"/>
          <w:color w:val="auto"/>
          <w:sz w:val="24"/>
          <w:highlight w:val="none"/>
        </w:rPr>
        <w:t>进行，并不得超出投标文件范围或者改变投标文件的实质性内容。</w:t>
      </w:r>
    </w:p>
    <w:p w14:paraId="6B30707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投标人的澄清、说明或补正将作为投标文件的一部分。</w:t>
      </w:r>
    </w:p>
    <w:p w14:paraId="3C58255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15.2</w:t>
      </w:r>
      <w:r>
        <w:rPr>
          <w:rFonts w:ascii="宋体" w:hAnsi="宋体" w:eastAsia="宋体"/>
          <w:color w:val="auto"/>
          <w:sz w:val="24"/>
          <w:highlight w:val="none"/>
        </w:rPr>
        <w:t>.3评标委员会对投标人提交的澄清、说明或补正有疑问的，可以要求投标人进一步澄清、说明或补正，直至满足评标委员会的要求。</w:t>
      </w:r>
    </w:p>
    <w:p w14:paraId="1C9CF11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15.3</w:t>
      </w:r>
      <w:r>
        <w:rPr>
          <w:rFonts w:ascii="宋体" w:hAnsi="宋体" w:eastAsia="宋体"/>
          <w:color w:val="auto"/>
          <w:sz w:val="24"/>
          <w:highlight w:val="none"/>
        </w:rPr>
        <w:t>投标文件报价出现前后不一致的，按照下列规定修正：</w:t>
      </w:r>
    </w:p>
    <w:p w14:paraId="4BD9D692">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7F09895C">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2BE784F6">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6BE492A1">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3ADA0C58">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rPr>
        <w:t>15.</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条的规定经投标人确认后产生约束力，</w:t>
      </w:r>
      <w:r>
        <w:rPr>
          <w:rFonts w:hint="eastAsia" w:ascii="宋体" w:hAnsi="宋体" w:eastAsia="宋体"/>
          <w:color w:val="auto"/>
          <w:sz w:val="24"/>
          <w:highlight w:val="none"/>
        </w:rPr>
        <w:t>无论投标人是接受或是拒绝调整后的价格，都应当由投标人在系统中确认。投标人拒绝对投标文件出现的错漏按上述原则进行修正、澄清、说明，其投标将被认定为投标无效。</w:t>
      </w:r>
    </w:p>
    <w:p w14:paraId="5A186E80">
      <w:pPr>
        <w:spacing w:line="360" w:lineRule="auto"/>
        <w:ind w:firstLine="435"/>
        <w:rPr>
          <w:rFonts w:hint="eastAsia"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7653F8DE">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16.投标无效</w:t>
      </w:r>
    </w:p>
    <w:p w14:paraId="0E7F4AB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4462483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097A2C5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14:paraId="2F04F4A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6C2B8B9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5D969AD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75BED72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355039E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61CAF543">
      <w:pPr>
        <w:spacing w:line="360" w:lineRule="auto"/>
        <w:ind w:firstLine="435"/>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42300613">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17.比较与评价</w:t>
      </w:r>
    </w:p>
    <w:p w14:paraId="4765CE9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17.1经符合性审查合格的投标文件，评标委员会将根据招标文件确定的评标方法和标准，对其投标文件作进一步的比较与评价。</w:t>
      </w:r>
    </w:p>
    <w:p w14:paraId="27B409F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40F02E83">
      <w:pPr>
        <w:spacing w:line="360" w:lineRule="auto"/>
        <w:ind w:firstLine="435"/>
        <w:rPr>
          <w:rFonts w:hint="eastAsia" w:ascii="宋体" w:hAnsi="宋体" w:eastAsia="宋体"/>
          <w:color w:val="auto"/>
          <w:sz w:val="24"/>
          <w:highlight w:val="none"/>
        </w:rPr>
      </w:pPr>
      <w:r>
        <w:rPr>
          <w:rFonts w:hint="eastAsia" w:asciiTheme="minorEastAsia" w:hAnsiTheme="minorEastAsia" w:eastAsiaTheme="minorEastAsia"/>
          <w:b/>
          <w:bCs/>
          <w:color w:val="auto"/>
          <w:sz w:val="24"/>
          <w:highlight w:val="none"/>
        </w:rPr>
        <w:t>（</w:t>
      </w:r>
      <w:r>
        <w:rPr>
          <w:rFonts w:hint="eastAsia" w:ascii="宋体" w:hAnsi="宋体" w:eastAsia="宋体"/>
          <w:b/>
          <w:bCs/>
          <w:color w:val="auto"/>
          <w:sz w:val="24"/>
          <w:highlight w:val="none"/>
        </w:rPr>
        <w:t>1）最低评标价法，</w:t>
      </w:r>
      <w:r>
        <w:rPr>
          <w:rFonts w:hint="eastAsia" w:ascii="宋体" w:hAnsi="宋体" w:eastAsia="宋体"/>
          <w:color w:val="auto"/>
          <w:sz w:val="24"/>
          <w:highlight w:val="none"/>
        </w:rPr>
        <w:t>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59353E3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7DD4C799">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66FA30D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18.1出现下列情形之一，将导致项目废标：</w:t>
      </w:r>
    </w:p>
    <w:p w14:paraId="2730967A">
      <w:pPr>
        <w:spacing w:line="360" w:lineRule="auto"/>
        <w:ind w:firstLine="435"/>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0E098F2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1FC593E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79C8ACE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4855D84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b w:val="0"/>
          <w:bCs w:val="0"/>
          <w:color w:val="auto"/>
          <w:sz w:val="24"/>
          <w:highlight w:val="none"/>
        </w:rPr>
        <w:t>18.2</w:t>
      </w:r>
      <w:r>
        <w:rPr>
          <w:rFonts w:hint="eastAsia" w:asciiTheme="minorEastAsia" w:hAnsiTheme="minorEastAsia" w:eastAsiaTheme="minorEastAsia"/>
          <w:b w:val="0"/>
          <w:bCs w:val="0"/>
          <w:color w:val="auto"/>
          <w:sz w:val="24"/>
          <w:highlight w:val="none"/>
          <w:lang w:val="en-US" w:eastAsia="zh-CN"/>
        </w:rPr>
        <w:t>本项目</w:t>
      </w:r>
      <w:r>
        <w:rPr>
          <w:rFonts w:hint="eastAsia" w:asciiTheme="minorEastAsia" w:hAnsiTheme="minorEastAsia" w:eastAsiaTheme="minorEastAsia"/>
          <w:color w:val="auto"/>
          <w:sz w:val="24"/>
          <w:highlight w:val="none"/>
        </w:rPr>
        <w:t>投标截止后投标人不足</w:t>
      </w:r>
      <w:r>
        <w:rPr>
          <w:rFonts w:asciiTheme="minorEastAsia" w:hAnsiTheme="minorEastAsia" w:eastAsiaTheme="minorEastAsia"/>
          <w:color w:val="auto"/>
          <w:sz w:val="24"/>
          <w:highlight w:val="none"/>
        </w:rPr>
        <w:t>3家或者通过</w:t>
      </w:r>
      <w:r>
        <w:rPr>
          <w:rFonts w:hint="eastAsia" w:asciiTheme="minorEastAsia" w:hAnsiTheme="minorEastAsia" w:eastAsiaTheme="minorEastAsia"/>
          <w:color w:val="auto"/>
          <w:sz w:val="24"/>
          <w:highlight w:val="none"/>
        </w:rPr>
        <w:t>资格审查或符合性审查的投标人不足</w:t>
      </w:r>
      <w:r>
        <w:rPr>
          <w:rFonts w:asciiTheme="minorEastAsia" w:hAnsiTheme="minorEastAsia" w:eastAsiaTheme="minorEastAsia"/>
          <w:color w:val="auto"/>
          <w:sz w:val="24"/>
          <w:highlight w:val="none"/>
        </w:rPr>
        <w:t>3家的，除采购任务取消情形外，按照以下方式处理：</w:t>
      </w:r>
    </w:p>
    <w:p w14:paraId="7CE5B81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（1）招标文件存在不合理条款或者招标程序不符合规定的，采购人、采购代理机构改正后依法重新招标；</w:t>
      </w:r>
    </w:p>
    <w:p w14:paraId="72FD877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（2）招标文件没有不合理条款、招标程序符合规定，需要采用其他采购方式采购的，</w:t>
      </w:r>
      <w:r>
        <w:rPr>
          <w:rFonts w:hint="eastAsia" w:asciiTheme="minorEastAsia" w:hAnsiTheme="minorEastAsia" w:eastAsiaTheme="minorEastAsia"/>
          <w:color w:val="auto"/>
          <w:sz w:val="24"/>
          <w:highlight w:val="none"/>
          <w:lang w:val="en-US" w:eastAsia="zh-CN"/>
        </w:rPr>
        <w:t>需</w:t>
      </w:r>
      <w:r>
        <w:rPr>
          <w:rFonts w:hint="eastAsia" w:asciiTheme="minorEastAsia" w:hAnsiTheme="minorEastAsia" w:eastAsiaTheme="minorEastAsia"/>
          <w:b w:val="0"/>
          <w:bCs w:val="0"/>
          <w:color w:val="auto"/>
          <w:sz w:val="24"/>
          <w:highlight w:val="none"/>
          <w:lang w:val="en-US" w:eastAsia="zh-CN"/>
        </w:rPr>
        <w:t>采购人</w:t>
      </w:r>
      <w:r>
        <w:rPr>
          <w:rFonts w:hint="eastAsia" w:asciiTheme="minorEastAsia" w:hAnsiTheme="minorEastAsia" w:eastAsiaTheme="minorEastAsia"/>
          <w:b w:val="0"/>
          <w:bCs w:val="0"/>
          <w:color w:val="auto"/>
          <w:sz w:val="24"/>
          <w:highlight w:val="none"/>
        </w:rPr>
        <w:t>同意</w:t>
      </w:r>
      <w:r>
        <w:rPr>
          <w:rFonts w:hint="eastAsia" w:asciiTheme="minorEastAsia" w:hAnsiTheme="minorEastAsia" w:eastAsiaTheme="minorEastAsia"/>
          <w:b w:val="0"/>
          <w:bCs w:val="0"/>
          <w:color w:val="auto"/>
          <w:sz w:val="24"/>
          <w:highlight w:val="none"/>
          <w:lang w:val="en-US" w:eastAsia="zh-CN"/>
        </w:rPr>
        <w:t>后方可实施</w:t>
      </w:r>
      <w:r>
        <w:rPr>
          <w:rFonts w:hint="eastAsia" w:asciiTheme="minorEastAsia" w:hAnsiTheme="minorEastAsia" w:eastAsiaTheme="minorEastAsia"/>
          <w:color w:val="auto"/>
          <w:sz w:val="24"/>
          <w:highlight w:val="none"/>
        </w:rPr>
        <w:t>。</w:t>
      </w:r>
    </w:p>
    <w:p w14:paraId="09120315">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130CF26F">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19.1评标将在严格保密的情况下进行。</w:t>
      </w:r>
    </w:p>
    <w:p w14:paraId="72BD3720">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19.2有关人员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5FF8B41D">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63229D1E">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0</w:t>
      </w:r>
      <w:r>
        <w:rPr>
          <w:rFonts w:asciiTheme="minorEastAsia" w:hAnsiTheme="minorEastAsia" w:eastAsiaTheme="minorEastAsia"/>
          <w:color w:val="auto"/>
          <w:sz w:val="24"/>
          <w:highlight w:val="none"/>
        </w:rPr>
        <w:t>.1评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41F266E8">
      <w:pPr>
        <w:spacing w:line="360" w:lineRule="auto"/>
        <w:ind w:firstLine="437"/>
        <w:outlineLvl w:val="2"/>
        <w:rPr>
          <w:rFonts w:hint="eastAsia" w:asciiTheme="minorEastAsia" w:hAnsiTheme="minorEastAsia" w:eastAsiaTheme="minorEastAsia"/>
          <w:color w:val="auto"/>
          <w:sz w:val="24"/>
          <w:highlight w:val="none"/>
        </w:rPr>
      </w:pPr>
      <w:r>
        <w:rPr>
          <w:rFonts w:asciiTheme="minorEastAsia" w:hAnsiTheme="minorEastAsia" w:eastAsiaTheme="minorEastAsia"/>
          <w:b/>
          <w:bCs/>
          <w:color w:val="auto"/>
          <w:sz w:val="24"/>
          <w:highlight w:val="none"/>
        </w:rPr>
        <w:t>采用最低评标价法的，</w:t>
      </w:r>
      <w:r>
        <w:rPr>
          <w:rFonts w:asciiTheme="minorEastAsia" w:hAnsiTheme="minorEastAsia" w:eastAsiaTheme="minorEastAsia"/>
          <w:color w:val="auto"/>
          <w:sz w:val="24"/>
          <w:highlight w:val="none"/>
        </w:rPr>
        <w:t>除了算术修正价格扣除外，不对投标人的投标价格进行任何调整。评标结果按修正后的投标报价由低到高顺序排列。修正后的投标报价</w:t>
      </w:r>
      <w:r>
        <w:rPr>
          <w:rFonts w:hint="eastAsia" w:asciiTheme="minorEastAsia" w:hAnsiTheme="minorEastAsia" w:eastAsiaTheme="minorEastAsia"/>
          <w:color w:val="auto"/>
          <w:sz w:val="24"/>
          <w:highlight w:val="none"/>
        </w:rPr>
        <w:t>出现两家或两家以上相同者，采取评标委员会随机抽取的方式确定中标候选顺序。</w:t>
      </w:r>
    </w:p>
    <w:p w14:paraId="0B62B869">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65495DB9">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4A9D6A4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1403317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598D4585">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1BB0EE5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6DB5209A">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58B0A45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0B9D62C5">
      <w:pPr>
        <w:spacing w:line="360" w:lineRule="auto"/>
        <w:ind w:firstLine="435"/>
        <w:rPr>
          <w:rFonts w:hint="eastAsia" w:ascii="宋体" w:hAnsi="宋体" w:eastAsia="宋体"/>
          <w:color w:val="auto"/>
          <w:sz w:val="24"/>
          <w:szCs w:val="18"/>
          <w:highlight w:val="none"/>
        </w:rPr>
      </w:pPr>
      <w:r>
        <w:rPr>
          <w:rFonts w:hint="eastAsia" w:asciiTheme="minorEastAsia" w:hAnsiTheme="minorEastAsia" w:eastAsiaTheme="minorEastAsia"/>
          <w:color w:val="auto"/>
          <w:sz w:val="24"/>
          <w:highlight w:val="none"/>
        </w:rPr>
        <w:t>23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自中标人确定之日起2个工作日内，采购代理机构将在滁州市第一人民医院网上发布中标结果公告。</w:t>
      </w:r>
    </w:p>
    <w:p w14:paraId="4325C51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w:t>
      </w:r>
      <w:r>
        <w:rPr>
          <w:rFonts w:ascii="宋体" w:hAnsi="宋体" w:eastAsia="宋体"/>
          <w:color w:val="auto"/>
          <w:sz w:val="24"/>
          <w:highlight w:val="none"/>
        </w:rPr>
        <w:t>主要中标标的的名称、</w:t>
      </w:r>
      <w:r>
        <w:rPr>
          <w:rFonts w:hint="eastAsia" w:ascii="宋体" w:hAnsi="宋体" w:eastAsia="宋体"/>
          <w:color w:val="auto"/>
          <w:sz w:val="24"/>
          <w:highlight w:val="none"/>
        </w:rPr>
        <w:t>服务范围</w:t>
      </w:r>
      <w:r>
        <w:rPr>
          <w:rFonts w:ascii="宋体" w:hAnsi="宋体" w:eastAsia="宋体"/>
          <w:color w:val="auto"/>
          <w:sz w:val="24"/>
          <w:highlight w:val="none"/>
        </w:rPr>
        <w:t>、</w:t>
      </w:r>
      <w:r>
        <w:rPr>
          <w:rFonts w:hint="eastAsia" w:ascii="宋体" w:hAnsi="宋体" w:eastAsia="宋体"/>
          <w:color w:val="auto"/>
          <w:sz w:val="24"/>
          <w:highlight w:val="none"/>
        </w:rPr>
        <w:t>服务要求</w:t>
      </w:r>
      <w:r>
        <w:rPr>
          <w:rFonts w:ascii="宋体" w:hAnsi="宋体" w:eastAsia="宋体"/>
          <w:color w:val="auto"/>
          <w:sz w:val="24"/>
          <w:highlight w:val="none"/>
        </w:rPr>
        <w:t>、</w:t>
      </w:r>
      <w:r>
        <w:rPr>
          <w:rFonts w:hint="eastAsia" w:ascii="宋体" w:hAnsi="宋体" w:eastAsia="宋体"/>
          <w:color w:val="auto"/>
          <w:sz w:val="24"/>
          <w:highlight w:val="none"/>
        </w:rPr>
        <w:t>服务时间</w:t>
      </w:r>
      <w:r>
        <w:rPr>
          <w:rFonts w:ascii="宋体" w:hAnsi="宋体" w:eastAsia="宋体"/>
          <w:color w:val="auto"/>
          <w:sz w:val="24"/>
          <w:highlight w:val="none"/>
        </w:rPr>
        <w:t>、</w:t>
      </w:r>
      <w:r>
        <w:rPr>
          <w:rFonts w:hint="eastAsia" w:ascii="宋体" w:hAnsi="宋体" w:eastAsia="宋体"/>
          <w:color w:val="auto"/>
          <w:sz w:val="24"/>
          <w:highlight w:val="none"/>
        </w:rPr>
        <w:t>服务标准</w:t>
      </w:r>
      <w:r>
        <w:rPr>
          <w:rFonts w:ascii="宋体" w:hAnsi="宋体" w:eastAsia="宋体"/>
          <w:color w:val="auto"/>
          <w:sz w:val="24"/>
          <w:highlight w:val="none"/>
        </w:rPr>
        <w:t>，中标公告期限</w:t>
      </w:r>
      <w:r>
        <w:rPr>
          <w:rFonts w:asciiTheme="minorEastAsia" w:hAnsiTheme="minorEastAsia" w:eastAsiaTheme="minorEastAsia"/>
          <w:color w:val="auto"/>
          <w:sz w:val="24"/>
          <w:highlight w:val="none"/>
        </w:rPr>
        <w:t>，中标公告期限以及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29CA558F">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524128DD">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r>
        <w:rPr>
          <w:rFonts w:hint="eastAsia" w:asciiTheme="minorEastAsia" w:hAnsiTheme="minorEastAsia" w:eastAsiaTheme="minorEastAsia"/>
          <w:color w:val="auto"/>
          <w:sz w:val="24"/>
          <w:highlight w:val="none"/>
        </w:rPr>
        <w:t>中标通知书须加盖采购人、采购代理机构公章后，方可发出。</w:t>
      </w:r>
    </w:p>
    <w:p w14:paraId="28C97EED">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55171F5D">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731B27BF">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73D0B8F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295552EC">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495AE43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3EF168C5">
      <w:pPr>
        <w:spacing w:line="360" w:lineRule="auto"/>
        <w:ind w:firstLine="435"/>
        <w:rPr>
          <w:rFonts w:hint="eastAsia"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26.</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4E4D2B27">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017D4BF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27.1</w:t>
      </w:r>
      <w:r>
        <w:rPr>
          <w:rFonts w:hint="eastAsia" w:ascii="宋体" w:hAnsi="宋体" w:eastAsia="宋体" w:cs="宋体"/>
          <w:color w:val="auto"/>
          <w:sz w:val="24"/>
          <w:szCs w:val="24"/>
          <w:highlight w:val="none"/>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规定的时间内完成政府采购合同签订及合同公告。</w:t>
      </w:r>
    </w:p>
    <w:p w14:paraId="3ED8F410">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27.2招标文件、中标人的投标文件及其澄清文件等，均为签订合同的依据。</w:t>
      </w:r>
    </w:p>
    <w:p w14:paraId="2417EAC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27.3中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5A1AADD2">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代理费用</w:t>
      </w:r>
    </w:p>
    <w:p w14:paraId="4C8B326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28</w:t>
      </w:r>
      <w:r>
        <w:rPr>
          <w:rFonts w:ascii="宋体" w:hAnsi="宋体" w:eastAsia="宋体"/>
          <w:color w:val="auto"/>
          <w:sz w:val="24"/>
          <w:highlight w:val="none"/>
        </w:rPr>
        <w:t>.1</w:t>
      </w:r>
      <w:r>
        <w:rPr>
          <w:rFonts w:hint="eastAsia" w:ascii="宋体" w:hAnsi="宋体" w:eastAsia="宋体"/>
          <w:color w:val="auto"/>
          <w:sz w:val="24"/>
          <w:highlight w:val="none"/>
        </w:rPr>
        <w:t>本项目代理费用的收取按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1319361E">
      <w:pPr>
        <w:spacing w:line="360" w:lineRule="auto"/>
        <w:ind w:firstLine="437"/>
        <w:outlineLvl w:val="2"/>
        <w:rPr>
          <w:rFonts w:hint="eastAsia" w:asciiTheme="minorEastAsia" w:hAnsiTheme="minorEastAsia" w:eastAsiaTheme="minorEastAsia"/>
          <w:b/>
          <w:color w:val="auto"/>
          <w:sz w:val="24"/>
          <w:highlight w:val="none"/>
        </w:rPr>
      </w:pPr>
      <w:bookmarkStart w:id="39" w:name="_Toc2583661"/>
      <w:bookmarkStart w:id="40" w:name="_Toc518923100"/>
      <w:r>
        <w:rPr>
          <w:rFonts w:hint="eastAsia" w:asciiTheme="minorEastAsia" w:hAnsiTheme="minorEastAsia" w:eastAsiaTheme="minorEastAsia"/>
          <w:b/>
          <w:color w:val="auto"/>
          <w:sz w:val="24"/>
          <w:highlight w:val="none"/>
        </w:rPr>
        <w:t>29.廉洁自律</w:t>
      </w:r>
      <w:r>
        <w:rPr>
          <w:rFonts w:asciiTheme="minorEastAsia" w:hAnsiTheme="minorEastAsia" w:eastAsiaTheme="minorEastAsia"/>
          <w:b/>
          <w:color w:val="auto"/>
          <w:sz w:val="24"/>
          <w:highlight w:val="none"/>
        </w:rPr>
        <w:t>规定</w:t>
      </w:r>
      <w:bookmarkEnd w:id="39"/>
      <w:bookmarkEnd w:id="40"/>
    </w:p>
    <w:p w14:paraId="493DE62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29.1采购代理机构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66B43EE9">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2BDE666F">
      <w:pPr>
        <w:spacing w:line="360" w:lineRule="auto"/>
        <w:ind w:firstLine="437"/>
        <w:outlineLvl w:val="2"/>
        <w:rPr>
          <w:rFonts w:hint="eastAsia" w:asciiTheme="minorEastAsia" w:hAnsiTheme="minorEastAsia" w:eastAsiaTheme="minorEastAsia"/>
          <w:b/>
          <w:color w:val="auto"/>
          <w:sz w:val="24"/>
          <w:highlight w:val="none"/>
        </w:rPr>
      </w:pPr>
      <w:bookmarkStart w:id="41" w:name="_Toc518923101"/>
      <w:bookmarkStart w:id="42" w:name="_Toc2583662"/>
      <w:r>
        <w:rPr>
          <w:rFonts w:hint="eastAsia" w:asciiTheme="minorEastAsia" w:hAnsiTheme="minorEastAsia" w:eastAsiaTheme="minorEastAsia"/>
          <w:b/>
          <w:color w:val="auto"/>
          <w:sz w:val="24"/>
          <w:highlight w:val="none"/>
        </w:rPr>
        <w:t>30.人员回避</w:t>
      </w:r>
      <w:bookmarkEnd w:id="41"/>
      <w:bookmarkEnd w:id="42"/>
    </w:p>
    <w:p w14:paraId="0E0C787C">
      <w:pPr>
        <w:spacing w:line="360" w:lineRule="auto"/>
        <w:ind w:firstLine="435"/>
        <w:rPr>
          <w:rFonts w:hint="eastAsia"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0F76DD74">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5E1A6BA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31.1投标人认为招标文件、招标过程和中标结果使自己的权益受到损害的，可以在知道或者应知其权益受到损害之日起七个工作日内，以书面形式向采购人或其委托的采购代理机构提出质疑。</w:t>
      </w:r>
    </w:p>
    <w:p w14:paraId="36A0CE9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522175E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31.3采购代理机构质疑函接收部门、联系电话和通讯地址，见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68B507F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31.4采购人或采购代理机构在收到投标人的质疑函后，将审查质疑函的格式、内容以及所附的证明文件是否符合要求。如不符合，说明原因退回投标人；如符合要求，则接受该质疑函。投标人对评审过程、中标（成交）结果提出质疑的，采购人、采购代理机构可以组织原评标委员会协助答复质疑。处理质疑的时间，从实际接受投标人质疑函的时间开始计算。</w:t>
      </w:r>
    </w:p>
    <w:p w14:paraId="03FF81E6">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7C270EF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0177408E">
      <w:pPr>
        <w:widowControl/>
        <w:jc w:val="left"/>
        <w:rPr>
          <w:rFonts w:hint="eastAsia"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56F43B10">
      <w:pPr>
        <w:spacing w:line="360" w:lineRule="auto"/>
        <w:jc w:val="center"/>
        <w:outlineLvl w:val="0"/>
        <w:rPr>
          <w:rFonts w:hint="eastAsia" w:asciiTheme="minorEastAsia" w:hAnsiTheme="minorEastAsia" w:eastAsiaTheme="minorEastAsia"/>
          <w:b/>
          <w:color w:val="auto"/>
          <w:sz w:val="28"/>
          <w:highlight w:val="none"/>
        </w:rPr>
      </w:pPr>
      <w:bookmarkStart w:id="43" w:name="_Toc10891"/>
      <w:r>
        <w:rPr>
          <w:rFonts w:hint="eastAsia" w:asciiTheme="minorEastAsia" w:hAnsiTheme="minorEastAsia" w:eastAsiaTheme="minorEastAsia"/>
          <w:b/>
          <w:color w:val="auto"/>
          <w:sz w:val="28"/>
          <w:highlight w:val="none"/>
        </w:rPr>
        <w:t>第三章  采购需求</w:t>
      </w:r>
      <w:bookmarkEnd w:id="43"/>
    </w:p>
    <w:p w14:paraId="6747A9C6">
      <w:pPr>
        <w:spacing w:line="360" w:lineRule="auto"/>
        <w:ind w:firstLine="43"/>
        <w:rPr>
          <w:rFonts w:hint="eastAsia"/>
          <w:color w:val="auto"/>
          <w:highlight w:val="none"/>
        </w:rPr>
      </w:pPr>
      <w:bookmarkStart w:id="44" w:name="_Toc2554"/>
      <w:bookmarkStart w:id="45" w:name="_Toc32151"/>
      <w:bookmarkStart w:id="46" w:name="_Toc4328"/>
      <w:r>
        <w:rPr>
          <w:rFonts w:hint="eastAsia" w:asciiTheme="minorEastAsia" w:hAnsiTheme="minorEastAsia" w:eastAsiaTheme="minorEastAsia"/>
          <w:color w:val="auto"/>
          <w:sz w:val="24"/>
          <w:highlight w:val="none"/>
        </w:rPr>
        <w:t>1.</w:t>
      </w:r>
      <w:r>
        <w:rPr>
          <w:rFonts w:hint="eastAsia" w:ascii="宋体" w:hAnsi="宋体" w:eastAsia="宋体"/>
          <w:color w:val="auto"/>
          <w:sz w:val="24"/>
          <w:szCs w:val="18"/>
          <w:highlight w:val="none"/>
        </w:rPr>
        <w:t>如采购人允许采用分包方式履行合同的，应当明确可以分包履行的相关内容。</w:t>
      </w:r>
    </w:p>
    <w:p w14:paraId="4348F7A8">
      <w:pPr>
        <w:spacing w:line="360" w:lineRule="auto"/>
        <w:ind w:firstLine="43"/>
        <w:outlineLvl w:val="1"/>
        <w:rPr>
          <w:rFonts w:hint="eastAsia" w:ascii="宋体" w:hAnsi="宋体" w:eastAsia="宋体"/>
          <w:b/>
          <w:color w:val="auto"/>
          <w:sz w:val="24"/>
          <w:szCs w:val="18"/>
          <w:highlight w:val="none"/>
        </w:rPr>
      </w:pPr>
      <w:r>
        <w:rPr>
          <w:rFonts w:hint="eastAsia" w:ascii="宋体" w:hAnsi="宋体" w:eastAsia="宋体"/>
          <w:b/>
          <w:color w:val="auto"/>
          <w:sz w:val="24"/>
          <w:szCs w:val="18"/>
          <w:highlight w:val="none"/>
        </w:rPr>
        <w:t>一、采购需求前附表</w:t>
      </w:r>
      <w:bookmarkEnd w:id="44"/>
      <w:bookmarkEnd w:id="45"/>
    </w:p>
    <w:tbl>
      <w:tblPr>
        <w:tblStyle w:val="26"/>
        <w:tblW w:w="48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793"/>
        <w:gridCol w:w="5802"/>
      </w:tblGrid>
      <w:tr w14:paraId="0C81F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4" w:type="pct"/>
            <w:vAlign w:val="center"/>
          </w:tcPr>
          <w:p w14:paraId="6151C2FE">
            <w:pPr>
              <w:pStyle w:val="45"/>
              <w:pBdr>
                <w:bottom w:val="none" w:color="auto" w:sz="0" w:space="0"/>
              </w:pBdr>
              <w:tabs>
                <w:tab w:val="clear" w:pos="4153"/>
                <w:tab w:val="clear" w:pos="8306"/>
              </w:tabs>
              <w:adjustRightInd/>
              <w:spacing w:line="240" w:lineRule="auto"/>
              <w:ind w:firstLine="43"/>
              <w:textAlignment w:val="auto"/>
              <w:rPr>
                <w:rFonts w:hint="eastAsia" w:ascii="宋体" w:hAnsi="宋体" w:eastAsia="宋体"/>
                <w:b/>
                <w:color w:val="auto"/>
                <w:kern w:val="2"/>
                <w:highlight w:val="none"/>
              </w:rPr>
            </w:pPr>
            <w:r>
              <w:rPr>
                <w:rFonts w:hint="eastAsia" w:ascii="宋体" w:hAnsi="宋体" w:eastAsia="宋体"/>
                <w:b/>
                <w:color w:val="auto"/>
                <w:kern w:val="2"/>
                <w:highlight w:val="none"/>
              </w:rPr>
              <w:t>序号</w:t>
            </w:r>
          </w:p>
        </w:tc>
        <w:tc>
          <w:tcPr>
            <w:tcW w:w="1080" w:type="pct"/>
            <w:vAlign w:val="center"/>
          </w:tcPr>
          <w:p w14:paraId="18B277BF">
            <w:pPr>
              <w:pStyle w:val="44"/>
              <w:widowControl w:val="0"/>
              <w:spacing w:before="0" w:beforeAutospacing="0" w:after="0" w:afterAutospacing="0" w:line="360" w:lineRule="auto"/>
              <w:ind w:firstLine="43"/>
              <w:rPr>
                <w:rFonts w:hint="eastAsia"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495" w:type="pct"/>
            <w:vAlign w:val="center"/>
          </w:tcPr>
          <w:p w14:paraId="11A89C54">
            <w:pPr>
              <w:pStyle w:val="44"/>
              <w:widowControl w:val="0"/>
              <w:spacing w:before="0" w:beforeAutospacing="0" w:after="0" w:afterAutospacing="0" w:line="360" w:lineRule="auto"/>
              <w:ind w:firstLine="43"/>
              <w:rPr>
                <w:rFonts w:hint="eastAsia"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1CE6E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424" w:type="pct"/>
            <w:vAlign w:val="center"/>
          </w:tcPr>
          <w:p w14:paraId="6FE0ED4A">
            <w:pPr>
              <w:pStyle w:val="45"/>
              <w:pBdr>
                <w:bottom w:val="none" w:color="auto" w:sz="0" w:space="0"/>
              </w:pBdr>
              <w:tabs>
                <w:tab w:val="clear" w:pos="4153"/>
                <w:tab w:val="clear" w:pos="8306"/>
              </w:tabs>
              <w:adjustRightInd/>
              <w:spacing w:line="240" w:lineRule="auto"/>
              <w:ind w:firstLine="43"/>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w:t>
            </w:r>
          </w:p>
        </w:tc>
        <w:tc>
          <w:tcPr>
            <w:tcW w:w="1080" w:type="pct"/>
            <w:vAlign w:val="center"/>
          </w:tcPr>
          <w:p w14:paraId="22FC200D">
            <w:pPr>
              <w:pStyle w:val="44"/>
              <w:widowControl w:val="0"/>
              <w:spacing w:before="0" w:beforeAutospacing="0" w:after="0" w:afterAutospacing="0"/>
              <w:ind w:firstLine="43"/>
              <w:rPr>
                <w:rFonts w:hint="eastAsia"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495" w:type="pct"/>
            <w:vAlign w:val="center"/>
          </w:tcPr>
          <w:p w14:paraId="0A131BFE">
            <w:pPr>
              <w:jc w:val="left"/>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每半年付款一次，总金额按水处理消毒服务和过氧乙酸消毒液实际发生数合计结算。</w:t>
            </w:r>
          </w:p>
        </w:tc>
      </w:tr>
      <w:tr w14:paraId="66013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24" w:type="pct"/>
            <w:vAlign w:val="center"/>
          </w:tcPr>
          <w:p w14:paraId="6148BA87">
            <w:pPr>
              <w:pStyle w:val="45"/>
              <w:pBdr>
                <w:bottom w:val="none" w:color="auto" w:sz="0" w:space="0"/>
              </w:pBdr>
              <w:tabs>
                <w:tab w:val="clear" w:pos="4153"/>
                <w:tab w:val="clear" w:pos="8306"/>
              </w:tabs>
              <w:adjustRightInd/>
              <w:spacing w:line="240" w:lineRule="auto"/>
              <w:ind w:firstLine="43"/>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w:t>
            </w:r>
          </w:p>
        </w:tc>
        <w:tc>
          <w:tcPr>
            <w:tcW w:w="1080" w:type="pct"/>
            <w:vAlign w:val="center"/>
          </w:tcPr>
          <w:p w14:paraId="3E28B1E6">
            <w:pPr>
              <w:pStyle w:val="44"/>
              <w:widowControl w:val="0"/>
              <w:spacing w:before="0" w:beforeAutospacing="0" w:after="0" w:afterAutospacing="0"/>
              <w:ind w:firstLine="43"/>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供货</w:t>
            </w:r>
            <w:r>
              <w:rPr>
                <w:rFonts w:hint="eastAsia" w:ascii="宋体" w:hAnsi="宋体" w:eastAsia="宋体"/>
                <w:b w:val="0"/>
                <w:color w:val="auto"/>
                <w:sz w:val="24"/>
                <w:highlight w:val="none"/>
              </w:rPr>
              <w:t>地点</w:t>
            </w:r>
          </w:p>
        </w:tc>
        <w:tc>
          <w:tcPr>
            <w:tcW w:w="3495" w:type="pct"/>
            <w:vAlign w:val="center"/>
          </w:tcPr>
          <w:p w14:paraId="3A3D8AC3">
            <w:pPr>
              <w:ind w:firstLine="43"/>
              <w:jc w:val="left"/>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滁州市第一人民医院（采购人指定地点）</w:t>
            </w:r>
          </w:p>
        </w:tc>
      </w:tr>
      <w:tr w14:paraId="3DB74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424" w:type="pct"/>
            <w:vAlign w:val="center"/>
          </w:tcPr>
          <w:p w14:paraId="58711BD2">
            <w:pPr>
              <w:pStyle w:val="45"/>
              <w:pBdr>
                <w:bottom w:val="none" w:color="auto" w:sz="0" w:space="0"/>
              </w:pBdr>
              <w:tabs>
                <w:tab w:val="clear" w:pos="4153"/>
                <w:tab w:val="clear" w:pos="8306"/>
              </w:tabs>
              <w:adjustRightInd/>
              <w:spacing w:line="240" w:lineRule="auto"/>
              <w:ind w:firstLine="43"/>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3</w:t>
            </w:r>
          </w:p>
        </w:tc>
        <w:tc>
          <w:tcPr>
            <w:tcW w:w="1080" w:type="pct"/>
            <w:vAlign w:val="center"/>
          </w:tcPr>
          <w:p w14:paraId="06452674">
            <w:pPr>
              <w:pStyle w:val="44"/>
              <w:widowControl w:val="0"/>
              <w:spacing w:before="0" w:beforeAutospacing="0" w:after="0" w:afterAutospacing="0"/>
              <w:ind w:firstLine="43"/>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服务</w:t>
            </w:r>
            <w:r>
              <w:rPr>
                <w:rFonts w:hint="eastAsia" w:ascii="宋体" w:hAnsi="宋体" w:eastAsia="宋体"/>
                <w:b w:val="0"/>
                <w:color w:val="auto"/>
                <w:sz w:val="24"/>
                <w:highlight w:val="none"/>
              </w:rPr>
              <w:t>期限</w:t>
            </w:r>
          </w:p>
        </w:tc>
        <w:tc>
          <w:tcPr>
            <w:tcW w:w="3495" w:type="pct"/>
            <w:vAlign w:val="center"/>
          </w:tcPr>
          <w:p w14:paraId="25E0D77B">
            <w:pPr>
              <w:ind w:firstLine="43"/>
              <w:jc w:val="left"/>
              <w:rPr>
                <w:rFonts w:hint="default" w:ascii="宋体" w:hAnsi="宋体" w:eastAsia="宋体"/>
                <w:bCs/>
                <w:color w:val="auto"/>
                <w:kern w:val="0"/>
                <w:sz w:val="24"/>
                <w:szCs w:val="28"/>
                <w:highlight w:val="none"/>
                <w:lang w:val="en-US" w:eastAsia="zh-CN"/>
              </w:rPr>
            </w:pPr>
            <w:r>
              <w:rPr>
                <w:rFonts w:hint="eastAsia" w:ascii="宋体" w:hAnsi="宋体" w:eastAsia="宋体"/>
                <w:bCs/>
                <w:color w:val="auto"/>
                <w:kern w:val="0"/>
                <w:sz w:val="24"/>
                <w:szCs w:val="28"/>
                <w:highlight w:val="none"/>
                <w:lang w:val="en-US" w:eastAsia="zh-CN"/>
              </w:rPr>
              <w:t>叁年</w:t>
            </w:r>
          </w:p>
        </w:tc>
      </w:tr>
    </w:tbl>
    <w:p w14:paraId="5DAE09A7">
      <w:pPr>
        <w:pStyle w:val="51"/>
        <w:numPr>
          <w:ilvl w:val="0"/>
          <w:numId w:val="1"/>
        </w:numPr>
        <w:spacing w:line="360" w:lineRule="auto"/>
        <w:ind w:firstLineChars="0"/>
        <w:rPr>
          <w:rFonts w:hint="eastAsia" w:ascii="宋体" w:hAnsi="宋体" w:eastAsia="宋体"/>
          <w:b/>
          <w:color w:val="auto"/>
          <w:sz w:val="24"/>
          <w:szCs w:val="18"/>
          <w:highlight w:val="none"/>
        </w:rPr>
      </w:pPr>
      <w:bookmarkStart w:id="47" w:name="_Toc4843"/>
      <w:bookmarkStart w:id="48" w:name="_Toc7421"/>
      <w:r>
        <w:rPr>
          <w:rFonts w:hint="eastAsia" w:ascii="宋体" w:hAnsi="宋体" w:eastAsia="宋体"/>
          <w:b/>
          <w:color w:val="auto"/>
          <w:sz w:val="24"/>
          <w:szCs w:val="18"/>
          <w:highlight w:val="none"/>
        </w:rPr>
        <w:t>货物需求</w:t>
      </w:r>
    </w:p>
    <w:bookmarkEnd w:id="47"/>
    <w:bookmarkEnd w:id="48"/>
    <w:p w14:paraId="7DC0DB0D">
      <w:pPr>
        <w:spacing w:line="360" w:lineRule="auto"/>
        <w:ind w:firstLine="480" w:firstLineChars="200"/>
        <w:rPr>
          <w:rFonts w:hint="eastAsia" w:ascii="宋体" w:hAnsi="宋体" w:eastAsia="宋体"/>
          <w:b/>
          <w:color w:val="auto"/>
          <w:sz w:val="24"/>
          <w:szCs w:val="18"/>
          <w:highlight w:val="none"/>
        </w:rPr>
      </w:pPr>
      <w:r>
        <w:rPr>
          <w:rFonts w:hint="default" w:ascii="宋体" w:hAnsi="宋体" w:eastAsia="宋体" w:cs="@仿宋_GB2312"/>
          <w:bCs/>
          <w:color w:val="auto"/>
          <w:kern w:val="0"/>
          <w:sz w:val="24"/>
          <w:szCs w:val="28"/>
          <w:highlight w:val="none"/>
          <w:lang w:val="en-US" w:eastAsia="zh-CN" w:bidi="ar-SA"/>
        </w:rPr>
        <w:t>（一）</w:t>
      </w:r>
      <w:r>
        <w:rPr>
          <w:rFonts w:hint="eastAsia" w:ascii="宋体" w:hAnsi="宋体" w:eastAsia="宋体"/>
          <w:b/>
          <w:color w:val="auto"/>
          <w:sz w:val="24"/>
          <w:szCs w:val="18"/>
          <w:highlight w:val="none"/>
        </w:rPr>
        <w:t>采购需求清单</w:t>
      </w:r>
    </w:p>
    <w:tbl>
      <w:tblPr>
        <w:tblStyle w:val="27"/>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2265"/>
        <w:gridCol w:w="960"/>
        <w:gridCol w:w="1035"/>
        <w:gridCol w:w="1725"/>
        <w:gridCol w:w="1980"/>
      </w:tblGrid>
      <w:tr w14:paraId="50A64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654" w:type="dxa"/>
            <w:vAlign w:val="center"/>
          </w:tcPr>
          <w:p w14:paraId="1CD781BE">
            <w:pPr>
              <w:ind w:firstLine="43"/>
              <w:jc w:val="center"/>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序号</w:t>
            </w:r>
          </w:p>
        </w:tc>
        <w:tc>
          <w:tcPr>
            <w:tcW w:w="2265" w:type="dxa"/>
            <w:vAlign w:val="center"/>
          </w:tcPr>
          <w:p w14:paraId="12991C89">
            <w:pPr>
              <w:ind w:firstLine="43"/>
              <w:jc w:val="center"/>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名称</w:t>
            </w:r>
          </w:p>
        </w:tc>
        <w:tc>
          <w:tcPr>
            <w:tcW w:w="960" w:type="dxa"/>
            <w:vAlign w:val="center"/>
          </w:tcPr>
          <w:p w14:paraId="6C5D929A">
            <w:pPr>
              <w:ind w:firstLine="43"/>
              <w:jc w:val="center"/>
              <w:rPr>
                <w:rFonts w:hint="eastAsia" w:ascii="宋体" w:hAnsi="宋体" w:eastAsia="宋体"/>
                <w:bCs/>
                <w:color w:val="auto"/>
                <w:kern w:val="0"/>
                <w:sz w:val="24"/>
                <w:szCs w:val="28"/>
                <w:highlight w:val="none"/>
              </w:rPr>
            </w:pPr>
            <w:bookmarkStart w:id="49" w:name="OLE_LINK1"/>
            <w:r>
              <w:rPr>
                <w:rFonts w:hint="eastAsia" w:ascii="宋体" w:hAnsi="宋体" w:eastAsia="宋体"/>
                <w:bCs/>
                <w:color w:val="auto"/>
                <w:kern w:val="0"/>
                <w:sz w:val="24"/>
                <w:szCs w:val="28"/>
                <w:highlight w:val="none"/>
              </w:rPr>
              <w:t>单位</w:t>
            </w:r>
            <w:bookmarkEnd w:id="49"/>
          </w:p>
        </w:tc>
        <w:tc>
          <w:tcPr>
            <w:tcW w:w="1035" w:type="dxa"/>
            <w:vAlign w:val="center"/>
          </w:tcPr>
          <w:p w14:paraId="6CBF8F65">
            <w:pPr>
              <w:ind w:firstLine="43"/>
              <w:jc w:val="center"/>
              <w:rPr>
                <w:rFonts w:hint="eastAsia" w:ascii="宋体" w:hAnsi="宋体" w:eastAsia="宋体"/>
                <w:bCs/>
                <w:color w:val="auto"/>
                <w:kern w:val="0"/>
                <w:sz w:val="24"/>
                <w:szCs w:val="28"/>
                <w:highlight w:val="none"/>
                <w:lang w:eastAsia="zh-CN"/>
              </w:rPr>
            </w:pPr>
            <w:r>
              <w:rPr>
                <w:rFonts w:hint="eastAsia" w:ascii="宋体" w:hAnsi="宋体" w:eastAsia="宋体"/>
                <w:bCs/>
                <w:color w:val="auto"/>
                <w:kern w:val="0"/>
                <w:sz w:val="24"/>
                <w:szCs w:val="28"/>
                <w:highlight w:val="none"/>
                <w:lang w:eastAsia="zh-CN"/>
              </w:rPr>
              <w:t>每年</w:t>
            </w:r>
          </w:p>
          <w:p w14:paraId="5CCDFE9A">
            <w:pPr>
              <w:ind w:firstLine="43"/>
              <w:jc w:val="center"/>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数量</w:t>
            </w:r>
          </w:p>
        </w:tc>
        <w:tc>
          <w:tcPr>
            <w:tcW w:w="1725" w:type="dxa"/>
            <w:vAlign w:val="center"/>
          </w:tcPr>
          <w:p w14:paraId="7F309BA0">
            <w:pPr>
              <w:ind w:firstLine="43"/>
              <w:jc w:val="center"/>
              <w:rPr>
                <w:rFonts w:hint="default" w:ascii="宋体" w:hAnsi="宋体" w:eastAsia="宋体"/>
                <w:bCs/>
                <w:color w:val="auto"/>
                <w:kern w:val="0"/>
                <w:sz w:val="24"/>
                <w:szCs w:val="28"/>
                <w:highlight w:val="none"/>
                <w:lang w:val="en-US" w:eastAsia="zh-CN"/>
              </w:rPr>
            </w:pPr>
            <w:r>
              <w:rPr>
                <w:rFonts w:hint="eastAsia" w:ascii="宋体" w:hAnsi="宋体" w:eastAsia="宋体"/>
                <w:bCs/>
                <w:color w:val="auto"/>
                <w:kern w:val="0"/>
                <w:sz w:val="24"/>
                <w:szCs w:val="28"/>
                <w:highlight w:val="none"/>
                <w:lang w:val="en-US" w:eastAsia="zh-CN"/>
              </w:rPr>
              <w:t>单价最高限价</w:t>
            </w:r>
          </w:p>
        </w:tc>
        <w:tc>
          <w:tcPr>
            <w:tcW w:w="1980" w:type="dxa"/>
            <w:vAlign w:val="center"/>
          </w:tcPr>
          <w:p w14:paraId="568BE86D">
            <w:pPr>
              <w:ind w:firstLine="43"/>
              <w:jc w:val="center"/>
              <w:rPr>
                <w:rFonts w:hint="eastAsia" w:ascii="宋体" w:hAnsi="宋体" w:eastAsia="宋体"/>
                <w:bCs/>
                <w:color w:val="auto"/>
                <w:kern w:val="0"/>
                <w:sz w:val="24"/>
                <w:szCs w:val="28"/>
                <w:highlight w:val="none"/>
                <w:lang w:val="en-US" w:eastAsia="zh-CN"/>
              </w:rPr>
            </w:pPr>
            <w:r>
              <w:rPr>
                <w:rFonts w:hint="eastAsia" w:ascii="宋体" w:hAnsi="宋体" w:eastAsia="宋体"/>
                <w:bCs/>
                <w:color w:val="auto"/>
                <w:kern w:val="0"/>
                <w:sz w:val="24"/>
                <w:szCs w:val="28"/>
                <w:highlight w:val="none"/>
                <w:lang w:val="en-US" w:eastAsia="zh-CN"/>
              </w:rPr>
              <w:t>备注</w:t>
            </w:r>
          </w:p>
        </w:tc>
      </w:tr>
      <w:tr w14:paraId="254D6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654" w:type="dxa"/>
            <w:vAlign w:val="center"/>
          </w:tcPr>
          <w:p w14:paraId="59668824">
            <w:pPr>
              <w:ind w:firstLine="43"/>
              <w:jc w:val="center"/>
              <w:rPr>
                <w:rFonts w:hint="eastAsia" w:ascii="宋体" w:hAnsi="宋体" w:eastAsia="宋体"/>
                <w:bCs/>
                <w:color w:val="auto"/>
                <w:kern w:val="0"/>
                <w:sz w:val="24"/>
                <w:szCs w:val="28"/>
                <w:highlight w:val="none"/>
                <w:lang w:eastAsia="zh-CN"/>
              </w:rPr>
            </w:pPr>
            <w:r>
              <w:rPr>
                <w:rFonts w:hint="eastAsia" w:ascii="宋体" w:hAnsi="宋体" w:eastAsia="宋体"/>
                <w:bCs/>
                <w:color w:val="auto"/>
                <w:kern w:val="0"/>
                <w:sz w:val="24"/>
                <w:szCs w:val="28"/>
                <w:highlight w:val="none"/>
              </w:rPr>
              <w:t>1</w:t>
            </w:r>
          </w:p>
        </w:tc>
        <w:tc>
          <w:tcPr>
            <w:tcW w:w="2265" w:type="dxa"/>
            <w:vAlign w:val="center"/>
          </w:tcPr>
          <w:p w14:paraId="4D81B634">
            <w:pPr>
              <w:ind w:firstLine="43"/>
              <w:jc w:val="center"/>
              <w:rPr>
                <w:rFonts w:hint="eastAsia" w:ascii="宋体" w:hAnsi="宋体" w:eastAsia="宋体"/>
                <w:bCs/>
                <w:color w:val="auto"/>
                <w:kern w:val="0"/>
                <w:sz w:val="24"/>
                <w:szCs w:val="28"/>
                <w:highlight w:val="none"/>
                <w:lang w:val="en-US" w:eastAsia="zh-CN"/>
              </w:rPr>
            </w:pPr>
            <w:r>
              <w:rPr>
                <w:rFonts w:hint="eastAsia" w:ascii="宋体" w:hAnsi="宋体" w:eastAsia="宋体"/>
                <w:bCs/>
                <w:color w:val="auto"/>
                <w:kern w:val="0"/>
                <w:sz w:val="24"/>
                <w:szCs w:val="28"/>
                <w:highlight w:val="none"/>
                <w:lang w:val="en-US" w:eastAsia="zh-CN"/>
              </w:rPr>
              <w:t>水处理消毒服务</w:t>
            </w:r>
          </w:p>
        </w:tc>
        <w:tc>
          <w:tcPr>
            <w:tcW w:w="960" w:type="dxa"/>
            <w:vAlign w:val="center"/>
          </w:tcPr>
          <w:p w14:paraId="694D7C14">
            <w:pPr>
              <w:ind w:firstLine="43"/>
              <w:jc w:val="center"/>
              <w:rPr>
                <w:rFonts w:hint="eastAsia" w:ascii="宋体" w:hAnsi="宋体" w:eastAsia="宋体"/>
                <w:bCs/>
                <w:color w:val="auto"/>
                <w:kern w:val="0"/>
                <w:sz w:val="24"/>
                <w:szCs w:val="28"/>
                <w:highlight w:val="none"/>
                <w:lang w:val="en-US" w:eastAsia="zh-CN"/>
              </w:rPr>
            </w:pPr>
            <w:r>
              <w:rPr>
                <w:rFonts w:hint="eastAsia" w:ascii="宋体" w:hAnsi="宋体" w:eastAsia="宋体"/>
                <w:bCs/>
                <w:color w:val="auto"/>
                <w:kern w:val="0"/>
                <w:sz w:val="24"/>
                <w:szCs w:val="28"/>
                <w:highlight w:val="none"/>
                <w:lang w:val="en-US" w:eastAsia="zh-CN"/>
              </w:rPr>
              <w:t>次</w:t>
            </w:r>
          </w:p>
        </w:tc>
        <w:tc>
          <w:tcPr>
            <w:tcW w:w="1035" w:type="dxa"/>
            <w:vAlign w:val="center"/>
          </w:tcPr>
          <w:p w14:paraId="5C9DFF8E">
            <w:pPr>
              <w:ind w:firstLine="43"/>
              <w:jc w:val="center"/>
              <w:rPr>
                <w:rFonts w:hint="default" w:ascii="宋体" w:hAnsi="宋体" w:eastAsia="宋体"/>
                <w:bCs/>
                <w:color w:val="auto"/>
                <w:kern w:val="0"/>
                <w:sz w:val="24"/>
                <w:szCs w:val="28"/>
                <w:highlight w:val="none"/>
                <w:lang w:val="en-US" w:eastAsia="zh-CN"/>
              </w:rPr>
            </w:pPr>
            <w:r>
              <w:rPr>
                <w:rFonts w:hint="eastAsia" w:ascii="宋体" w:hAnsi="宋体" w:eastAsia="宋体"/>
                <w:bCs/>
                <w:color w:val="auto"/>
                <w:kern w:val="0"/>
                <w:sz w:val="24"/>
                <w:szCs w:val="28"/>
                <w:highlight w:val="none"/>
                <w:lang w:val="en-US" w:eastAsia="zh-CN"/>
              </w:rPr>
              <w:t>24</w:t>
            </w:r>
          </w:p>
        </w:tc>
        <w:tc>
          <w:tcPr>
            <w:tcW w:w="1725" w:type="dxa"/>
            <w:vAlign w:val="center"/>
          </w:tcPr>
          <w:p w14:paraId="50DE8FAA">
            <w:pPr>
              <w:ind w:firstLine="43"/>
              <w:jc w:val="center"/>
              <w:rPr>
                <w:rFonts w:hint="eastAsia" w:ascii="宋体" w:hAnsi="宋体" w:eastAsia="宋体"/>
                <w:bCs/>
                <w:color w:val="auto"/>
                <w:kern w:val="0"/>
                <w:sz w:val="24"/>
                <w:szCs w:val="28"/>
                <w:highlight w:val="none"/>
                <w:lang w:val="en-US" w:eastAsia="zh-CN"/>
              </w:rPr>
            </w:pPr>
            <w:r>
              <w:rPr>
                <w:rFonts w:hint="eastAsia" w:ascii="宋体" w:hAnsi="宋体" w:eastAsia="宋体"/>
                <w:bCs/>
                <w:color w:val="auto"/>
                <w:kern w:val="0"/>
                <w:sz w:val="24"/>
                <w:szCs w:val="28"/>
                <w:highlight w:val="none"/>
                <w:lang w:val="en-US" w:eastAsia="zh-CN"/>
              </w:rPr>
              <w:t>1060元/次</w:t>
            </w:r>
          </w:p>
        </w:tc>
        <w:tc>
          <w:tcPr>
            <w:tcW w:w="1980" w:type="dxa"/>
            <w:vAlign w:val="center"/>
          </w:tcPr>
          <w:p w14:paraId="737766CA">
            <w:pPr>
              <w:ind w:firstLine="43"/>
              <w:jc w:val="center"/>
              <w:rPr>
                <w:rFonts w:hint="eastAsia" w:ascii="宋体" w:hAnsi="宋体" w:eastAsia="宋体"/>
                <w:bCs/>
                <w:color w:val="auto"/>
                <w:kern w:val="0"/>
                <w:sz w:val="24"/>
                <w:szCs w:val="28"/>
                <w:highlight w:val="none"/>
                <w:lang w:val="en-US" w:eastAsia="zh-CN"/>
              </w:rPr>
            </w:pPr>
            <w:r>
              <w:rPr>
                <w:rFonts w:hint="eastAsia" w:ascii="宋体" w:hAnsi="宋体" w:eastAsia="宋体"/>
                <w:bCs/>
                <w:color w:val="auto"/>
                <w:kern w:val="0"/>
                <w:sz w:val="24"/>
                <w:szCs w:val="28"/>
                <w:highlight w:val="none"/>
                <w:lang w:val="en-US" w:eastAsia="zh-CN"/>
              </w:rPr>
              <w:t>单台水处理机消毒达标即为一次</w:t>
            </w:r>
          </w:p>
        </w:tc>
      </w:tr>
      <w:tr w14:paraId="20B09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654" w:type="dxa"/>
            <w:vAlign w:val="center"/>
          </w:tcPr>
          <w:p w14:paraId="152689BE">
            <w:pPr>
              <w:ind w:firstLine="43"/>
              <w:jc w:val="center"/>
              <w:rPr>
                <w:rFonts w:hint="eastAsia" w:ascii="宋体" w:hAnsi="宋体" w:eastAsia="宋体"/>
                <w:bCs/>
                <w:color w:val="auto"/>
                <w:kern w:val="0"/>
                <w:sz w:val="24"/>
                <w:szCs w:val="28"/>
                <w:highlight w:val="none"/>
                <w:lang w:val="en-US" w:eastAsia="zh-CN"/>
              </w:rPr>
            </w:pPr>
            <w:r>
              <w:rPr>
                <w:rFonts w:hint="eastAsia" w:ascii="宋体" w:hAnsi="宋体" w:eastAsia="宋体"/>
                <w:bCs/>
                <w:color w:val="auto"/>
                <w:kern w:val="0"/>
                <w:sz w:val="24"/>
                <w:szCs w:val="28"/>
                <w:highlight w:val="none"/>
                <w:lang w:val="en-US" w:eastAsia="zh-CN"/>
              </w:rPr>
              <w:t>2</w:t>
            </w:r>
          </w:p>
        </w:tc>
        <w:tc>
          <w:tcPr>
            <w:tcW w:w="2265" w:type="dxa"/>
            <w:vAlign w:val="center"/>
          </w:tcPr>
          <w:p w14:paraId="67CAC808">
            <w:pPr>
              <w:ind w:firstLine="43"/>
              <w:jc w:val="center"/>
              <w:rPr>
                <w:rFonts w:hint="eastAsia" w:ascii="宋体" w:hAnsi="宋体" w:eastAsia="宋体"/>
                <w:bCs/>
                <w:color w:val="auto"/>
                <w:kern w:val="0"/>
                <w:sz w:val="24"/>
                <w:szCs w:val="28"/>
                <w:highlight w:val="none"/>
                <w:lang w:val="en-US" w:eastAsia="zh-CN"/>
              </w:rPr>
            </w:pPr>
            <w:r>
              <w:rPr>
                <w:rFonts w:hint="eastAsia" w:ascii="宋体" w:hAnsi="宋体" w:eastAsia="宋体"/>
                <w:bCs/>
                <w:color w:val="auto"/>
                <w:kern w:val="0"/>
                <w:sz w:val="24"/>
                <w:szCs w:val="28"/>
                <w:highlight w:val="none"/>
                <w:lang w:val="en-US" w:eastAsia="zh-CN"/>
              </w:rPr>
              <w:t>过氧乙酸消毒液</w:t>
            </w:r>
          </w:p>
        </w:tc>
        <w:tc>
          <w:tcPr>
            <w:tcW w:w="960" w:type="dxa"/>
            <w:vAlign w:val="center"/>
          </w:tcPr>
          <w:p w14:paraId="534BB51F">
            <w:pPr>
              <w:ind w:firstLine="43"/>
              <w:jc w:val="center"/>
              <w:rPr>
                <w:rFonts w:hint="default" w:ascii="宋体" w:hAnsi="宋体" w:eastAsia="宋体"/>
                <w:bCs/>
                <w:color w:val="auto"/>
                <w:kern w:val="0"/>
                <w:sz w:val="24"/>
                <w:szCs w:val="28"/>
                <w:highlight w:val="none"/>
                <w:lang w:val="en-US" w:eastAsia="zh-CN"/>
              </w:rPr>
            </w:pPr>
            <w:r>
              <w:rPr>
                <w:rFonts w:hint="eastAsia" w:ascii="宋体" w:hAnsi="宋体" w:eastAsia="宋体"/>
                <w:bCs/>
                <w:color w:val="auto"/>
                <w:kern w:val="0"/>
                <w:sz w:val="24"/>
                <w:szCs w:val="28"/>
                <w:highlight w:val="none"/>
                <w:lang w:val="en-US" w:eastAsia="zh-CN"/>
              </w:rPr>
              <w:t>桶</w:t>
            </w:r>
          </w:p>
        </w:tc>
        <w:tc>
          <w:tcPr>
            <w:tcW w:w="1035" w:type="dxa"/>
            <w:vAlign w:val="center"/>
          </w:tcPr>
          <w:p w14:paraId="7BD86D39">
            <w:pPr>
              <w:ind w:firstLine="43"/>
              <w:jc w:val="center"/>
              <w:rPr>
                <w:rFonts w:hint="eastAsia" w:ascii="宋体" w:hAnsi="宋体" w:eastAsia="宋体"/>
                <w:bCs/>
                <w:color w:val="auto"/>
                <w:kern w:val="0"/>
                <w:sz w:val="24"/>
                <w:szCs w:val="28"/>
                <w:highlight w:val="none"/>
                <w:lang w:val="en-US" w:eastAsia="zh-CN"/>
              </w:rPr>
            </w:pPr>
            <w:r>
              <w:rPr>
                <w:rFonts w:hint="eastAsia" w:ascii="宋体" w:hAnsi="宋体" w:eastAsia="宋体"/>
                <w:bCs/>
                <w:color w:val="auto"/>
                <w:kern w:val="0"/>
                <w:sz w:val="24"/>
                <w:szCs w:val="28"/>
                <w:highlight w:val="none"/>
                <w:lang w:val="en-US" w:eastAsia="zh-CN"/>
              </w:rPr>
              <w:t>100</w:t>
            </w:r>
          </w:p>
        </w:tc>
        <w:tc>
          <w:tcPr>
            <w:tcW w:w="1725" w:type="dxa"/>
            <w:vAlign w:val="center"/>
          </w:tcPr>
          <w:p w14:paraId="4718089F">
            <w:pPr>
              <w:ind w:firstLine="43"/>
              <w:jc w:val="center"/>
              <w:rPr>
                <w:rFonts w:hint="eastAsia" w:ascii="宋体" w:hAnsi="宋体" w:eastAsia="宋体"/>
                <w:bCs/>
                <w:color w:val="auto"/>
                <w:kern w:val="0"/>
                <w:sz w:val="24"/>
                <w:szCs w:val="28"/>
                <w:highlight w:val="none"/>
                <w:lang w:val="en-US" w:eastAsia="zh-CN"/>
              </w:rPr>
            </w:pPr>
            <w:r>
              <w:rPr>
                <w:rFonts w:hint="eastAsia" w:ascii="宋体" w:hAnsi="宋体" w:eastAsia="宋体"/>
                <w:bCs/>
                <w:color w:val="auto"/>
                <w:kern w:val="0"/>
                <w:sz w:val="24"/>
                <w:szCs w:val="28"/>
                <w:highlight w:val="none"/>
                <w:lang w:val="en-US" w:eastAsia="zh-CN"/>
              </w:rPr>
              <w:t>270元/桶</w:t>
            </w:r>
          </w:p>
        </w:tc>
        <w:tc>
          <w:tcPr>
            <w:tcW w:w="1980" w:type="dxa"/>
            <w:vAlign w:val="center"/>
          </w:tcPr>
          <w:p w14:paraId="1953446C">
            <w:pPr>
              <w:ind w:firstLine="43"/>
              <w:jc w:val="center"/>
              <w:rPr>
                <w:rFonts w:hint="eastAsia" w:ascii="宋体" w:hAnsi="宋体" w:eastAsia="宋体"/>
                <w:bCs/>
                <w:color w:val="auto"/>
                <w:kern w:val="0"/>
                <w:sz w:val="24"/>
                <w:szCs w:val="28"/>
                <w:highlight w:val="none"/>
                <w:lang w:val="en-US" w:eastAsia="zh-CN"/>
              </w:rPr>
            </w:pPr>
          </w:p>
        </w:tc>
      </w:tr>
      <w:tr w14:paraId="4042D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8619" w:type="dxa"/>
            <w:gridSpan w:val="6"/>
            <w:vAlign w:val="center"/>
          </w:tcPr>
          <w:p w14:paraId="36E67E42">
            <w:pPr>
              <w:ind w:firstLine="43"/>
              <w:jc w:val="left"/>
              <w:rPr>
                <w:rFonts w:hint="eastAsia" w:ascii="宋体" w:hAnsi="宋体" w:eastAsia="宋体"/>
                <w:bCs/>
                <w:color w:val="auto"/>
                <w:kern w:val="0"/>
                <w:sz w:val="24"/>
                <w:szCs w:val="28"/>
                <w:highlight w:val="none"/>
                <w:lang w:val="en-US" w:eastAsia="zh-CN"/>
              </w:rPr>
            </w:pPr>
            <w:r>
              <w:rPr>
                <w:rFonts w:hint="eastAsia" w:ascii="宋体" w:hAnsi="宋体" w:eastAsia="宋体"/>
                <w:bCs/>
                <w:color w:val="auto"/>
                <w:kern w:val="0"/>
                <w:sz w:val="24"/>
                <w:szCs w:val="28"/>
                <w:highlight w:val="none"/>
                <w:lang w:val="en-US" w:eastAsia="zh-CN"/>
              </w:rPr>
              <w:t>本项目投标总价最高限价52440元/年、水处理消毒服务1060元/次、过氧乙酸消毒液270元/桶，投标人任一报价超对应限价均按无效投标处理。</w:t>
            </w:r>
          </w:p>
        </w:tc>
      </w:tr>
    </w:tbl>
    <w:p w14:paraId="7B9C0888">
      <w:pPr>
        <w:numPr>
          <w:ilvl w:val="0"/>
          <w:numId w:val="0"/>
        </w:numPr>
        <w:spacing w:line="360" w:lineRule="auto"/>
        <w:ind w:firstLine="482" w:firstLineChars="200"/>
        <w:rPr>
          <w:rFonts w:hint="eastAsia" w:ascii="宋体" w:hAnsi="宋体" w:eastAsia="宋体"/>
          <w:b/>
          <w:color w:val="auto"/>
          <w:sz w:val="24"/>
          <w:szCs w:val="18"/>
          <w:highlight w:val="none"/>
        </w:rPr>
      </w:pPr>
      <w:r>
        <w:rPr>
          <w:rFonts w:hint="eastAsia" w:ascii="宋体" w:hAnsi="宋体" w:eastAsia="宋体" w:cs="@仿宋_GB2312"/>
          <w:b/>
          <w:color w:val="auto"/>
          <w:kern w:val="2"/>
          <w:sz w:val="24"/>
          <w:szCs w:val="18"/>
          <w:highlight w:val="none"/>
          <w:lang w:val="en-US" w:eastAsia="zh-CN" w:bidi="ar-SA"/>
        </w:rPr>
        <w:t>（二）</w:t>
      </w:r>
      <w:r>
        <w:rPr>
          <w:rFonts w:hint="eastAsia" w:ascii="宋体" w:hAnsi="宋体" w:eastAsia="宋体"/>
          <w:b/>
          <w:color w:val="auto"/>
          <w:sz w:val="24"/>
          <w:szCs w:val="18"/>
          <w:highlight w:val="none"/>
          <w:lang w:val="en-US" w:eastAsia="zh-CN"/>
        </w:rPr>
        <w:t>项目服务</w:t>
      </w:r>
      <w:r>
        <w:rPr>
          <w:rFonts w:hint="eastAsia" w:ascii="宋体" w:hAnsi="宋体" w:eastAsia="宋体"/>
          <w:b/>
          <w:color w:val="auto"/>
          <w:sz w:val="24"/>
          <w:szCs w:val="18"/>
          <w:highlight w:val="none"/>
        </w:rPr>
        <w:t>要求</w:t>
      </w:r>
    </w:p>
    <w:p w14:paraId="69779B2F">
      <w:pPr>
        <w:spacing w:line="440" w:lineRule="exact"/>
        <w:ind w:right="-92" w:rightChars="-44" w:firstLine="460" w:firstLineChars="19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1.根据南、北区血透室，南、北区内镜中心，北区和儿童医院口腔科对水处理设备的消毒需求和院感的检查要求，进行水处理消毒服务。</w:t>
      </w:r>
    </w:p>
    <w:p w14:paraId="1AA5B04F">
      <w:pPr>
        <w:spacing w:line="440" w:lineRule="exact"/>
        <w:ind w:right="-92" w:rightChars="-44" w:firstLine="460" w:firstLineChars="192"/>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所有科室均为每三月消毒一次，合计24次/年，每年约100桶5L</w:t>
      </w:r>
      <w:r>
        <w:rPr>
          <w:rFonts w:hint="eastAsia" w:ascii="宋体" w:hAnsi="宋体" w:eastAsia="宋体" w:cs="宋体"/>
          <w:color w:val="auto"/>
          <w:sz w:val="24"/>
          <w:szCs w:val="24"/>
          <w:highlight w:val="none"/>
          <w:lang w:val="en-US" w:eastAsia="zh-CN"/>
        </w:rPr>
        <w:t>装17%-21%</w:t>
      </w:r>
      <w:r>
        <w:rPr>
          <w:rFonts w:hint="eastAsia" w:ascii="宋体" w:hAnsi="宋体" w:eastAsia="宋体" w:cs="宋体"/>
          <w:color w:val="auto"/>
          <w:sz w:val="24"/>
          <w:szCs w:val="24"/>
          <w:highlight w:val="none"/>
          <w:lang w:val="en-US" w:eastAsia="zh-CN"/>
        </w:rPr>
        <w:t>过氧乙酸消毒液。</w:t>
      </w:r>
    </w:p>
    <w:p w14:paraId="0850377A">
      <w:pPr>
        <w:spacing w:line="440" w:lineRule="exact"/>
        <w:ind w:right="-92" w:rightChars="-44" w:firstLine="460" w:firstLineChars="19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3.对于水路盲端，即供水管路出口和透析机之间的连接管路部分，需每半年一次按《血液净化标准操作规程 2021版》要求，在透析用水的供水管路进行消毒时，用含有消毒剂的水或者热水来回冲洗</w:t>
      </w:r>
      <w:r>
        <w:rPr>
          <w:rFonts w:hint="default" w:ascii="宋体" w:hAnsi="宋体" w:eastAsia="宋体" w:cs="宋体"/>
          <w:color w:val="auto"/>
          <w:sz w:val="24"/>
          <w:szCs w:val="24"/>
          <w:highlight w:val="none"/>
          <w:lang w:val="en-US" w:eastAsia="zh-CN"/>
        </w:rPr>
        <w:t>透析机</w:t>
      </w:r>
      <w:r>
        <w:rPr>
          <w:rFonts w:hint="eastAsia" w:ascii="宋体" w:hAnsi="宋体" w:eastAsia="宋体" w:cs="宋体"/>
          <w:color w:val="auto"/>
          <w:sz w:val="24"/>
          <w:szCs w:val="24"/>
          <w:highlight w:val="none"/>
          <w:lang w:val="en-US" w:eastAsia="zh-CN"/>
        </w:rPr>
        <w:t>。</w:t>
      </w:r>
    </w:p>
    <w:p w14:paraId="67915BC3">
      <w:pPr>
        <w:spacing w:line="440" w:lineRule="exact"/>
        <w:ind w:right="-92" w:rightChars="-44" w:firstLine="460" w:firstLineChars="19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4.中标方每年需提供2盒左右，100片/盒装过氧乙酸检测试纸，该费用包含在消毒服务内，院方不再为此支付额外费用。</w:t>
      </w:r>
    </w:p>
    <w:p w14:paraId="5D5F5E1E">
      <w:pPr>
        <w:spacing w:line="440" w:lineRule="exact"/>
        <w:ind w:right="-92" w:rightChars="-44" w:firstLine="460" w:firstLineChars="19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5、根据我院科室具体需求安排消毒时间，收到通知后48小时内到场；</w:t>
      </w:r>
    </w:p>
    <w:p w14:paraId="20529DE9">
      <w:pPr>
        <w:spacing w:line="440" w:lineRule="exact"/>
        <w:ind w:right="-92" w:rightChars="-44" w:firstLine="460" w:firstLineChars="19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6、拟派到场消毒人员需有水处理厂家培训证书；（到场后提交核验后方可进行消毒工作）</w:t>
      </w:r>
    </w:p>
    <w:p w14:paraId="4F93C0AD">
      <w:pPr>
        <w:spacing w:line="440" w:lineRule="exact"/>
        <w:ind w:right="-92" w:rightChars="-44" w:firstLine="460" w:firstLineChars="192"/>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7、提供拟用灭菌剂的消毒产品卫生安全评价报告；</w:t>
      </w:r>
      <w:r>
        <w:rPr>
          <w:rFonts w:hint="eastAsia" w:ascii="宋体" w:hAnsi="宋体" w:eastAsia="宋体" w:cs="宋体"/>
          <w:b/>
          <w:bCs/>
          <w:color w:val="auto"/>
          <w:sz w:val="24"/>
          <w:szCs w:val="24"/>
          <w:highlight w:val="none"/>
          <w:lang w:val="en-US" w:eastAsia="zh-CN"/>
        </w:rPr>
        <w:t>（投标时提供安全评价报告复印件，未提供视为无效投标）</w:t>
      </w:r>
    </w:p>
    <w:p w14:paraId="221054D9">
      <w:pPr>
        <w:spacing w:line="440" w:lineRule="exact"/>
        <w:ind w:right="-92" w:rightChars="-44" w:firstLine="460" w:firstLineChars="19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8、根据水处理消毒服务和过氧乙酸消毒液报单价。根据水处理消毒服务和过氧乙酸消毒液实际发生数合计结算。如我院需临时加消的，金额按单次水处理消毒服务和实际发生过氧乙酸消毒液桶数结算。</w:t>
      </w:r>
    </w:p>
    <w:p w14:paraId="2DA7FD4A">
      <w:pPr>
        <w:spacing w:line="440" w:lineRule="exact"/>
        <w:ind w:right="-92" w:rightChars="-44" w:firstLine="460" w:firstLineChars="19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消毒工作完成后，由我方自行负责采样及检测事宜。我方采样后培养7个自然日，内镜中心合格标准为细菌总数≤10CFU/100mL，其他为≤50CFU/ml。双方确认，须确保自消毒完成之日起十日内，检测结果符合约定标准；</w:t>
      </w:r>
    </w:p>
    <w:p w14:paraId="62C06958">
      <w:pPr>
        <w:spacing w:line="440" w:lineRule="exact"/>
        <w:ind w:right="-92" w:rightChars="-44" w:firstLine="460" w:firstLineChars="19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10、若检测结果未达标的，提供消毒服务的一方应对消毒措施进行改进，无偿进行补充消毒，如二次消毒完成后经检测确认仍未达到合格标准的，我方有权解除本合同。</w:t>
      </w:r>
    </w:p>
    <w:p w14:paraId="01D97D81">
      <w:pPr>
        <w:spacing w:line="440" w:lineRule="exact"/>
        <w:ind w:right="-92" w:rightChars="-44" w:firstLine="463" w:firstLineChars="192"/>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注：上述要求中要求提供的证明材料（安全评价报告），供应商投标文件必须按要求提供，否则，其投标文件按无效投标处理。</w:t>
      </w:r>
    </w:p>
    <w:p w14:paraId="44443D7F">
      <w:pPr>
        <w:spacing w:line="440" w:lineRule="exact"/>
        <w:ind w:firstLine="43"/>
        <w:outlineLvl w:val="1"/>
        <w:rPr>
          <w:rFonts w:hint="eastAsia" w:ascii="宋体" w:hAnsi="宋体" w:eastAsia="宋体"/>
          <w:b/>
          <w:color w:val="auto"/>
          <w:sz w:val="24"/>
          <w:szCs w:val="18"/>
          <w:highlight w:val="none"/>
        </w:rPr>
      </w:pPr>
      <w:r>
        <w:rPr>
          <w:rFonts w:hint="eastAsia" w:ascii="宋体" w:hAnsi="宋体" w:eastAsia="宋体"/>
          <w:b/>
          <w:color w:val="auto"/>
          <w:sz w:val="24"/>
          <w:szCs w:val="18"/>
          <w:highlight w:val="none"/>
        </w:rPr>
        <w:t>三、报价要求</w:t>
      </w:r>
    </w:p>
    <w:p w14:paraId="08F80450">
      <w:pPr>
        <w:spacing w:line="440" w:lineRule="exact"/>
        <w:ind w:right="-92" w:rightChars="-44" w:firstLine="460" w:firstLineChars="192"/>
        <w:rPr>
          <w:rFonts w:hint="eastAsia" w:ascii="宋体" w:hAnsi="宋体" w:eastAsia="宋体" w:cs="宋体"/>
          <w:color w:val="auto"/>
          <w:sz w:val="24"/>
          <w:szCs w:val="24"/>
          <w:highlight w:val="none"/>
        </w:rPr>
      </w:pPr>
      <w:bookmarkStart w:id="50" w:name="_Toc14698"/>
      <w:bookmarkStart w:id="51" w:name="_Toc15293"/>
      <w:r>
        <w:rPr>
          <w:rFonts w:hint="eastAsia" w:ascii="宋体" w:hAnsi="宋体" w:eastAsia="宋体" w:cs="宋体"/>
          <w:color w:val="auto"/>
          <w:sz w:val="24"/>
          <w:szCs w:val="24"/>
          <w:highlight w:val="none"/>
        </w:rPr>
        <w:t>1.供应商报价文件中的单价和总价全部采用人民币表示。供应商的报价应含有货物（服务）、利润、税金、政策性文件规定及合同包含的所有风险、责任、义务等，即为完成采购文件要求的服务内容所包含的一切应有费用，成交价格今后将不作任何调整，采购人后期不再追加费用，供应商自行考虑报价风险。</w:t>
      </w:r>
    </w:p>
    <w:p w14:paraId="2DCA1601">
      <w:pPr>
        <w:spacing w:line="440" w:lineRule="exact"/>
        <w:ind w:right="-92" w:rightChars="-4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2.供应商只允许有一个方案、一个报价。</w:t>
      </w:r>
    </w:p>
    <w:p w14:paraId="3CBAECE5">
      <w:pPr>
        <w:spacing w:line="440" w:lineRule="exact"/>
        <w:ind w:right="-92" w:rightChars="-4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3.供应商本章所列服务内容进行报价，供应商</w:t>
      </w:r>
      <w:r>
        <w:rPr>
          <w:rFonts w:hint="eastAsia" w:ascii="宋体" w:hAnsi="宋体" w:eastAsia="宋体" w:cs="宋体"/>
          <w:color w:val="auto"/>
          <w:sz w:val="24"/>
          <w:szCs w:val="24"/>
          <w:highlight w:val="none"/>
          <w:lang w:val="zh-CN"/>
        </w:rPr>
        <w:t>报价为完成本次</w:t>
      </w: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val="zh-CN"/>
        </w:rPr>
        <w:t>项目的全费用价格，其组成包括</w:t>
      </w:r>
      <w:r>
        <w:rPr>
          <w:rFonts w:hint="eastAsia" w:ascii="宋体" w:hAnsi="宋体" w:eastAsia="宋体" w:cs="宋体"/>
          <w:color w:val="auto"/>
          <w:sz w:val="24"/>
          <w:szCs w:val="24"/>
          <w:highlight w:val="none"/>
        </w:rPr>
        <w:t>国家对中标单位征收的各种税费等所有一切费用，综合单价今后将不作任何调整。</w:t>
      </w:r>
    </w:p>
    <w:p w14:paraId="6A1EE06F">
      <w:pPr>
        <w:spacing w:line="440" w:lineRule="exact"/>
        <w:ind w:right="-92" w:rightChars="-4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4.供应商报价的价格是完成项目全部内容（包括后期的相关服务）交付的价格，其总价即为履行合同的价格。</w:t>
      </w:r>
    </w:p>
    <w:p w14:paraId="3D94FAF6">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5.供应商报价为含税价，采购人不再为此次招标支付任何费用。</w:t>
      </w:r>
    </w:p>
    <w:p w14:paraId="176C73C8">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6.供应商报价应由法定代表人或被授权人签署。</w:t>
      </w:r>
    </w:p>
    <w:p w14:paraId="36A26CEA">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7.供应商的报价不得高于本次招标最高限价，否则将作为无效报价处理。</w:t>
      </w:r>
    </w:p>
    <w:p w14:paraId="10391BC3">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8.如响应文件中未列明全面实现投标服务功能而必须配置的配套或辅助设施及相应技术措施的费用，这些费用将被视为已包含在总报价中。</w:t>
      </w:r>
    </w:p>
    <w:p w14:paraId="79EAB7A4">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9.总报价中不得包含采购文件要求以外的内容，否则，在评标时不予核减，但在授予合同时，采购人有权将这部分价格从其成交价格中扣除。</w:t>
      </w:r>
      <w:bookmarkEnd w:id="50"/>
      <w:bookmarkEnd w:id="51"/>
    </w:p>
    <w:p w14:paraId="2BAD5D71">
      <w:pPr>
        <w:pStyle w:val="25"/>
        <w:rPr>
          <w:rFonts w:hint="eastAsia"/>
          <w:color w:val="auto"/>
          <w:highlight w:val="none"/>
        </w:rPr>
      </w:pPr>
    </w:p>
    <w:p w14:paraId="61520DAC">
      <w:pPr>
        <w:spacing w:line="360" w:lineRule="auto"/>
        <w:jc w:val="center"/>
        <w:outlineLvl w:val="0"/>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第四章  评标方法和标准（最低评标价法）</w:t>
      </w:r>
      <w:bookmarkEnd w:id="46"/>
    </w:p>
    <w:p w14:paraId="23E36790">
      <w:pPr>
        <w:spacing w:line="360" w:lineRule="auto"/>
        <w:ind w:firstLine="437"/>
        <w:outlineLvl w:val="1"/>
        <w:rPr>
          <w:rFonts w:hint="eastAsia" w:asciiTheme="minorEastAsia" w:hAnsiTheme="minorEastAsia" w:eastAsiaTheme="minorEastAsia"/>
          <w:b/>
          <w:color w:val="auto"/>
          <w:sz w:val="24"/>
          <w:highlight w:val="none"/>
        </w:rPr>
      </w:pPr>
      <w:bookmarkStart w:id="52" w:name="_Toc22115"/>
      <w:bookmarkStart w:id="53" w:name="_Toc6560"/>
      <w:r>
        <w:rPr>
          <w:rFonts w:hint="eastAsia" w:asciiTheme="minorEastAsia" w:hAnsiTheme="minorEastAsia" w:eastAsiaTheme="minorEastAsia"/>
          <w:b/>
          <w:color w:val="auto"/>
          <w:sz w:val="24"/>
          <w:highlight w:val="none"/>
        </w:rPr>
        <w:t>一、总则</w:t>
      </w:r>
      <w:bookmarkEnd w:id="52"/>
      <w:bookmarkEnd w:id="53"/>
    </w:p>
    <w:p w14:paraId="6608BE4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本项目将按照招标文件第二章投标人须知的相关要求</w:t>
      </w:r>
      <w:r>
        <w:rPr>
          <w:rFonts w:asciiTheme="minorEastAsia" w:hAnsiTheme="minorEastAsia" w:eastAsiaTheme="minorEastAsia"/>
          <w:color w:val="auto"/>
          <w:sz w:val="24"/>
          <w:highlight w:val="none"/>
        </w:rPr>
        <w:t>及本章的规定评标。</w:t>
      </w:r>
    </w:p>
    <w:p w14:paraId="78778D44">
      <w:pPr>
        <w:spacing w:line="360" w:lineRule="auto"/>
        <w:ind w:firstLine="437"/>
        <w:outlineLvl w:val="1"/>
        <w:rPr>
          <w:rFonts w:hint="eastAsia" w:asciiTheme="minorEastAsia" w:hAnsiTheme="minorEastAsia" w:eastAsiaTheme="minorEastAsia"/>
          <w:b/>
          <w:color w:val="auto"/>
          <w:sz w:val="24"/>
          <w:highlight w:val="none"/>
        </w:rPr>
      </w:pPr>
      <w:bookmarkStart w:id="54" w:name="_Toc27343"/>
      <w:bookmarkStart w:id="55" w:name="_Toc28533"/>
      <w:r>
        <w:rPr>
          <w:rFonts w:hint="eastAsia" w:asciiTheme="minorEastAsia" w:hAnsiTheme="minorEastAsia" w:eastAsiaTheme="minorEastAsia"/>
          <w:b/>
          <w:color w:val="auto"/>
          <w:sz w:val="24"/>
          <w:highlight w:val="none"/>
        </w:rPr>
        <w:t>二、评标方法</w:t>
      </w:r>
      <w:bookmarkEnd w:id="54"/>
      <w:bookmarkEnd w:id="55"/>
    </w:p>
    <w:p w14:paraId="1D7358C0">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6"/>
        <w:tblW w:w="50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0"/>
        <w:gridCol w:w="1632"/>
        <w:gridCol w:w="4234"/>
        <w:gridCol w:w="2173"/>
      </w:tblGrid>
      <w:tr w14:paraId="11C40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5000" w:type="pct"/>
            <w:gridSpan w:val="4"/>
            <w:tcBorders>
              <w:bottom w:val="single" w:color="auto" w:sz="4" w:space="0"/>
            </w:tcBorders>
            <w:vAlign w:val="center"/>
          </w:tcPr>
          <w:p w14:paraId="6D2078B7">
            <w:pPr>
              <w:keepNext w:val="0"/>
              <w:keepLines w:val="0"/>
              <w:pageBreakBefore w:val="0"/>
              <w:widowControl w:val="0"/>
              <w:kinsoku/>
              <w:overflowPunct/>
              <w:topLinePunct w:val="0"/>
              <w:autoSpaceDE/>
              <w:autoSpaceDN/>
              <w:bidi w:val="0"/>
              <w:adjustRightInd w:val="0"/>
              <w:snapToGrid w:val="0"/>
              <w:spacing w:line="240" w:lineRule="auto"/>
              <w:ind w:right="-10"/>
              <w:jc w:val="center"/>
              <w:textAlignment w:val="auto"/>
              <w:rPr>
                <w:rFonts w:hint="eastAsia" w:ascii="宋体" w:hAnsi="宋体" w:eastAsia="宋体"/>
                <w:color w:val="auto"/>
                <w:sz w:val="24"/>
                <w:highlight w:val="none"/>
              </w:rPr>
            </w:pPr>
            <w:r>
              <w:rPr>
                <w:rFonts w:hint="eastAsia" w:ascii="宋体" w:hAnsi="宋体" w:eastAsia="宋体"/>
                <w:b/>
                <w:color w:val="auto"/>
                <w:sz w:val="24"/>
                <w:szCs w:val="22"/>
                <w:highlight w:val="none"/>
              </w:rPr>
              <w:t>资格审查表</w:t>
            </w:r>
          </w:p>
        </w:tc>
      </w:tr>
      <w:tr w14:paraId="5C7BF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369" w:type="pct"/>
            <w:tcBorders>
              <w:bottom w:val="single" w:color="auto" w:sz="4" w:space="0"/>
            </w:tcBorders>
            <w:vAlign w:val="center"/>
          </w:tcPr>
          <w:p w14:paraId="27ACA2A2">
            <w:pPr>
              <w:keepNext w:val="0"/>
              <w:keepLines w:val="0"/>
              <w:pageBreakBefore w:val="0"/>
              <w:widowControl w:val="0"/>
              <w:kinsoku/>
              <w:overflowPunct/>
              <w:topLinePunct w:val="0"/>
              <w:autoSpaceDE/>
              <w:autoSpaceDN/>
              <w:bidi w:val="0"/>
              <w:adjustRightInd w:val="0"/>
              <w:snapToGrid w:val="0"/>
              <w:spacing w:line="240" w:lineRule="auto"/>
              <w:ind w:right="-10"/>
              <w:jc w:val="center"/>
              <w:textAlignment w:val="auto"/>
              <w:rPr>
                <w:rFonts w:hint="eastAsia" w:ascii="宋体" w:hAnsi="宋体" w:eastAsia="宋体"/>
                <w:color w:val="auto"/>
                <w:sz w:val="24"/>
                <w:highlight w:val="none"/>
              </w:rPr>
            </w:pPr>
            <w:r>
              <w:rPr>
                <w:rFonts w:hint="eastAsia" w:ascii="宋体" w:hAnsi="宋体" w:eastAsia="宋体"/>
                <w:color w:val="auto"/>
                <w:sz w:val="24"/>
                <w:highlight w:val="none"/>
              </w:rPr>
              <w:t>序号</w:t>
            </w:r>
          </w:p>
        </w:tc>
        <w:tc>
          <w:tcPr>
            <w:tcW w:w="940" w:type="pct"/>
            <w:tcBorders>
              <w:bottom w:val="single" w:color="auto" w:sz="4" w:space="0"/>
            </w:tcBorders>
            <w:vAlign w:val="center"/>
          </w:tcPr>
          <w:p w14:paraId="24E7D5C1">
            <w:pPr>
              <w:pStyle w:val="45"/>
              <w:keepNext w:val="0"/>
              <w:keepLines w:val="0"/>
              <w:pageBreakBefore w:val="0"/>
              <w:widowControl w:val="0"/>
              <w:pBdr>
                <w:bottom w:val="none" w:color="auto" w:sz="0" w:space="0"/>
              </w:pBdr>
              <w:tabs>
                <w:tab w:val="clear" w:pos="4153"/>
                <w:tab w:val="clear" w:pos="8306"/>
              </w:tabs>
              <w:kinsoku/>
              <w:overflowPunct/>
              <w:topLinePunct w:val="0"/>
              <w:autoSpaceDE/>
              <w:autoSpaceDN/>
              <w:bidi w:val="0"/>
              <w:snapToGrid w:val="0"/>
              <w:spacing w:line="240" w:lineRule="auto"/>
              <w:ind w:right="-10"/>
              <w:textAlignment w:val="auto"/>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审查指标</w:t>
            </w:r>
          </w:p>
        </w:tc>
        <w:tc>
          <w:tcPr>
            <w:tcW w:w="2439" w:type="pct"/>
            <w:tcBorders>
              <w:bottom w:val="single" w:color="auto" w:sz="4" w:space="0"/>
            </w:tcBorders>
            <w:vAlign w:val="center"/>
          </w:tcPr>
          <w:p w14:paraId="6D0009BA">
            <w:pPr>
              <w:keepNext w:val="0"/>
              <w:keepLines w:val="0"/>
              <w:pageBreakBefore w:val="0"/>
              <w:widowControl w:val="0"/>
              <w:kinsoku/>
              <w:overflowPunct/>
              <w:topLinePunct w:val="0"/>
              <w:autoSpaceDE/>
              <w:autoSpaceDN/>
              <w:bidi w:val="0"/>
              <w:adjustRightInd w:val="0"/>
              <w:snapToGrid w:val="0"/>
              <w:spacing w:line="240" w:lineRule="auto"/>
              <w:ind w:right="-10"/>
              <w:jc w:val="center"/>
              <w:textAlignment w:val="auto"/>
              <w:rPr>
                <w:rFonts w:hint="eastAsia" w:ascii="宋体" w:hAnsi="宋体" w:eastAsia="宋体"/>
                <w:color w:val="auto"/>
                <w:sz w:val="24"/>
                <w:highlight w:val="none"/>
              </w:rPr>
            </w:pPr>
            <w:r>
              <w:rPr>
                <w:rFonts w:hint="eastAsia" w:ascii="宋体" w:hAnsi="宋体" w:eastAsia="宋体"/>
                <w:color w:val="auto"/>
                <w:sz w:val="24"/>
                <w:highlight w:val="none"/>
              </w:rPr>
              <w:t>审查标准</w:t>
            </w:r>
          </w:p>
        </w:tc>
        <w:tc>
          <w:tcPr>
            <w:tcW w:w="1250" w:type="pct"/>
            <w:tcBorders>
              <w:bottom w:val="single" w:color="auto" w:sz="4" w:space="0"/>
            </w:tcBorders>
            <w:vAlign w:val="center"/>
          </w:tcPr>
          <w:p w14:paraId="358222C0">
            <w:pPr>
              <w:keepNext w:val="0"/>
              <w:keepLines w:val="0"/>
              <w:pageBreakBefore w:val="0"/>
              <w:widowControl w:val="0"/>
              <w:kinsoku/>
              <w:overflowPunct/>
              <w:topLinePunct w:val="0"/>
              <w:autoSpaceDE/>
              <w:autoSpaceDN/>
              <w:bidi w:val="0"/>
              <w:adjustRightInd w:val="0"/>
              <w:snapToGrid w:val="0"/>
              <w:spacing w:line="240" w:lineRule="auto"/>
              <w:ind w:right="-10"/>
              <w:jc w:val="center"/>
              <w:textAlignment w:val="auto"/>
              <w:rPr>
                <w:rFonts w:hint="eastAsia" w:ascii="宋体" w:hAnsi="宋体" w:eastAsia="宋体"/>
                <w:color w:val="auto"/>
                <w:sz w:val="24"/>
                <w:highlight w:val="none"/>
              </w:rPr>
            </w:pPr>
            <w:r>
              <w:rPr>
                <w:rFonts w:hint="eastAsia" w:ascii="宋体" w:hAnsi="宋体" w:eastAsia="宋体"/>
                <w:color w:val="auto"/>
                <w:sz w:val="24"/>
                <w:highlight w:val="none"/>
              </w:rPr>
              <w:t>格式要求</w:t>
            </w:r>
          </w:p>
        </w:tc>
      </w:tr>
      <w:tr w14:paraId="6C062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5" w:hRule="atLeast"/>
          <w:jc w:val="center"/>
        </w:trPr>
        <w:tc>
          <w:tcPr>
            <w:tcW w:w="369" w:type="pct"/>
            <w:tcBorders>
              <w:bottom w:val="single" w:color="auto" w:sz="4" w:space="0"/>
            </w:tcBorders>
            <w:vAlign w:val="center"/>
          </w:tcPr>
          <w:p w14:paraId="1A766F4A">
            <w:pPr>
              <w:keepNext w:val="0"/>
              <w:keepLines w:val="0"/>
              <w:pageBreakBefore w:val="0"/>
              <w:widowControl w:val="0"/>
              <w:kinsoku/>
              <w:overflowPunct/>
              <w:topLinePunct w:val="0"/>
              <w:autoSpaceDE/>
              <w:autoSpaceDN/>
              <w:bidi w:val="0"/>
              <w:adjustRightInd w:val="0"/>
              <w:snapToGrid w:val="0"/>
              <w:spacing w:line="240" w:lineRule="auto"/>
              <w:ind w:right="-10"/>
              <w:jc w:val="center"/>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p>
        </w:tc>
        <w:tc>
          <w:tcPr>
            <w:tcW w:w="940" w:type="pct"/>
            <w:tcBorders>
              <w:bottom w:val="single" w:color="auto" w:sz="4" w:space="0"/>
            </w:tcBorders>
            <w:vAlign w:val="center"/>
          </w:tcPr>
          <w:p w14:paraId="4C982DFE">
            <w:pPr>
              <w:keepNext w:val="0"/>
              <w:keepLines w:val="0"/>
              <w:pageBreakBefore w:val="0"/>
              <w:widowControl w:val="0"/>
              <w:kinsoku/>
              <w:overflowPunct/>
              <w:topLinePunct w:val="0"/>
              <w:autoSpaceDE/>
              <w:autoSpaceDN/>
              <w:bidi w:val="0"/>
              <w:spacing w:after="50" w:line="240" w:lineRule="auto"/>
              <w:ind w:right="-10"/>
              <w:jc w:val="center"/>
              <w:textAlignment w:val="auto"/>
              <w:rPr>
                <w:rFonts w:hint="eastAsia" w:ascii="宋体" w:hAnsi="宋体" w:eastAsia="宋体"/>
                <w:color w:val="auto"/>
                <w:sz w:val="24"/>
                <w:szCs w:val="28"/>
                <w:highlight w:val="none"/>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2439" w:type="pct"/>
            <w:tcBorders>
              <w:bottom w:val="single" w:color="auto" w:sz="4" w:space="0"/>
            </w:tcBorders>
            <w:vAlign w:val="center"/>
          </w:tcPr>
          <w:p w14:paraId="05294763">
            <w:pPr>
              <w:keepNext w:val="0"/>
              <w:keepLines w:val="0"/>
              <w:pageBreakBefore w:val="0"/>
              <w:widowControl w:val="0"/>
              <w:kinsoku/>
              <w:overflowPunct/>
              <w:topLinePunct w:val="0"/>
              <w:autoSpaceDE/>
              <w:autoSpaceDN/>
              <w:bidi w:val="0"/>
              <w:spacing w:after="50" w:line="240" w:lineRule="auto"/>
              <w:ind w:right="-1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ascii="宋体" w:hAnsi="宋体" w:eastAsia="宋体" w:cs="宋体"/>
                <w:color w:val="auto"/>
                <w:sz w:val="24"/>
                <w:szCs w:val="24"/>
                <w:highlight w:val="none"/>
              </w:rPr>
              <w:t>投标人为企业（包括合伙企业）的，应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供有效的营业执照；</w:t>
            </w:r>
          </w:p>
          <w:p w14:paraId="1BA459D7">
            <w:pPr>
              <w:keepNext w:val="0"/>
              <w:keepLines w:val="0"/>
              <w:pageBreakBefore w:val="0"/>
              <w:widowControl w:val="0"/>
              <w:kinsoku/>
              <w:overflowPunct/>
              <w:topLinePunct w:val="0"/>
              <w:autoSpaceDE/>
              <w:autoSpaceDN/>
              <w:bidi w:val="0"/>
              <w:spacing w:after="50" w:line="240" w:lineRule="auto"/>
              <w:ind w:right="-1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ascii="宋体" w:hAnsi="宋体" w:eastAsia="宋体" w:cs="宋体"/>
                <w:color w:val="auto"/>
                <w:sz w:val="24"/>
                <w:szCs w:val="24"/>
                <w:highlight w:val="none"/>
              </w:rPr>
              <w:t>投标人为事业单位的，应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供有效的事业单位法人证书；</w:t>
            </w:r>
          </w:p>
          <w:p w14:paraId="0B173B6A">
            <w:pPr>
              <w:keepNext w:val="0"/>
              <w:keepLines w:val="0"/>
              <w:pageBreakBefore w:val="0"/>
              <w:widowControl w:val="0"/>
              <w:kinsoku/>
              <w:overflowPunct/>
              <w:topLinePunct w:val="0"/>
              <w:autoSpaceDE/>
              <w:autoSpaceDN/>
              <w:bidi w:val="0"/>
              <w:spacing w:after="50" w:line="240" w:lineRule="auto"/>
              <w:ind w:right="-1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ascii="宋体" w:hAnsi="宋体" w:eastAsia="宋体" w:cs="宋体"/>
                <w:color w:val="auto"/>
                <w:sz w:val="24"/>
                <w:szCs w:val="24"/>
                <w:highlight w:val="none"/>
              </w:rPr>
              <w:t>投标人是非企业机构的，应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rPr>
              <w:t>或</w:t>
            </w:r>
            <w:r>
              <w:rPr>
                <w:rFonts w:ascii="宋体" w:hAnsi="宋体" w:eastAsia="宋体" w:cs="宋体"/>
                <w:color w:val="auto"/>
                <w:sz w:val="24"/>
                <w:szCs w:val="24"/>
                <w:highlight w:val="none"/>
              </w:rPr>
              <w:t>登记证书等证明文件；</w:t>
            </w:r>
          </w:p>
          <w:p w14:paraId="154F0EBA">
            <w:pPr>
              <w:keepNext w:val="0"/>
              <w:keepLines w:val="0"/>
              <w:pageBreakBefore w:val="0"/>
              <w:widowControl w:val="0"/>
              <w:kinsoku/>
              <w:overflowPunct/>
              <w:topLinePunct w:val="0"/>
              <w:autoSpaceDE/>
              <w:autoSpaceDN/>
              <w:bidi w:val="0"/>
              <w:spacing w:after="50" w:line="240" w:lineRule="auto"/>
              <w:ind w:right="-1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ascii="宋体" w:hAnsi="宋体" w:eastAsia="宋体" w:cs="宋体"/>
                <w:color w:val="auto"/>
                <w:sz w:val="24"/>
                <w:szCs w:val="24"/>
                <w:highlight w:val="none"/>
              </w:rPr>
              <w:t>投标人是个体工商户的，应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供有效的个体工商户营业执照；</w:t>
            </w:r>
          </w:p>
          <w:p w14:paraId="14F4B869">
            <w:pPr>
              <w:keepNext w:val="0"/>
              <w:keepLines w:val="0"/>
              <w:pageBreakBefore w:val="0"/>
              <w:widowControl w:val="0"/>
              <w:kinsoku/>
              <w:overflowPunct/>
              <w:topLinePunct w:val="0"/>
              <w:autoSpaceDE/>
              <w:autoSpaceDN/>
              <w:bidi w:val="0"/>
              <w:spacing w:after="50" w:line="240" w:lineRule="auto"/>
              <w:ind w:right="-10"/>
              <w:jc w:val="left"/>
              <w:textAlignment w:val="auto"/>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（5）</w:t>
            </w:r>
            <w:r>
              <w:rPr>
                <w:rFonts w:ascii="宋体" w:hAnsi="宋体" w:eastAsia="宋体" w:cs="宋体"/>
                <w:color w:val="auto"/>
                <w:sz w:val="24"/>
                <w:szCs w:val="24"/>
                <w:highlight w:val="none"/>
              </w:rPr>
              <w:t>投标人是自然人的，应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供有效的自然人身份证明</w:t>
            </w:r>
            <w:r>
              <w:rPr>
                <w:rFonts w:hint="eastAsia" w:ascii="宋体" w:hAnsi="宋体" w:eastAsia="宋体" w:cs="宋体"/>
                <w:color w:val="auto"/>
                <w:sz w:val="24"/>
                <w:szCs w:val="24"/>
                <w:highlight w:val="none"/>
              </w:rPr>
              <w:t>；</w:t>
            </w:r>
          </w:p>
        </w:tc>
        <w:tc>
          <w:tcPr>
            <w:tcW w:w="1250" w:type="pct"/>
            <w:vAlign w:val="center"/>
          </w:tcPr>
          <w:p w14:paraId="0B534886">
            <w:pPr>
              <w:pStyle w:val="21"/>
              <w:keepNext w:val="0"/>
              <w:keepLines w:val="0"/>
              <w:pageBreakBefore w:val="0"/>
              <w:widowControl w:val="0"/>
              <w:kinsoku/>
              <w:overflowPunct/>
              <w:topLinePunct w:val="0"/>
              <w:autoSpaceDE/>
              <w:autoSpaceDN/>
              <w:bidi w:val="0"/>
              <w:spacing w:before="0" w:beforeAutospacing="0" w:after="0" w:afterAutospacing="0" w:line="240" w:lineRule="auto"/>
              <w:jc w:val="center"/>
              <w:textAlignment w:val="auto"/>
              <w:rPr>
                <w:rFonts w:hint="eastAsia"/>
                <w:color w:val="auto"/>
                <w:highlight w:val="none"/>
              </w:rPr>
            </w:pPr>
            <w:r>
              <w:rPr>
                <w:rFonts w:hint="eastAsia" w:ascii="宋体" w:hAnsi="宋体" w:eastAsia="宋体" w:cs="宋体"/>
                <w:color w:val="auto"/>
                <w:szCs w:val="24"/>
                <w:highlight w:val="none"/>
              </w:rPr>
              <w:t>提供材料复印件加盖公章</w:t>
            </w:r>
          </w:p>
          <w:p w14:paraId="1511EEE2">
            <w:pPr>
              <w:keepNext w:val="0"/>
              <w:keepLines w:val="0"/>
              <w:pageBreakBefore w:val="0"/>
              <w:widowControl w:val="0"/>
              <w:kinsoku/>
              <w:overflowPunct/>
              <w:topLinePunct w:val="0"/>
              <w:autoSpaceDE/>
              <w:autoSpaceDN/>
              <w:bidi w:val="0"/>
              <w:spacing w:line="240" w:lineRule="auto"/>
              <w:jc w:val="left"/>
              <w:textAlignment w:val="auto"/>
              <w:rPr>
                <w:rFonts w:hint="eastAsia" w:ascii="宋体" w:hAnsi="宋体" w:eastAsia="宋体"/>
                <w:color w:val="auto"/>
                <w:sz w:val="24"/>
                <w:highlight w:val="none"/>
              </w:rPr>
            </w:pPr>
          </w:p>
        </w:tc>
      </w:tr>
      <w:tr w14:paraId="461B3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369" w:type="pct"/>
            <w:tcBorders>
              <w:bottom w:val="single" w:color="auto" w:sz="4" w:space="0"/>
            </w:tcBorders>
            <w:vAlign w:val="center"/>
          </w:tcPr>
          <w:p w14:paraId="42629C24">
            <w:pPr>
              <w:keepNext w:val="0"/>
              <w:keepLines w:val="0"/>
              <w:pageBreakBefore w:val="0"/>
              <w:widowControl w:val="0"/>
              <w:kinsoku/>
              <w:overflowPunct/>
              <w:topLinePunct w:val="0"/>
              <w:autoSpaceDE/>
              <w:autoSpaceDN/>
              <w:bidi w:val="0"/>
              <w:adjustRightInd w:val="0"/>
              <w:snapToGrid w:val="0"/>
              <w:spacing w:line="240" w:lineRule="auto"/>
              <w:ind w:right="-10"/>
              <w:jc w:val="center"/>
              <w:textAlignment w:val="auto"/>
              <w:rPr>
                <w:rFonts w:hint="eastAsia" w:ascii="宋体" w:hAnsi="宋体" w:eastAsia="宋体"/>
                <w:color w:val="auto"/>
                <w:sz w:val="24"/>
                <w:highlight w:val="none"/>
              </w:rPr>
            </w:pPr>
            <w:r>
              <w:rPr>
                <w:rFonts w:hint="eastAsia" w:ascii="宋体" w:hAnsi="宋体" w:eastAsia="宋体"/>
                <w:color w:val="auto"/>
                <w:sz w:val="24"/>
                <w:highlight w:val="none"/>
              </w:rPr>
              <w:t>2</w:t>
            </w:r>
          </w:p>
        </w:tc>
        <w:tc>
          <w:tcPr>
            <w:tcW w:w="940" w:type="pct"/>
            <w:tcBorders>
              <w:bottom w:val="single" w:color="auto" w:sz="4" w:space="0"/>
            </w:tcBorders>
            <w:vAlign w:val="center"/>
          </w:tcPr>
          <w:p w14:paraId="5C0CD8EF">
            <w:pPr>
              <w:keepNext w:val="0"/>
              <w:keepLines w:val="0"/>
              <w:pageBreakBefore w:val="0"/>
              <w:widowControl w:val="0"/>
              <w:kinsoku/>
              <w:overflowPunct/>
              <w:topLinePunct w:val="0"/>
              <w:autoSpaceDE/>
              <w:autoSpaceDN/>
              <w:bidi w:val="0"/>
              <w:spacing w:after="50" w:line="240" w:lineRule="auto"/>
              <w:ind w:right="-10"/>
              <w:jc w:val="center"/>
              <w:textAlignment w:val="auto"/>
              <w:rPr>
                <w:rFonts w:hint="eastAsia" w:ascii="宋体" w:hAnsi="宋体" w:eastAsia="宋体"/>
                <w:color w:val="auto"/>
                <w:sz w:val="24"/>
                <w:szCs w:val="28"/>
                <w:highlight w:val="none"/>
              </w:rPr>
            </w:pPr>
            <w:r>
              <w:rPr>
                <w:rFonts w:hint="eastAsia" w:ascii="宋体" w:hAnsi="宋体" w:eastAsia="宋体"/>
                <w:color w:val="auto"/>
                <w:sz w:val="24"/>
                <w:szCs w:val="18"/>
                <w:highlight w:val="none"/>
              </w:rPr>
              <w:t>投标人资格声明书</w:t>
            </w:r>
          </w:p>
        </w:tc>
        <w:tc>
          <w:tcPr>
            <w:tcW w:w="2439" w:type="pct"/>
            <w:tcBorders>
              <w:bottom w:val="single" w:color="auto" w:sz="4" w:space="0"/>
            </w:tcBorders>
            <w:vAlign w:val="center"/>
          </w:tcPr>
          <w:p w14:paraId="73EB2A14">
            <w:pPr>
              <w:keepNext w:val="0"/>
              <w:keepLines w:val="0"/>
              <w:pageBreakBefore w:val="0"/>
              <w:widowControl w:val="0"/>
              <w:kinsoku/>
              <w:overflowPunct/>
              <w:topLinePunct w:val="0"/>
              <w:autoSpaceDE/>
              <w:autoSpaceDN/>
              <w:bidi w:val="0"/>
              <w:spacing w:after="50" w:line="240" w:lineRule="auto"/>
              <w:ind w:right="-10"/>
              <w:jc w:val="left"/>
              <w:textAlignment w:val="auto"/>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供符合招标文件要求的《投标人资格声明书》</w:t>
            </w:r>
            <w:r>
              <w:rPr>
                <w:rFonts w:hint="eastAsia" w:ascii="宋体" w:hAnsi="宋体" w:eastAsia="宋体" w:cs="宋体"/>
                <w:color w:val="auto"/>
                <w:sz w:val="24"/>
                <w:szCs w:val="24"/>
                <w:highlight w:val="none"/>
              </w:rPr>
              <w:t>。</w:t>
            </w:r>
          </w:p>
        </w:tc>
        <w:tc>
          <w:tcPr>
            <w:tcW w:w="1250" w:type="pct"/>
            <w:vAlign w:val="center"/>
          </w:tcPr>
          <w:p w14:paraId="1FBA38A1">
            <w:pPr>
              <w:keepNext w:val="0"/>
              <w:keepLines w:val="0"/>
              <w:pageBreakBefore w:val="0"/>
              <w:widowControl w:val="0"/>
              <w:kinsoku/>
              <w:overflowPunct/>
              <w:topLinePunct w:val="0"/>
              <w:autoSpaceDE/>
              <w:autoSpaceDN/>
              <w:bidi w:val="0"/>
              <w:spacing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olor w:val="auto"/>
                <w:sz w:val="24"/>
                <w:highlight w:val="none"/>
              </w:rPr>
              <w:t>详见第六章投标文件格式</w:t>
            </w:r>
          </w:p>
        </w:tc>
      </w:tr>
      <w:tr w14:paraId="4A685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jc w:val="center"/>
        </w:trPr>
        <w:tc>
          <w:tcPr>
            <w:tcW w:w="369" w:type="pct"/>
            <w:vAlign w:val="center"/>
          </w:tcPr>
          <w:p w14:paraId="1D7D9CDE">
            <w:pPr>
              <w:keepNext w:val="0"/>
              <w:keepLines w:val="0"/>
              <w:pageBreakBefore w:val="0"/>
              <w:widowControl w:val="0"/>
              <w:kinsoku/>
              <w:overflowPunct/>
              <w:topLinePunct w:val="0"/>
              <w:autoSpaceDE/>
              <w:autoSpaceDN/>
              <w:bidi w:val="0"/>
              <w:adjustRightInd w:val="0"/>
              <w:snapToGrid w:val="0"/>
              <w:spacing w:line="240" w:lineRule="auto"/>
              <w:ind w:right="-10"/>
              <w:jc w:val="center"/>
              <w:textAlignment w:val="auto"/>
              <w:rPr>
                <w:rFonts w:hint="eastAsia" w:ascii="宋体" w:hAnsi="宋体" w:eastAsia="宋体"/>
                <w:color w:val="auto"/>
                <w:sz w:val="24"/>
                <w:highlight w:val="none"/>
              </w:rPr>
            </w:pPr>
            <w:r>
              <w:rPr>
                <w:rFonts w:hint="eastAsia" w:ascii="宋体" w:hAnsi="宋体" w:eastAsia="宋体"/>
                <w:color w:val="auto"/>
                <w:sz w:val="24"/>
                <w:highlight w:val="none"/>
              </w:rPr>
              <w:t>3</w:t>
            </w:r>
          </w:p>
        </w:tc>
        <w:tc>
          <w:tcPr>
            <w:tcW w:w="940" w:type="pct"/>
            <w:vAlign w:val="center"/>
          </w:tcPr>
          <w:p w14:paraId="76F7B4E8">
            <w:pPr>
              <w:keepNext w:val="0"/>
              <w:keepLines w:val="0"/>
              <w:pageBreakBefore w:val="0"/>
              <w:widowControl w:val="0"/>
              <w:kinsoku/>
              <w:overflowPunct/>
              <w:topLinePunct w:val="0"/>
              <w:autoSpaceDE/>
              <w:autoSpaceDN/>
              <w:bidi w:val="0"/>
              <w:spacing w:after="50" w:line="240" w:lineRule="auto"/>
              <w:ind w:right="-10"/>
              <w:jc w:val="center"/>
              <w:textAlignment w:val="auto"/>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439" w:type="pct"/>
            <w:vAlign w:val="center"/>
          </w:tcPr>
          <w:p w14:paraId="17E41455">
            <w:pPr>
              <w:keepNext w:val="0"/>
              <w:keepLines w:val="0"/>
              <w:pageBreakBefore w:val="0"/>
              <w:widowControl w:val="0"/>
              <w:kinsoku/>
              <w:overflowPunct/>
              <w:topLinePunct w:val="0"/>
              <w:autoSpaceDE/>
              <w:autoSpaceDN/>
              <w:bidi w:val="0"/>
              <w:spacing w:after="50" w:line="240" w:lineRule="auto"/>
              <w:ind w:right="-10"/>
              <w:jc w:val="left"/>
              <w:textAlignment w:val="auto"/>
              <w:rPr>
                <w:rFonts w:hint="eastAsia"/>
                <w:color w:val="auto"/>
                <w:highlight w:val="none"/>
              </w:rPr>
            </w:pPr>
            <w:r>
              <w:rPr>
                <w:rFonts w:hint="eastAsia" w:ascii="宋体" w:hAnsi="宋体" w:eastAsia="宋体" w:cs="宋体"/>
                <w:color w:val="auto"/>
                <w:sz w:val="24"/>
                <w:szCs w:val="24"/>
                <w:highlight w:val="none"/>
                <w:lang w:val="zh-CN"/>
              </w:rPr>
              <w:t>投标人不得存在“</w:t>
            </w:r>
            <w:r>
              <w:rPr>
                <w:rFonts w:hint="eastAsia" w:ascii="宋体" w:hAnsi="宋体" w:eastAsia="宋体" w:cs="宋体"/>
                <w:b/>
                <w:bCs/>
                <w:color w:val="auto"/>
                <w:sz w:val="24"/>
                <w:szCs w:val="24"/>
                <w:highlight w:val="none"/>
                <w:lang w:bidi="ar"/>
              </w:rPr>
              <w:t>申请人的资格要求</w:t>
            </w:r>
            <w:r>
              <w:rPr>
                <w:rFonts w:hint="eastAsia" w:ascii="宋体" w:hAnsi="宋体" w:eastAsia="宋体" w:cs="宋体"/>
                <w:b/>
                <w:bCs/>
                <w:color w:val="auto"/>
                <w:sz w:val="24"/>
                <w:szCs w:val="24"/>
                <w:highlight w:val="none"/>
                <w:lang w:val="en-US" w:eastAsia="zh-CN" w:bidi="ar"/>
              </w:rPr>
              <w:t>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250" w:type="pct"/>
            <w:vAlign w:val="center"/>
          </w:tcPr>
          <w:p w14:paraId="666AE47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rPr>
              <w:t>提供诚信投标承诺书</w:t>
            </w:r>
            <w:r>
              <w:rPr>
                <w:rFonts w:hint="eastAsia" w:ascii="宋体" w:hAnsi="宋体" w:eastAsia="宋体" w:cs="宋体"/>
                <w:color w:val="auto"/>
                <w:sz w:val="24"/>
                <w:szCs w:val="24"/>
                <w:highlight w:val="none"/>
                <w:lang w:val="en-US" w:eastAsia="zh-CN"/>
              </w:rPr>
              <w:t>；</w:t>
            </w:r>
          </w:p>
          <w:p w14:paraId="7D07E55E">
            <w:pPr>
              <w:keepNext w:val="0"/>
              <w:keepLines w:val="0"/>
              <w:pageBreakBefore w:val="0"/>
              <w:widowControl w:val="0"/>
              <w:kinsoku/>
              <w:wordWrap w:val="0"/>
              <w:overflowPunct/>
              <w:topLinePunct w:val="0"/>
              <w:autoSpaceDE/>
              <w:autoSpaceDN/>
              <w:bidi w:val="0"/>
              <w:spacing w:line="240" w:lineRule="auto"/>
              <w:jc w:val="left"/>
              <w:textAlignment w:val="auto"/>
              <w:rPr>
                <w:rFonts w:hint="eastAsia"/>
                <w:color w:val="auto"/>
                <w:highlight w:val="none"/>
              </w:rPr>
            </w:pPr>
            <w:r>
              <w:rPr>
                <w:rFonts w:hint="eastAsia" w:ascii="宋体" w:hAnsi="宋体" w:eastAsia="宋体" w:cs="宋体"/>
                <w:color w:val="auto"/>
                <w:sz w:val="24"/>
                <w:szCs w:val="24"/>
                <w:highlight w:val="none"/>
              </w:rPr>
              <w:t>采购人或采购代理机构查询</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信用记录</w:t>
            </w:r>
            <w:r>
              <w:rPr>
                <w:rFonts w:hint="eastAsia" w:ascii="宋体" w:hAnsi="宋体" w:eastAsia="宋体" w:cs="宋体"/>
                <w:color w:val="auto"/>
                <w:sz w:val="24"/>
                <w:szCs w:val="24"/>
                <w:highlight w:val="none"/>
                <w:lang w:val="en-US" w:eastAsia="zh-CN"/>
              </w:rPr>
              <w:t>情形</w:t>
            </w:r>
            <w:r>
              <w:rPr>
                <w:rFonts w:hint="eastAsia" w:ascii="宋体" w:hAnsi="宋体" w:eastAsia="宋体" w:cs="宋体"/>
                <w:color w:val="auto"/>
                <w:sz w:val="24"/>
                <w:szCs w:val="24"/>
                <w:highlight w:val="none"/>
              </w:rPr>
              <w:t>。</w:t>
            </w:r>
          </w:p>
        </w:tc>
      </w:tr>
    </w:tbl>
    <w:p w14:paraId="3B0AB150">
      <w:pPr>
        <w:spacing w:line="360" w:lineRule="auto"/>
        <w:ind w:firstLine="435"/>
        <w:rPr>
          <w:rFonts w:hint="eastAsia" w:asciiTheme="minorEastAsia" w:hAnsiTheme="minorEastAsia" w:eastAsiaTheme="minorEastAsia"/>
          <w:color w:val="auto"/>
          <w:sz w:val="24"/>
          <w:highlight w:val="none"/>
        </w:rPr>
      </w:pPr>
      <w:bookmarkStart w:id="56" w:name="_Hlk16461707"/>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bookmarkEnd w:id="56"/>
    <w:p w14:paraId="24410F56">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6EF61A2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2117"/>
        <w:gridCol w:w="3128"/>
        <w:gridCol w:w="2512"/>
      </w:tblGrid>
      <w:tr w14:paraId="48B39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72552D31">
            <w:pPr>
              <w:adjustRightInd w:val="0"/>
              <w:snapToGrid w:val="0"/>
              <w:spacing w:line="360" w:lineRule="auto"/>
              <w:ind w:right="-10"/>
              <w:jc w:val="center"/>
              <w:rPr>
                <w:rFonts w:hint="eastAsia"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3A8E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9" w:type="pct"/>
            <w:tcBorders>
              <w:bottom w:val="single" w:color="auto" w:sz="4" w:space="0"/>
            </w:tcBorders>
            <w:vAlign w:val="center"/>
          </w:tcPr>
          <w:p w14:paraId="2D86A88C">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序号</w:t>
            </w:r>
          </w:p>
        </w:tc>
        <w:tc>
          <w:tcPr>
            <w:tcW w:w="1242" w:type="pct"/>
            <w:tcBorders>
              <w:bottom w:val="single" w:color="auto" w:sz="4" w:space="0"/>
            </w:tcBorders>
            <w:vAlign w:val="center"/>
          </w:tcPr>
          <w:p w14:paraId="21FCCD7D">
            <w:pPr>
              <w:pStyle w:val="45"/>
              <w:pBdr>
                <w:bottom w:val="none" w:color="auto" w:sz="0" w:space="0"/>
              </w:pBdr>
              <w:tabs>
                <w:tab w:val="clear" w:pos="4153"/>
                <w:tab w:val="clear" w:pos="8306"/>
              </w:tabs>
              <w:snapToGrid w:val="0"/>
              <w:spacing w:line="360" w:lineRule="auto"/>
              <w:ind w:right="-10"/>
              <w:textAlignment w:val="auto"/>
              <w:rPr>
                <w:rFonts w:hint="eastAsia" w:ascii="宋体" w:hAnsi="宋体" w:eastAsia="宋体"/>
                <w:color w:val="auto"/>
                <w:kern w:val="2"/>
                <w:highlight w:val="none"/>
              </w:rPr>
            </w:pPr>
            <w:r>
              <w:rPr>
                <w:rFonts w:hint="eastAsia" w:ascii="宋体" w:hAnsi="宋体" w:eastAsia="宋体"/>
                <w:color w:val="auto"/>
                <w:kern w:val="2"/>
                <w:highlight w:val="none"/>
              </w:rPr>
              <w:t>审查指标</w:t>
            </w:r>
          </w:p>
        </w:tc>
        <w:tc>
          <w:tcPr>
            <w:tcW w:w="1835" w:type="pct"/>
            <w:tcBorders>
              <w:bottom w:val="single" w:color="auto" w:sz="4" w:space="0"/>
            </w:tcBorders>
            <w:vAlign w:val="center"/>
          </w:tcPr>
          <w:p w14:paraId="7A640AF3">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审查标准</w:t>
            </w:r>
          </w:p>
        </w:tc>
        <w:tc>
          <w:tcPr>
            <w:tcW w:w="1473" w:type="pct"/>
            <w:tcBorders>
              <w:bottom w:val="single" w:color="auto" w:sz="4" w:space="0"/>
            </w:tcBorders>
            <w:vAlign w:val="center"/>
          </w:tcPr>
          <w:p w14:paraId="6B05049C">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格式要求</w:t>
            </w:r>
          </w:p>
        </w:tc>
      </w:tr>
      <w:tr w14:paraId="55499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12EB79BF">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242" w:type="pct"/>
            <w:vAlign w:val="center"/>
          </w:tcPr>
          <w:p w14:paraId="6EAA605D">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开标一览表</w:t>
            </w:r>
          </w:p>
        </w:tc>
        <w:tc>
          <w:tcPr>
            <w:tcW w:w="1835" w:type="pct"/>
            <w:vAlign w:val="center"/>
          </w:tcPr>
          <w:p w14:paraId="193FB0AC">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格式、填写要求符合招标文件规定并加盖投标人公章</w:t>
            </w:r>
          </w:p>
        </w:tc>
        <w:tc>
          <w:tcPr>
            <w:tcW w:w="1473" w:type="pct"/>
            <w:vAlign w:val="center"/>
          </w:tcPr>
          <w:p w14:paraId="3B6964B7">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0C57B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041C68AE">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242" w:type="pct"/>
            <w:vAlign w:val="center"/>
          </w:tcPr>
          <w:p w14:paraId="50E88F36">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835" w:type="pct"/>
            <w:vAlign w:val="center"/>
          </w:tcPr>
          <w:p w14:paraId="04CAE6B5">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格式、填写要求符合招标文件规定并加盖投标人公章</w:t>
            </w:r>
          </w:p>
        </w:tc>
        <w:tc>
          <w:tcPr>
            <w:tcW w:w="1473" w:type="pct"/>
            <w:vAlign w:val="center"/>
          </w:tcPr>
          <w:p w14:paraId="77016A4B">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250C2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1BFF800C">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1242" w:type="pct"/>
            <w:vAlign w:val="center"/>
          </w:tcPr>
          <w:p w14:paraId="33E00229">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835" w:type="pct"/>
            <w:vAlign w:val="center"/>
          </w:tcPr>
          <w:p w14:paraId="33BFA268">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格式、填写要求符合招标文件规定并加盖投标人公章</w:t>
            </w:r>
          </w:p>
        </w:tc>
        <w:tc>
          <w:tcPr>
            <w:tcW w:w="1473" w:type="pct"/>
            <w:vAlign w:val="center"/>
          </w:tcPr>
          <w:p w14:paraId="59C63C82">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法定代表人参加投标的无需此件，提供身份证明即可。详见第六章投标文件格式。</w:t>
            </w:r>
          </w:p>
        </w:tc>
      </w:tr>
      <w:tr w14:paraId="5C6D0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5D5D5AD9">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242" w:type="pct"/>
            <w:vAlign w:val="center"/>
          </w:tcPr>
          <w:p w14:paraId="61731038">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835" w:type="pct"/>
            <w:vAlign w:val="center"/>
          </w:tcPr>
          <w:p w14:paraId="164228EF">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招标文件投标人须知正文第9条要求</w:t>
            </w:r>
          </w:p>
        </w:tc>
        <w:tc>
          <w:tcPr>
            <w:tcW w:w="1473" w:type="pct"/>
            <w:vAlign w:val="center"/>
          </w:tcPr>
          <w:p w14:paraId="03292495">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4F9C2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5EB512E8">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p>
        </w:tc>
        <w:tc>
          <w:tcPr>
            <w:tcW w:w="1242" w:type="pct"/>
            <w:vAlign w:val="center"/>
          </w:tcPr>
          <w:p w14:paraId="63A339CD">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1835" w:type="pct"/>
            <w:vAlign w:val="center"/>
          </w:tcPr>
          <w:p w14:paraId="07ED606B">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符合招标文件采购需求中对付款方式、供货及安装期限、供货及安装地点、免费质保期等实质性要求</w:t>
            </w:r>
          </w:p>
        </w:tc>
        <w:tc>
          <w:tcPr>
            <w:tcW w:w="1473" w:type="pct"/>
            <w:vAlign w:val="center"/>
          </w:tcPr>
          <w:p w14:paraId="38988E69">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6AEC0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35531417">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p>
        </w:tc>
        <w:tc>
          <w:tcPr>
            <w:tcW w:w="1242" w:type="pct"/>
            <w:vAlign w:val="center"/>
          </w:tcPr>
          <w:p w14:paraId="4F368BA0">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lang w:val="en-US" w:eastAsia="zh-CN"/>
              </w:rPr>
              <w:t>服务</w:t>
            </w:r>
            <w:r>
              <w:rPr>
                <w:rFonts w:hint="eastAsia" w:asciiTheme="minorEastAsia" w:hAnsiTheme="minorEastAsia" w:eastAsiaTheme="minorEastAsia"/>
                <w:color w:val="auto"/>
                <w:sz w:val="24"/>
                <w:szCs w:val="28"/>
                <w:highlight w:val="none"/>
              </w:rPr>
              <w:t>响应情况</w:t>
            </w:r>
          </w:p>
        </w:tc>
        <w:tc>
          <w:tcPr>
            <w:tcW w:w="1835" w:type="pct"/>
            <w:vAlign w:val="center"/>
          </w:tcPr>
          <w:p w14:paraId="7A9747B9">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w:t>
            </w:r>
            <w:r>
              <w:rPr>
                <w:rFonts w:hint="eastAsia" w:ascii="宋体" w:hAnsi="宋体" w:eastAsia="宋体"/>
                <w:b/>
                <w:color w:val="auto"/>
                <w:sz w:val="24"/>
                <w:szCs w:val="18"/>
                <w:highlight w:val="none"/>
                <w:lang w:val="en-US" w:eastAsia="zh-CN"/>
              </w:rPr>
              <w:t>服务</w:t>
            </w:r>
            <w:r>
              <w:rPr>
                <w:rFonts w:hint="eastAsia" w:ascii="宋体" w:hAnsi="宋体" w:eastAsia="宋体"/>
                <w:b/>
                <w:color w:val="auto"/>
                <w:sz w:val="24"/>
                <w:szCs w:val="18"/>
                <w:highlight w:val="none"/>
              </w:rPr>
              <w:t>要求</w:t>
            </w:r>
            <w:r>
              <w:rPr>
                <w:rFonts w:hint="eastAsia" w:asciiTheme="minorEastAsia" w:hAnsiTheme="minorEastAsia" w:eastAsiaTheme="minorEastAsia"/>
                <w:color w:val="auto"/>
                <w:sz w:val="24"/>
                <w:szCs w:val="28"/>
                <w:highlight w:val="none"/>
              </w:rPr>
              <w:t>等实质性要求</w:t>
            </w:r>
          </w:p>
        </w:tc>
        <w:tc>
          <w:tcPr>
            <w:tcW w:w="1473" w:type="pct"/>
            <w:vAlign w:val="center"/>
          </w:tcPr>
          <w:p w14:paraId="18A772CE">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1F23E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7AD0D402">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p>
        </w:tc>
        <w:tc>
          <w:tcPr>
            <w:tcW w:w="1242" w:type="pct"/>
            <w:vAlign w:val="center"/>
          </w:tcPr>
          <w:p w14:paraId="38623A27">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1835" w:type="pct"/>
            <w:vAlign w:val="center"/>
          </w:tcPr>
          <w:p w14:paraId="2B5DB386">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符合法律、行政法规规定的其他条件或招标文件列明的其他实质性要求</w:t>
            </w:r>
          </w:p>
        </w:tc>
        <w:tc>
          <w:tcPr>
            <w:tcW w:w="1473" w:type="pct"/>
            <w:vAlign w:val="center"/>
          </w:tcPr>
          <w:p w14:paraId="44BCEEDA">
            <w:pPr>
              <w:adjustRightInd w:val="0"/>
              <w:snapToGrid w:val="0"/>
              <w:spacing w:line="360" w:lineRule="auto"/>
              <w:ind w:right="-10"/>
              <w:jc w:val="center"/>
              <w:rPr>
                <w:rFonts w:hint="eastAsia" w:asciiTheme="minorEastAsia" w:hAnsiTheme="minorEastAsia" w:eastAsiaTheme="minorEastAsia"/>
                <w:color w:val="auto"/>
                <w:sz w:val="24"/>
                <w:highlight w:val="none"/>
              </w:rPr>
            </w:pPr>
          </w:p>
        </w:tc>
      </w:tr>
    </w:tbl>
    <w:p w14:paraId="4034B30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40C50D27">
      <w:pPr>
        <w:spacing w:line="360" w:lineRule="auto"/>
        <w:ind w:firstLine="435"/>
        <w:rPr>
          <w:rFonts w:hint="eastAsia" w:asciiTheme="minorEastAsia" w:hAnsiTheme="minorEastAsia" w:eastAsiaTheme="minorEastAsia"/>
          <w:color w:val="auto"/>
          <w:sz w:val="24"/>
          <w:highlight w:val="none"/>
        </w:rPr>
      </w:pPr>
    </w:p>
    <w:p w14:paraId="04012129">
      <w:pPr>
        <w:widowControl/>
        <w:jc w:val="center"/>
        <w:rPr>
          <w:rFonts w:hint="eastAsia" w:asciiTheme="minorEastAsia" w:hAnsiTheme="minorEastAsia" w:eastAsiaTheme="minorEastAsia"/>
          <w:b/>
          <w:color w:val="auto"/>
          <w:sz w:val="28"/>
          <w:highlight w:val="none"/>
        </w:rPr>
      </w:pPr>
      <w:bookmarkStart w:id="57" w:name="_Toc4682"/>
    </w:p>
    <w:p w14:paraId="33AEE1DA">
      <w:pPr>
        <w:pStyle w:val="25"/>
        <w:rPr>
          <w:rFonts w:hint="eastAsia" w:asciiTheme="minorEastAsia" w:hAnsiTheme="minorEastAsia" w:eastAsiaTheme="minorEastAsia"/>
          <w:b/>
          <w:color w:val="auto"/>
          <w:sz w:val="28"/>
          <w:highlight w:val="none"/>
        </w:rPr>
      </w:pPr>
    </w:p>
    <w:p w14:paraId="4A76B6A7">
      <w:pPr>
        <w:pStyle w:val="25"/>
        <w:rPr>
          <w:rFonts w:hint="eastAsia" w:asciiTheme="minorEastAsia" w:hAnsiTheme="minorEastAsia" w:eastAsiaTheme="minorEastAsia"/>
          <w:b/>
          <w:color w:val="auto"/>
          <w:sz w:val="28"/>
          <w:highlight w:val="none"/>
        </w:rPr>
      </w:pPr>
    </w:p>
    <w:p w14:paraId="1272FB99">
      <w:pPr>
        <w:widowControl/>
        <w:jc w:val="center"/>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57"/>
    </w:p>
    <w:p w14:paraId="602AE290">
      <w:pPr>
        <w:pStyle w:val="9"/>
        <w:spacing w:after="0" w:line="360" w:lineRule="auto"/>
        <w:jc w:val="center"/>
        <w:rPr>
          <w:rFonts w:hint="eastAsia" w:ascii="宋体" w:hAnsi="宋体" w:eastAsia="宋体" w:cs="宋体"/>
          <w:b/>
          <w:bCs/>
          <w:color w:val="auto"/>
          <w:spacing w:val="-20"/>
          <w:kern w:val="44"/>
          <w:sz w:val="24"/>
          <w:highlight w:val="none"/>
        </w:rPr>
      </w:pPr>
      <w:bookmarkStart w:id="58" w:name="_Toc22492"/>
    </w:p>
    <w:p w14:paraId="26872B5B">
      <w:pPr>
        <w:pStyle w:val="9"/>
        <w:spacing w:after="0" w:line="360" w:lineRule="auto"/>
        <w:jc w:val="center"/>
        <w:rPr>
          <w:rFonts w:hint="default" w:ascii="宋体" w:hAnsi="宋体" w:eastAsia="宋体" w:cs="宋体"/>
          <w:b/>
          <w:bCs/>
          <w:color w:val="auto"/>
          <w:spacing w:val="-20"/>
          <w:kern w:val="44"/>
          <w:sz w:val="30"/>
          <w:szCs w:val="30"/>
          <w:highlight w:val="none"/>
          <w:lang w:val="en-US" w:eastAsia="zh-CN"/>
        </w:rPr>
      </w:pPr>
      <w:r>
        <w:rPr>
          <w:rFonts w:hint="eastAsia" w:ascii="宋体" w:hAnsi="宋体" w:eastAsia="宋体" w:cs="宋体"/>
          <w:b/>
          <w:bCs/>
          <w:color w:val="auto"/>
          <w:spacing w:val="-20"/>
          <w:kern w:val="44"/>
          <w:sz w:val="30"/>
          <w:szCs w:val="30"/>
          <w:highlight w:val="none"/>
          <w:lang w:val="en-US" w:eastAsia="zh-CN"/>
        </w:rPr>
        <w:t>（此格式合格仅供参考）</w:t>
      </w:r>
    </w:p>
    <w:p w14:paraId="2A96FE14">
      <w:pPr>
        <w:spacing w:line="360" w:lineRule="auto"/>
        <w:rPr>
          <w:rFonts w:hint="eastAsia" w:ascii="宋体" w:hAnsi="宋体" w:eastAsia="宋体" w:cs="宋体"/>
          <w:b/>
          <w:bCs/>
          <w:color w:val="auto"/>
          <w:spacing w:val="-20"/>
          <w:kern w:val="44"/>
          <w:sz w:val="24"/>
          <w:szCs w:val="24"/>
          <w:highlight w:val="none"/>
        </w:rPr>
      </w:pPr>
    </w:p>
    <w:p w14:paraId="7D9E0BB2">
      <w:pPr>
        <w:pStyle w:val="9"/>
        <w:rPr>
          <w:rFonts w:hint="eastAsia" w:ascii="宋体" w:hAnsi="宋体" w:eastAsia="宋体" w:cs="宋体"/>
          <w:b/>
          <w:bCs/>
          <w:color w:val="auto"/>
          <w:spacing w:val="-20"/>
          <w:kern w:val="44"/>
          <w:sz w:val="24"/>
          <w:highlight w:val="none"/>
        </w:rPr>
      </w:pPr>
    </w:p>
    <w:p w14:paraId="3333A1FA">
      <w:pPr>
        <w:pStyle w:val="9"/>
        <w:rPr>
          <w:rFonts w:hint="eastAsia" w:ascii="宋体" w:hAnsi="宋体" w:eastAsia="宋体" w:cs="宋体"/>
          <w:b/>
          <w:bCs/>
          <w:color w:val="auto"/>
          <w:spacing w:val="-20"/>
          <w:kern w:val="44"/>
          <w:sz w:val="24"/>
          <w:highlight w:val="none"/>
        </w:rPr>
      </w:pPr>
    </w:p>
    <w:p w14:paraId="023A882D">
      <w:pPr>
        <w:pStyle w:val="9"/>
        <w:rPr>
          <w:rFonts w:hint="eastAsia" w:ascii="宋体" w:hAnsi="宋体" w:eastAsia="宋体" w:cs="宋体"/>
          <w:b/>
          <w:bCs/>
          <w:color w:val="auto"/>
          <w:spacing w:val="-20"/>
          <w:kern w:val="44"/>
          <w:sz w:val="24"/>
          <w:highlight w:val="none"/>
        </w:rPr>
      </w:pPr>
    </w:p>
    <w:p w14:paraId="039AC692">
      <w:pPr>
        <w:pStyle w:val="9"/>
        <w:rPr>
          <w:rFonts w:hint="eastAsia" w:ascii="宋体" w:hAnsi="宋体" w:eastAsia="宋体" w:cs="宋体"/>
          <w:b/>
          <w:bCs/>
          <w:color w:val="auto"/>
          <w:spacing w:val="-20"/>
          <w:kern w:val="44"/>
          <w:sz w:val="24"/>
          <w:highlight w:val="none"/>
        </w:rPr>
      </w:pPr>
    </w:p>
    <w:p w14:paraId="7E6F0A45">
      <w:pPr>
        <w:pStyle w:val="9"/>
        <w:rPr>
          <w:rFonts w:hint="eastAsia" w:ascii="宋体" w:hAnsi="宋体" w:eastAsia="宋体" w:cs="宋体"/>
          <w:b/>
          <w:bCs/>
          <w:color w:val="auto"/>
          <w:spacing w:val="-20"/>
          <w:kern w:val="44"/>
          <w:sz w:val="24"/>
          <w:highlight w:val="none"/>
        </w:rPr>
      </w:pPr>
    </w:p>
    <w:p w14:paraId="5ED9C677">
      <w:pPr>
        <w:spacing w:line="360" w:lineRule="auto"/>
        <w:rPr>
          <w:rFonts w:hint="eastAsia" w:ascii="宋体" w:hAnsi="宋体" w:eastAsia="宋体" w:cs="宋体"/>
          <w:b/>
          <w:bCs/>
          <w:color w:val="auto"/>
          <w:spacing w:val="-20"/>
          <w:kern w:val="44"/>
          <w:sz w:val="24"/>
          <w:szCs w:val="24"/>
          <w:highlight w:val="none"/>
        </w:rPr>
      </w:pPr>
    </w:p>
    <w:p w14:paraId="639FAA7B">
      <w:pPr>
        <w:pStyle w:val="9"/>
        <w:spacing w:line="360" w:lineRule="auto"/>
        <w:rPr>
          <w:rFonts w:hint="eastAsia"/>
          <w:color w:val="auto"/>
          <w:highlight w:val="none"/>
        </w:rPr>
      </w:pPr>
    </w:p>
    <w:p w14:paraId="7F5C160F">
      <w:pPr>
        <w:spacing w:line="360" w:lineRule="auto"/>
        <w:rPr>
          <w:rFonts w:hint="eastAsia" w:ascii="宋体" w:hAnsi="宋体" w:eastAsia="宋体" w:cs="宋体"/>
          <w:b/>
          <w:bCs/>
          <w:color w:val="auto"/>
          <w:spacing w:val="-20"/>
          <w:kern w:val="44"/>
          <w:sz w:val="24"/>
          <w:szCs w:val="24"/>
          <w:highlight w:val="none"/>
        </w:rPr>
      </w:pPr>
      <w:bookmarkStart w:id="84" w:name="_GoBack"/>
      <w:bookmarkEnd w:id="84"/>
    </w:p>
    <w:p w14:paraId="0AC73470">
      <w:pPr>
        <w:spacing w:line="360" w:lineRule="auto"/>
        <w:ind w:left="420" w:leftChars="200"/>
        <w:rPr>
          <w:rFonts w:hint="eastAsia" w:ascii="宋体" w:hAnsi="宋体" w:eastAsia="宋体" w:cs="Times New Roman"/>
          <w:i/>
          <w:iCs/>
          <w:color w:val="auto"/>
          <w:sz w:val="24"/>
          <w:szCs w:val="24"/>
          <w:highlight w:val="none"/>
        </w:rPr>
      </w:pPr>
      <w:r>
        <w:rPr>
          <w:rFonts w:hint="eastAsia" w:ascii="宋体" w:hAnsi="宋体" w:eastAsia="宋体" w:cs="宋体"/>
          <w:color w:val="auto"/>
          <w:kern w:val="0"/>
          <w:sz w:val="24"/>
          <w:szCs w:val="24"/>
          <w:highlight w:val="none"/>
        </w:rPr>
        <w:t>项目名称：</w:t>
      </w:r>
      <w:r>
        <w:rPr>
          <w:rFonts w:hint="eastAsia" w:ascii="宋体" w:hAnsi="宋体" w:eastAsia="宋体" w:cs="宋体"/>
          <w:color w:val="auto"/>
          <w:sz w:val="24"/>
          <w:szCs w:val="24"/>
          <w:highlight w:val="none"/>
          <w:u w:val="single"/>
        </w:rPr>
        <w:t xml:space="preserve">                             </w:t>
      </w:r>
    </w:p>
    <w:p w14:paraId="17337140">
      <w:pPr>
        <w:spacing w:line="360" w:lineRule="auto"/>
        <w:ind w:left="420" w:leftChars="200"/>
        <w:rPr>
          <w:rFonts w:hint="eastAsia"/>
          <w:color w:val="auto"/>
          <w:highlight w:val="non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p>
    <w:p w14:paraId="2B8C5F72">
      <w:pPr>
        <w:spacing w:line="360" w:lineRule="auto"/>
        <w:ind w:left="420" w:left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合同编号：</w:t>
      </w:r>
      <w:r>
        <w:rPr>
          <w:rFonts w:hint="eastAsia" w:ascii="宋体" w:hAnsi="宋体" w:eastAsia="宋体" w:cs="宋体"/>
          <w:color w:val="auto"/>
          <w:sz w:val="24"/>
          <w:szCs w:val="24"/>
          <w:highlight w:val="none"/>
          <w:u w:val="single"/>
        </w:rPr>
        <w:t xml:space="preserve">                             </w:t>
      </w:r>
    </w:p>
    <w:p w14:paraId="43365EEC">
      <w:pPr>
        <w:spacing w:line="360" w:lineRule="auto"/>
        <w:ind w:left="420" w:leftChars="200"/>
        <w:rPr>
          <w:rFonts w:hint="eastAsia" w:ascii="宋体" w:hAnsi="宋体" w:eastAsia="宋体" w:cs="宋体"/>
          <w:color w:val="auto"/>
          <w:sz w:val="24"/>
          <w:szCs w:val="24"/>
          <w:highlight w:val="none"/>
          <w:u w:val="single"/>
        </w:rPr>
      </w:pPr>
      <w:r>
        <w:rPr>
          <w:rFonts w:hint="eastAsia" w:ascii="宋体" w:hAnsi="宋体" w:eastAsia="宋体" w:cs="Times New Roman"/>
          <w:color w:val="auto"/>
          <w:sz w:val="24"/>
          <w:szCs w:val="24"/>
          <w:highlight w:val="none"/>
        </w:rPr>
        <w:t>甲方（采购人）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滁州市第一人民医院</w:t>
      </w:r>
    </w:p>
    <w:p w14:paraId="17E45AA7">
      <w:pPr>
        <w:spacing w:line="360" w:lineRule="auto"/>
        <w:ind w:left="420" w:leftChars="200"/>
        <w:rPr>
          <w:rFonts w:hint="eastAsia" w:ascii="宋体" w:hAnsi="宋体" w:eastAsia="宋体" w:cs="宋体"/>
          <w:color w:val="auto"/>
          <w:sz w:val="24"/>
          <w:szCs w:val="24"/>
          <w:highlight w:val="none"/>
          <w:u w:val="single"/>
        </w:rPr>
      </w:pPr>
      <w:r>
        <w:rPr>
          <w:rFonts w:hint="eastAsia" w:ascii="宋体" w:hAnsi="宋体" w:eastAsia="宋体" w:cs="Times New Roman"/>
          <w:color w:val="auto"/>
          <w:sz w:val="24"/>
          <w:szCs w:val="24"/>
          <w:highlight w:val="none"/>
        </w:rPr>
        <w:t>乙方（中标人）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2E76871F">
      <w:pPr>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w:t>
      </w:r>
      <w:r>
        <w:rPr>
          <w:rFonts w:hint="eastAsia" w:ascii="宋体" w:hAnsi="宋体" w:eastAsia="宋体" w:cs="宋体"/>
          <w:color w:val="auto"/>
          <w:sz w:val="24"/>
          <w:szCs w:val="24"/>
          <w:highlight w:val="none"/>
          <w:u w:val="single"/>
        </w:rPr>
        <w:t xml:space="preserve">                             </w:t>
      </w:r>
    </w:p>
    <w:p w14:paraId="142A6A8F">
      <w:pPr>
        <w:spacing w:line="360" w:lineRule="auto"/>
        <w:rPr>
          <w:rFonts w:hint="eastAsia" w:ascii="宋体" w:hAnsi="宋体" w:eastAsia="宋体" w:cs="宋体"/>
          <w:color w:val="auto"/>
          <w:sz w:val="24"/>
          <w:szCs w:val="24"/>
          <w:highlight w:val="none"/>
        </w:rPr>
      </w:pPr>
    </w:p>
    <w:p w14:paraId="3A46AF9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46C524B">
      <w:pPr>
        <w:spacing w:line="360" w:lineRule="auto"/>
        <w:ind w:firstLine="480" w:firstLineChars="200"/>
        <w:rPr>
          <w:rFonts w:hint="eastAsia" w:ascii="宋体" w:hAnsi="宋体" w:eastAsia="宋体" w:cs="宋体"/>
          <w:color w:val="auto"/>
          <w:sz w:val="24"/>
          <w:szCs w:val="24"/>
          <w:highlight w:val="none"/>
        </w:rPr>
        <w:sectPr>
          <w:headerReference r:id="rId4" w:type="default"/>
          <w:footerReference r:id="rId5" w:type="default"/>
          <w:pgSz w:w="11906" w:h="16838"/>
          <w:pgMar w:top="1440" w:right="1800" w:bottom="1440" w:left="1800" w:header="851" w:footer="992" w:gutter="0"/>
          <w:pgNumType w:start="1"/>
          <w:cols w:space="425" w:num="1"/>
          <w:docGrid w:type="lines" w:linePitch="312" w:charSpace="0"/>
        </w:sectPr>
      </w:pPr>
    </w:p>
    <w:p w14:paraId="15D458BF">
      <w:pPr>
        <w:spacing w:line="360" w:lineRule="auto"/>
        <w:jc w:val="center"/>
        <w:outlineLvl w:val="1"/>
        <w:rPr>
          <w:rFonts w:hint="eastAsia" w:ascii="宋体" w:hAnsi="宋体" w:eastAsia="宋体"/>
          <w:b/>
          <w:color w:val="auto"/>
          <w:sz w:val="24"/>
          <w:highlight w:val="none"/>
        </w:rPr>
      </w:pPr>
      <w:bookmarkStart w:id="59" w:name="_Toc22209"/>
      <w:r>
        <w:rPr>
          <w:rFonts w:hint="eastAsia" w:ascii="宋体" w:hAnsi="宋体" w:eastAsia="宋体"/>
          <w:b/>
          <w:color w:val="auto"/>
          <w:sz w:val="24"/>
          <w:highlight w:val="none"/>
        </w:rPr>
        <w:t>第一节 政府采购合同协议书</w:t>
      </w:r>
      <w:bookmarkEnd w:id="59"/>
    </w:p>
    <w:p w14:paraId="0E5D5595">
      <w:pPr>
        <w:adjustRightInd w:val="0"/>
        <w:snapToGrid w:val="0"/>
        <w:spacing w:line="360" w:lineRule="auto"/>
        <w:rPr>
          <w:rFonts w:hint="eastAsia" w:ascii="宋体" w:hAnsi="宋体" w:eastAsia="宋体" w:cs="宋体"/>
          <w:color w:val="auto"/>
          <w:sz w:val="24"/>
          <w:szCs w:val="24"/>
          <w:highlight w:val="none"/>
        </w:rPr>
      </w:pPr>
    </w:p>
    <w:p w14:paraId="2DA8DF77">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甲方（全称）：</w:t>
      </w:r>
      <w:r>
        <w:rPr>
          <w:rFonts w:hint="eastAsia" w:ascii="宋体" w:hAnsi="宋体" w:eastAsia="宋体" w:cs="宋体"/>
          <w:color w:val="auto"/>
          <w:sz w:val="24"/>
          <w:szCs w:val="24"/>
          <w:highlight w:val="none"/>
          <w:u w:val="single"/>
        </w:rPr>
        <w:t>滁州市第一人民医院</w:t>
      </w:r>
    </w:p>
    <w:p w14:paraId="4291A3C2">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w:t>
      </w:r>
    </w:p>
    <w:p w14:paraId="684426E9">
      <w:pPr>
        <w:pStyle w:val="10"/>
        <w:keepNext w:val="0"/>
        <w:keepLines w:val="0"/>
        <w:pageBreakBefore w:val="0"/>
        <w:kinsoku/>
        <w:wordWrap/>
        <w:overflowPunct/>
        <w:topLinePunct w:val="0"/>
        <w:bidi w:val="0"/>
        <w:adjustRightInd w:val="0"/>
        <w:snapToGrid w:val="0"/>
        <w:spacing w:after="0" w:line="5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依据《中华人民共和国民法典》、《中华人民共和国政府采购法》等有关的法律法规，以及本采购项目的招标等采购文件、乙方的《投标（响应）文件》及《中标（成交）通知书》，甲乙双方同意签订本合同。具体情况及要求如下：     </w:t>
      </w:r>
    </w:p>
    <w:p w14:paraId="1995A5E5">
      <w:pPr>
        <w:keepNext w:val="0"/>
        <w:keepLines w:val="0"/>
        <w:pageBreakBefore w:val="0"/>
        <w:numPr>
          <w:ilvl w:val="0"/>
          <w:numId w:val="2"/>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项目信息</w:t>
      </w:r>
    </w:p>
    <w:p w14:paraId="1D09EF3A">
      <w:pPr>
        <w:pStyle w:val="10"/>
        <w:keepNext w:val="0"/>
        <w:keepLines w:val="0"/>
        <w:pageBreakBefore w:val="0"/>
        <w:numPr>
          <w:ilvl w:val="0"/>
          <w:numId w:val="3"/>
        </w:numPr>
        <w:kinsoku/>
        <w:wordWrap/>
        <w:overflowPunct/>
        <w:topLinePunct w:val="0"/>
        <w:bidi w:val="0"/>
        <w:adjustRightInd w:val="0"/>
        <w:snapToGrid w:val="0"/>
        <w:spacing w:after="0" w:line="5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滁州市第一人民医院水处理消毒服务项目</w:t>
      </w:r>
      <w:r>
        <w:rPr>
          <w:rFonts w:hint="eastAsia" w:ascii="宋体" w:hAnsi="宋体" w:eastAsia="宋体" w:cs="宋体"/>
          <w:color w:val="auto"/>
          <w:sz w:val="24"/>
          <w:szCs w:val="24"/>
          <w:highlight w:val="none"/>
          <w:u w:val="single"/>
        </w:rPr>
        <w:t xml:space="preserve"> </w:t>
      </w:r>
    </w:p>
    <w:p w14:paraId="212B3DEB">
      <w:pPr>
        <w:pStyle w:val="10"/>
        <w:keepNext w:val="0"/>
        <w:keepLines w:val="0"/>
        <w:pageBreakBefore w:val="0"/>
        <w:numPr>
          <w:ilvl w:val="0"/>
          <w:numId w:val="3"/>
        </w:numPr>
        <w:kinsoku/>
        <w:wordWrap/>
        <w:overflowPunct/>
        <w:topLinePunct w:val="0"/>
        <w:bidi w:val="0"/>
        <w:adjustRightInd w:val="0"/>
        <w:snapToGrid w:val="0"/>
        <w:spacing w:after="0" w:line="5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采购项目编号：</w:t>
      </w:r>
      <w:r>
        <w:rPr>
          <w:rFonts w:hint="eastAsia" w:ascii="宋体" w:hAnsi="宋体" w:eastAsia="宋体" w:cs="宋体"/>
          <w:color w:val="auto"/>
          <w:sz w:val="24"/>
          <w:szCs w:val="24"/>
          <w:highlight w:val="none"/>
          <w:u w:val="single"/>
          <w:lang w:eastAsia="zh-CN"/>
        </w:rPr>
        <w:t>CZYY-2025-70</w:t>
      </w:r>
      <w:r>
        <w:rPr>
          <w:rFonts w:hint="eastAsia" w:ascii="宋体" w:hAnsi="宋体" w:eastAsia="宋体" w:cs="宋体"/>
          <w:color w:val="auto"/>
          <w:sz w:val="24"/>
          <w:szCs w:val="24"/>
          <w:highlight w:val="none"/>
          <w:u w:val="single"/>
        </w:rPr>
        <w:t xml:space="preserve"> </w:t>
      </w:r>
    </w:p>
    <w:p w14:paraId="12F31C8B">
      <w:pPr>
        <w:pStyle w:val="10"/>
        <w:keepNext w:val="0"/>
        <w:keepLines w:val="0"/>
        <w:pageBreakBefore w:val="0"/>
        <w:numPr>
          <w:ilvl w:val="0"/>
          <w:numId w:val="3"/>
        </w:numPr>
        <w:kinsoku/>
        <w:wordWrap/>
        <w:overflowPunct/>
        <w:topLinePunct w:val="0"/>
        <w:bidi w:val="0"/>
        <w:adjustRightInd w:val="0"/>
        <w:snapToGrid w:val="0"/>
        <w:spacing w:after="0" w:line="5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项目内容：</w:t>
      </w:r>
    </w:p>
    <w:p w14:paraId="139AAE81">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采购标的及数量（台）：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0255292">
      <w:pPr>
        <w:keepNext w:val="0"/>
        <w:keepLines w:val="0"/>
        <w:pageBreakBefore w:val="0"/>
        <w:numPr>
          <w:ilvl w:val="255"/>
          <w:numId w:val="0"/>
        </w:numPr>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品牌：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规格型号：</w:t>
      </w:r>
      <w:r>
        <w:rPr>
          <w:rFonts w:hint="eastAsia" w:ascii="宋体" w:hAnsi="宋体" w:eastAsia="宋体" w:cs="宋体"/>
          <w:color w:val="auto"/>
          <w:sz w:val="24"/>
          <w:szCs w:val="24"/>
          <w:highlight w:val="none"/>
          <w:u w:val="single"/>
        </w:rPr>
        <w:t xml:space="preserve">               </w:t>
      </w:r>
    </w:p>
    <w:p w14:paraId="22DD7E5D">
      <w:pPr>
        <w:pStyle w:val="72"/>
        <w:keepNext w:val="0"/>
        <w:keepLines w:val="0"/>
        <w:pageBreakBefore w:val="0"/>
        <w:numPr>
          <w:ilvl w:val="255"/>
          <w:numId w:val="0"/>
        </w:numPr>
        <w:kinsoku/>
        <w:wordWrap/>
        <w:overflowPunct/>
        <w:topLinePunct w:val="0"/>
        <w:bidi w:val="0"/>
        <w:snapToGrid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（4）政府采购组织形式：</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政府集中采购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部门集中采购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分散采购</w:t>
      </w:r>
    </w:p>
    <w:p w14:paraId="264568AA">
      <w:pPr>
        <w:pStyle w:val="72"/>
        <w:keepNext w:val="0"/>
        <w:keepLines w:val="0"/>
        <w:pageBreakBefore w:val="0"/>
        <w:numPr>
          <w:ilvl w:val="255"/>
          <w:numId w:val="0"/>
        </w:numPr>
        <w:kinsoku/>
        <w:wordWrap/>
        <w:overflowPunct/>
        <w:topLinePunct w:val="0"/>
        <w:bidi w:val="0"/>
        <w:snapToGrid w:val="0"/>
        <w:spacing w:line="50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（5）政府采购方式：</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公开招标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邀请招标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竞争性谈判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竞争性磋商</w:t>
      </w:r>
    </w:p>
    <w:p w14:paraId="4FCD020C">
      <w:pPr>
        <w:pStyle w:val="72"/>
        <w:keepNext w:val="0"/>
        <w:keepLines w:val="0"/>
        <w:pageBreakBefore w:val="0"/>
        <w:numPr>
          <w:ilvl w:val="255"/>
          <w:numId w:val="0"/>
        </w:numPr>
        <w:kinsoku/>
        <w:wordWrap/>
        <w:overflowPunct/>
        <w:topLinePunct w:val="0"/>
        <w:bidi w:val="0"/>
        <w:snapToGrid w:val="0"/>
        <w:spacing w:line="50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询价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单一来源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框架协议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其他：</w:t>
      </w:r>
      <w:r>
        <w:rPr>
          <w:rFonts w:hint="eastAsia" w:ascii="宋体" w:hAnsi="宋体" w:eastAsia="宋体" w:cs="宋体"/>
          <w:color w:val="auto"/>
          <w:sz w:val="24"/>
          <w:szCs w:val="24"/>
          <w:highlight w:val="none"/>
          <w:u w:val="single"/>
        </w:rPr>
        <w:t xml:space="preserve">          </w:t>
      </w:r>
    </w:p>
    <w:p w14:paraId="06D45A5C">
      <w:pPr>
        <w:keepNext w:val="0"/>
        <w:keepLines w:val="0"/>
        <w:pageBreakBefore w:val="0"/>
        <w:numPr>
          <w:ilvl w:val="255"/>
          <w:numId w:val="0"/>
        </w:numPr>
        <w:kinsoku/>
        <w:wordWrap/>
        <w:overflowPunct/>
        <w:topLinePunct w:val="0"/>
        <w:bidi w:val="0"/>
        <w:adjustRightInd w:val="0"/>
        <w:snapToGrid w:val="0"/>
        <w:spacing w:line="500" w:lineRule="exact"/>
        <w:textAlignment w:val="auto"/>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 xml:space="preserve">    （6）中标（成交）供应商是否为外商投资企业：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1B9B204A">
      <w:pPr>
        <w:pStyle w:val="72"/>
        <w:keepNext w:val="0"/>
        <w:keepLines w:val="0"/>
        <w:pageBreakBefore w:val="0"/>
        <w:tabs>
          <w:tab w:val="left" w:pos="1340"/>
        </w:tabs>
        <w:kinsoku/>
        <w:wordWrap/>
        <w:overflowPunct/>
        <w:topLinePunct w:val="0"/>
        <w:bidi w:val="0"/>
        <w:spacing w:line="500" w:lineRule="exact"/>
        <w:ind w:firstLine="48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外商投资企业类型：</w:t>
      </w:r>
      <w:r>
        <w:rPr>
          <w:rFonts w:hint="eastAsia" w:ascii="宋体" w:hAnsi="宋体" w:eastAsia="宋体" w:cs="宋体"/>
          <w:iCs/>
          <w:color w:val="auto"/>
          <w:sz w:val="24"/>
          <w:szCs w:val="24"/>
          <w:highlight w:val="none"/>
        </w:rPr>
        <w:sym w:font="Wingdings" w:char="00A8"/>
      </w:r>
      <w:r>
        <w:rPr>
          <w:rFonts w:hint="eastAsia" w:ascii="宋体" w:hAnsi="宋体" w:eastAsia="宋体" w:cs="宋体"/>
          <w:color w:val="auto"/>
          <w:sz w:val="24"/>
          <w:szCs w:val="24"/>
          <w:highlight w:val="none"/>
        </w:rPr>
        <w:t xml:space="preserve">全部由外国投资者投资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部分由外国投资者投资</w:t>
      </w:r>
    </w:p>
    <w:p w14:paraId="740AEFA7">
      <w:pPr>
        <w:keepNext w:val="0"/>
        <w:keepLines w:val="0"/>
        <w:pageBreakBefore w:val="0"/>
        <w:numPr>
          <w:ilvl w:val="255"/>
          <w:numId w:val="0"/>
        </w:numPr>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合同金额</w:t>
      </w:r>
    </w:p>
    <w:p w14:paraId="6298D7EC">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（1）合同金额小写：</w:t>
      </w:r>
      <w:r>
        <w:rPr>
          <w:rFonts w:hint="eastAsia" w:ascii="宋体" w:hAnsi="宋体" w:eastAsia="宋体" w:cs="宋体"/>
          <w:color w:val="auto"/>
          <w:sz w:val="24"/>
          <w:szCs w:val="24"/>
          <w:highlight w:val="none"/>
          <w:u w:val="single"/>
        </w:rPr>
        <w:t xml:space="preserve">                           </w:t>
      </w:r>
    </w:p>
    <w:p w14:paraId="1CA05520">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大写：</w:t>
      </w:r>
      <w:r>
        <w:rPr>
          <w:rFonts w:hint="eastAsia" w:ascii="宋体" w:hAnsi="宋体" w:eastAsia="宋体" w:cs="宋体"/>
          <w:color w:val="auto"/>
          <w:sz w:val="24"/>
          <w:szCs w:val="24"/>
          <w:highlight w:val="none"/>
          <w:u w:val="single"/>
        </w:rPr>
        <w:t xml:space="preserve">                           </w:t>
      </w:r>
    </w:p>
    <w:p w14:paraId="4DEE5EAD">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分包金额（如有）小写：</w:t>
      </w:r>
      <w:r>
        <w:rPr>
          <w:rFonts w:hint="eastAsia" w:ascii="宋体" w:hAnsi="宋体" w:eastAsia="宋体" w:cs="宋体"/>
          <w:color w:val="auto"/>
          <w:sz w:val="24"/>
          <w:szCs w:val="24"/>
          <w:highlight w:val="none"/>
          <w:u w:val="single"/>
        </w:rPr>
        <w:t xml:space="preserve">                   </w:t>
      </w:r>
    </w:p>
    <w:p w14:paraId="4CB2F993">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大写：</w:t>
      </w:r>
      <w:r>
        <w:rPr>
          <w:rFonts w:hint="eastAsia" w:ascii="宋体" w:hAnsi="宋体" w:eastAsia="宋体" w:cs="宋体"/>
          <w:color w:val="auto"/>
          <w:sz w:val="24"/>
          <w:szCs w:val="24"/>
          <w:highlight w:val="none"/>
          <w:u w:val="single"/>
        </w:rPr>
        <w:t xml:space="preserve">                       </w:t>
      </w:r>
    </w:p>
    <w:p w14:paraId="091D575E">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（注：固定单价合同应填写单价和最高限价）</w:t>
      </w:r>
    </w:p>
    <w:p w14:paraId="45AD7841">
      <w:pPr>
        <w:keepNext w:val="0"/>
        <w:keepLines w:val="0"/>
        <w:pageBreakBefore w:val="0"/>
        <w:numPr>
          <w:ilvl w:val="255"/>
          <w:numId w:val="0"/>
        </w:numPr>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（2）合同定价方式（采用组合定价方式的，可以勾选多项）：</w:t>
      </w:r>
    </w:p>
    <w:p w14:paraId="2AEB3DEA">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固定总价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固定单价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固定费率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成本补偿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绩效激励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其他</w:t>
      </w:r>
      <w:r>
        <w:rPr>
          <w:rFonts w:hint="eastAsia" w:ascii="宋体" w:hAnsi="宋体" w:eastAsia="宋体" w:cs="宋体"/>
          <w:color w:val="auto"/>
          <w:sz w:val="24"/>
          <w:szCs w:val="24"/>
          <w:highlight w:val="none"/>
          <w:u w:val="single"/>
        </w:rPr>
        <w:t xml:space="preserve">       </w:t>
      </w:r>
    </w:p>
    <w:p w14:paraId="1DB30DDB">
      <w:pPr>
        <w:pStyle w:val="73"/>
        <w:keepNext w:val="0"/>
        <w:keepLines w:val="0"/>
        <w:pageBreakBefore w:val="0"/>
        <w:kinsoku/>
        <w:wordWrap/>
        <w:overflowPunct/>
        <w:topLinePunct w:val="0"/>
        <w:bidi w:val="0"/>
        <w:spacing w:line="5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（3）付款方式（按项目实际勾选填写）：</w:t>
      </w:r>
    </w:p>
    <w:p w14:paraId="792747D9">
      <w:pPr>
        <w:keepNext w:val="0"/>
        <w:keepLines w:val="0"/>
        <w:pageBreakBefore w:val="0"/>
        <w:kinsoku/>
        <w:wordWrap/>
        <w:overflowPunct/>
        <w:topLinePunct w:val="0"/>
        <w:bidi w:val="0"/>
        <w:adjustRightInd w:val="0"/>
        <w:snapToGrid w:val="0"/>
        <w:spacing w:line="500" w:lineRule="exact"/>
        <w:ind w:firstLine="720" w:firstLineChars="3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全额付款：</w:t>
      </w:r>
      <w:r>
        <w:rPr>
          <w:rFonts w:hint="eastAsia" w:ascii="宋体" w:hAnsi="宋体" w:eastAsia="宋体" w:cs="宋体"/>
          <w:color w:val="auto"/>
          <w:sz w:val="24"/>
          <w:szCs w:val="24"/>
          <w:highlight w:val="none"/>
          <w:u w:val="single"/>
        </w:rPr>
        <w:t xml:space="preserve">     （应明确一次性支付合同款项的条件）                    </w:t>
      </w:r>
    </w:p>
    <w:p w14:paraId="72FC3FFF">
      <w:pPr>
        <w:keepNext w:val="0"/>
        <w:keepLines w:val="0"/>
        <w:pageBreakBefore w:val="0"/>
        <w:kinsoku/>
        <w:wordWrap/>
        <w:overflowPunct/>
        <w:topLinePunct w:val="0"/>
        <w:bidi w:val="0"/>
        <w:snapToGrid w:val="0"/>
        <w:spacing w:line="500" w:lineRule="exact"/>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分期付款：</w:t>
      </w:r>
      <w:r>
        <w:rPr>
          <w:rFonts w:hint="eastAsia" w:ascii="宋体" w:hAnsi="宋体" w:eastAsia="宋体" w:cs="宋体"/>
          <w:color w:val="auto"/>
          <w:sz w:val="24"/>
          <w:szCs w:val="24"/>
          <w:highlight w:val="none"/>
          <w:u w:val="single"/>
        </w:rPr>
        <w:t xml:space="preserve">  （应明确分期支付合同款项的各期比例和支付条件，各期支付条件应与分期履约验收情况挂钩） </w:t>
      </w:r>
      <w:r>
        <w:rPr>
          <w:rFonts w:hint="eastAsia" w:ascii="宋体" w:hAnsi="宋体" w:eastAsia="宋体" w:cs="宋体"/>
          <w:color w:val="auto"/>
          <w:sz w:val="24"/>
          <w:szCs w:val="24"/>
          <w:highlight w:val="none"/>
        </w:rPr>
        <w:t>，其中涉及预付款的：</w:t>
      </w:r>
      <w:r>
        <w:rPr>
          <w:rFonts w:hint="eastAsia" w:ascii="宋体" w:hAnsi="宋体" w:eastAsia="宋体" w:cs="宋体"/>
          <w:color w:val="auto"/>
          <w:sz w:val="24"/>
          <w:szCs w:val="24"/>
          <w:highlight w:val="none"/>
          <w:u w:val="single"/>
        </w:rPr>
        <w:t xml:space="preserve"> （应明确预付款的支付比例和支付条件） </w:t>
      </w:r>
    </w:p>
    <w:p w14:paraId="523016B1">
      <w:pPr>
        <w:keepNext w:val="0"/>
        <w:keepLines w:val="0"/>
        <w:pageBreakBefore w:val="0"/>
        <w:kinsoku/>
        <w:wordWrap/>
        <w:overflowPunct/>
        <w:topLinePunct w:val="0"/>
        <w:bidi w:val="0"/>
        <w:adjustRightInd w:val="0"/>
        <w:snapToGrid w:val="0"/>
        <w:spacing w:line="500" w:lineRule="exact"/>
        <w:ind w:firstLine="720" w:firstLineChars="3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成本补偿：</w:t>
      </w:r>
      <w:r>
        <w:rPr>
          <w:rFonts w:hint="eastAsia" w:ascii="宋体" w:hAnsi="宋体" w:eastAsia="宋体" w:cs="宋体"/>
          <w:color w:val="auto"/>
          <w:sz w:val="24"/>
          <w:szCs w:val="24"/>
          <w:highlight w:val="none"/>
          <w:u w:val="single"/>
        </w:rPr>
        <w:t xml:space="preserve">      （应明确按照成本补偿方式的支付方式和支付条件）   </w:t>
      </w:r>
    </w:p>
    <w:p w14:paraId="19E36449">
      <w:pPr>
        <w:keepNext w:val="0"/>
        <w:keepLines w:val="0"/>
        <w:pageBreakBefore w:val="0"/>
        <w:kinsoku/>
        <w:wordWrap/>
        <w:overflowPunct/>
        <w:topLinePunct w:val="0"/>
        <w:bidi w:val="0"/>
        <w:adjustRightInd w:val="0"/>
        <w:snapToGrid w:val="0"/>
        <w:spacing w:line="500" w:lineRule="exact"/>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绩效激励：</w:t>
      </w:r>
      <w:r>
        <w:rPr>
          <w:rFonts w:hint="eastAsia" w:ascii="宋体" w:hAnsi="宋体" w:eastAsia="宋体" w:cs="宋体"/>
          <w:color w:val="auto"/>
          <w:sz w:val="24"/>
          <w:szCs w:val="24"/>
          <w:highlight w:val="none"/>
          <w:u w:val="single"/>
        </w:rPr>
        <w:t xml:space="preserve">      （应明确按照绩效激励方式的支付方式和支付条件）   </w:t>
      </w:r>
    </w:p>
    <w:p w14:paraId="438B1225">
      <w:pPr>
        <w:keepNext w:val="0"/>
        <w:keepLines w:val="0"/>
        <w:pageBreakBefore w:val="0"/>
        <w:numPr>
          <w:ilvl w:val="0"/>
          <w:numId w:val="2"/>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合同履行</w:t>
      </w:r>
    </w:p>
    <w:p w14:paraId="4943F62C">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（1）起始日期：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日，完成日期：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F47E2EE">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（2）履约地点</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u w:val="single"/>
        </w:rPr>
        <w:t xml:space="preserve">                             </w:t>
      </w:r>
    </w:p>
    <w:p w14:paraId="13D9A259">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（3）履约担保：</w:t>
      </w:r>
      <w:r>
        <w:rPr>
          <w:rFonts w:hint="eastAsia" w:ascii="宋体" w:hAnsi="宋体" w:eastAsia="宋体" w:cs="宋体"/>
          <w:color w:val="auto"/>
          <w:sz w:val="24"/>
          <w:szCs w:val="24"/>
          <w:highlight w:val="none"/>
        </w:rPr>
        <w:t>是否收取履约保证金：</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否</w:t>
      </w:r>
    </w:p>
    <w:p w14:paraId="1F35FAAA">
      <w:pPr>
        <w:pStyle w:val="72"/>
        <w:keepNext w:val="0"/>
        <w:keepLines w:val="0"/>
        <w:pageBreakBefore w:val="0"/>
        <w:kinsoku/>
        <w:wordWrap/>
        <w:overflowPunct/>
        <w:topLinePunct w:val="0"/>
        <w:bidi w:val="0"/>
        <w:spacing w:line="5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t xml:space="preserve">  收取履约保证金形式：</w:t>
      </w:r>
      <w:r>
        <w:rPr>
          <w:rFonts w:hint="eastAsia" w:ascii="宋体" w:hAnsi="宋体" w:eastAsia="宋体" w:cs="宋体"/>
          <w:bCs/>
          <w:color w:val="auto"/>
          <w:sz w:val="24"/>
          <w:szCs w:val="24"/>
          <w:highlight w:val="none"/>
          <w:u w:val="single"/>
        </w:rPr>
        <w:t xml:space="preserve">                            </w:t>
      </w:r>
    </w:p>
    <w:p w14:paraId="74DE066C">
      <w:pPr>
        <w:pStyle w:val="72"/>
        <w:keepNext w:val="0"/>
        <w:keepLines w:val="0"/>
        <w:pageBreakBefore w:val="0"/>
        <w:kinsoku/>
        <w:wordWrap/>
        <w:overflowPunct/>
        <w:topLinePunct w:val="0"/>
        <w:bidi w:val="0"/>
        <w:spacing w:line="5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收取履约保证金金额：</w:t>
      </w:r>
      <w:r>
        <w:rPr>
          <w:rFonts w:hint="eastAsia" w:ascii="宋体" w:hAnsi="宋体" w:eastAsia="宋体" w:cs="宋体"/>
          <w:bCs/>
          <w:color w:val="auto"/>
          <w:sz w:val="24"/>
          <w:szCs w:val="24"/>
          <w:highlight w:val="none"/>
          <w:u w:val="single"/>
        </w:rPr>
        <w:t xml:space="preserve">                            </w:t>
      </w:r>
    </w:p>
    <w:p w14:paraId="04A9660F">
      <w:pPr>
        <w:keepNext w:val="0"/>
        <w:keepLines w:val="0"/>
        <w:pageBreakBefore w:val="0"/>
        <w:kinsoku/>
        <w:wordWrap/>
        <w:overflowPunct/>
        <w:topLinePunct w:val="0"/>
        <w:bidi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履约担保期限：</w:t>
      </w:r>
      <w:r>
        <w:rPr>
          <w:rFonts w:hint="eastAsia" w:ascii="宋体" w:hAnsi="宋体" w:eastAsia="宋体" w:cs="宋体"/>
          <w:bCs/>
          <w:color w:val="auto"/>
          <w:sz w:val="24"/>
          <w:szCs w:val="24"/>
          <w:highlight w:val="none"/>
          <w:u w:val="single"/>
        </w:rPr>
        <w:t xml:space="preserve">                                  </w:t>
      </w:r>
    </w:p>
    <w:p w14:paraId="71BCF4A2">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（4）分期履行要求：</w:t>
      </w:r>
      <w:r>
        <w:rPr>
          <w:rFonts w:hint="eastAsia" w:ascii="宋体" w:hAnsi="宋体" w:eastAsia="宋体" w:cs="宋体"/>
          <w:bCs/>
          <w:color w:val="auto"/>
          <w:sz w:val="24"/>
          <w:szCs w:val="24"/>
          <w:highlight w:val="none"/>
          <w:u w:val="single"/>
        </w:rPr>
        <w:t xml:space="preserve">                                                        </w:t>
      </w:r>
    </w:p>
    <w:p w14:paraId="7901EAFA">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（5）风险处置措施和替代方案：</w:t>
      </w:r>
      <w:r>
        <w:rPr>
          <w:rFonts w:hint="eastAsia" w:ascii="宋体" w:hAnsi="宋体" w:eastAsia="宋体" w:cs="宋体"/>
          <w:color w:val="auto"/>
          <w:sz w:val="24"/>
          <w:szCs w:val="24"/>
          <w:highlight w:val="none"/>
          <w:u w:val="single"/>
        </w:rPr>
        <w:t xml:space="preserve">                                                               </w:t>
      </w:r>
    </w:p>
    <w:p w14:paraId="59A06A09">
      <w:pPr>
        <w:keepNext w:val="0"/>
        <w:keepLines w:val="0"/>
        <w:pageBreakBefore w:val="0"/>
        <w:numPr>
          <w:ilvl w:val="0"/>
          <w:numId w:val="2"/>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合同验收</w:t>
      </w:r>
    </w:p>
    <w:p w14:paraId="7A10C6CA">
      <w:pPr>
        <w:keepNext w:val="0"/>
        <w:keepLines w:val="0"/>
        <w:pageBreakBefore w:val="0"/>
        <w:numPr>
          <w:ilvl w:val="0"/>
          <w:numId w:val="4"/>
        </w:numPr>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验收组织方式：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自行组织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委托第三方组织</w:t>
      </w:r>
    </w:p>
    <w:p w14:paraId="70A72652">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验收主体：</w:t>
      </w:r>
      <w:r>
        <w:rPr>
          <w:rFonts w:hint="eastAsia" w:ascii="宋体" w:hAnsi="宋体" w:eastAsia="宋体" w:cs="宋体"/>
          <w:bCs/>
          <w:color w:val="auto"/>
          <w:sz w:val="24"/>
          <w:szCs w:val="24"/>
          <w:highlight w:val="none"/>
          <w:u w:val="single"/>
        </w:rPr>
        <w:t xml:space="preserve">                  </w:t>
      </w:r>
    </w:p>
    <w:p w14:paraId="57760A34">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是否邀请本项目的其他供应商参加验收：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667254D0">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是否邀请专家参加验收：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4B2CAD4B">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是否邀请服务对象参加验收：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0C00E825">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是否邀请第三方检测机构参加验收：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19D69B60">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是否进行抽查检测：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是，抽查比例：</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591373BC">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是否存在破坏性检测：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w:t>
      </w:r>
      <w:r>
        <w:rPr>
          <w:rFonts w:hint="eastAsia" w:ascii="宋体" w:hAnsi="宋体" w:eastAsia="宋体" w:cs="宋体"/>
          <w:bCs/>
          <w:color w:val="auto"/>
          <w:sz w:val="24"/>
          <w:szCs w:val="24"/>
          <w:highlight w:val="none"/>
          <w:u w:val="single"/>
        </w:rPr>
        <w:t>（应明确对被破坏的检测产品的处理方式）</w:t>
      </w:r>
    </w:p>
    <w:p w14:paraId="5A4BE689">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2CD7FD8C">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验收组织的其他事项：</w:t>
      </w:r>
      <w:r>
        <w:rPr>
          <w:rFonts w:hint="eastAsia" w:ascii="宋体" w:hAnsi="宋体" w:eastAsia="宋体" w:cs="宋体"/>
          <w:bCs/>
          <w:color w:val="auto"/>
          <w:sz w:val="24"/>
          <w:szCs w:val="24"/>
          <w:highlight w:val="none"/>
          <w:u w:val="single"/>
        </w:rPr>
        <w:t xml:space="preserve">                </w:t>
      </w:r>
    </w:p>
    <w:p w14:paraId="7526AD49">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（2）履约验收时间：</w:t>
      </w:r>
      <w:r>
        <w:rPr>
          <w:rFonts w:hint="eastAsia" w:ascii="宋体" w:hAnsi="宋体" w:eastAsia="宋体" w:cs="宋体"/>
          <w:bCs/>
          <w:color w:val="auto"/>
          <w:sz w:val="24"/>
          <w:szCs w:val="24"/>
          <w:highlight w:val="none"/>
          <w:u w:val="single"/>
        </w:rPr>
        <w:t xml:space="preserve">（计划于何时验收/供应商提出验收申请之日起   日内组织验收） </w:t>
      </w:r>
    </w:p>
    <w:p w14:paraId="67D2CA0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（3）履约验收方式：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一次性验收         </w:t>
      </w:r>
    </w:p>
    <w:p w14:paraId="1C9D0F70">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分期/分项验收：</w:t>
      </w:r>
      <w:r>
        <w:rPr>
          <w:rFonts w:hint="eastAsia" w:ascii="宋体" w:hAnsi="宋体" w:eastAsia="宋体" w:cs="宋体"/>
          <w:bCs/>
          <w:color w:val="auto"/>
          <w:sz w:val="24"/>
          <w:szCs w:val="24"/>
          <w:highlight w:val="none"/>
          <w:u w:val="single"/>
        </w:rPr>
        <w:t xml:space="preserve"> （应明确分期/分项验收的工作安排）  </w:t>
      </w:r>
    </w:p>
    <w:p w14:paraId="50660B8F">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（4）履约验收程序：</w:t>
      </w:r>
      <w:r>
        <w:rPr>
          <w:rFonts w:hint="eastAsia" w:ascii="宋体" w:hAnsi="宋体" w:eastAsia="宋体" w:cs="宋体"/>
          <w:bCs/>
          <w:color w:val="auto"/>
          <w:sz w:val="24"/>
          <w:szCs w:val="24"/>
          <w:highlight w:val="none"/>
          <w:u w:val="single"/>
        </w:rPr>
        <w:t xml:space="preserve">                                         </w:t>
      </w:r>
    </w:p>
    <w:p w14:paraId="75D65EEA">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（5）履约验收的内容：</w:t>
      </w:r>
      <w:r>
        <w:rPr>
          <w:rFonts w:hint="eastAsia" w:ascii="宋体" w:hAnsi="宋体" w:eastAsia="宋体" w:cs="宋体"/>
          <w:bCs/>
          <w:color w:val="auto"/>
          <w:sz w:val="24"/>
          <w:szCs w:val="24"/>
          <w:highlight w:val="none"/>
          <w:u w:val="single"/>
        </w:rPr>
        <w:t xml:space="preserve"> （应当包括每一项技术和商务要求的履约情况，特别是落实政府采购扶持中小企业，支持绿色发展和乡村振兴等政策情况）                                      </w:t>
      </w:r>
    </w:p>
    <w:p w14:paraId="3C041B6A">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（6）履约验收标准：</w:t>
      </w:r>
      <w:r>
        <w:rPr>
          <w:rFonts w:hint="eastAsia" w:ascii="宋体" w:hAnsi="宋体" w:eastAsia="宋体" w:cs="宋体"/>
          <w:bCs/>
          <w:color w:val="auto"/>
          <w:sz w:val="24"/>
          <w:szCs w:val="24"/>
          <w:highlight w:val="none"/>
          <w:u w:val="single"/>
        </w:rPr>
        <w:t xml:space="preserve">                                         </w:t>
      </w:r>
    </w:p>
    <w:p w14:paraId="049C7446">
      <w:pPr>
        <w:pStyle w:val="72"/>
        <w:keepNext w:val="0"/>
        <w:keepLines w:val="0"/>
        <w:pageBreakBefore w:val="0"/>
        <w:kinsoku/>
        <w:wordWrap/>
        <w:overflowPunct/>
        <w:topLinePunct w:val="0"/>
        <w:bidi w:val="0"/>
        <w:spacing w:line="5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（7）是否以采购活动中供应商提供的样品作为参考：</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01254ED7">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（8）履约验收其他事项：</w:t>
      </w:r>
      <w:r>
        <w:rPr>
          <w:rFonts w:hint="eastAsia" w:ascii="宋体" w:hAnsi="宋体" w:eastAsia="宋体" w:cs="宋体"/>
          <w:bCs/>
          <w:color w:val="auto"/>
          <w:sz w:val="24"/>
          <w:szCs w:val="24"/>
          <w:highlight w:val="none"/>
          <w:u w:val="single"/>
        </w:rPr>
        <w:t xml:space="preserve">      （产权过户登记等）          </w:t>
      </w:r>
    </w:p>
    <w:p w14:paraId="0F4E446F">
      <w:pPr>
        <w:keepNext w:val="0"/>
        <w:keepLines w:val="0"/>
        <w:pageBreakBefore w:val="0"/>
        <w:numPr>
          <w:ilvl w:val="0"/>
          <w:numId w:val="2"/>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组成合同的文件</w:t>
      </w:r>
    </w:p>
    <w:p w14:paraId="48A3FDE3">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本协议书与下列文件一起构成合同文件，如下述文件之间有任何抵触、矛盾或歧义，应按以下顺序解释：</w:t>
      </w:r>
    </w:p>
    <w:p w14:paraId="564FCF3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（1）政府采购合同协议书及其变更、补充协议</w:t>
      </w:r>
    </w:p>
    <w:p w14:paraId="4ECD0F67">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（2）政府采购合同专用条款</w:t>
      </w:r>
    </w:p>
    <w:p w14:paraId="2BD4B28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（3）政府采购合同通用条款</w:t>
      </w:r>
    </w:p>
    <w:p w14:paraId="19D15277">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（4）中标（成交）通知书</w:t>
      </w:r>
    </w:p>
    <w:p w14:paraId="0E5550E9">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（5）投标（响应）文件</w:t>
      </w:r>
    </w:p>
    <w:p w14:paraId="7A0DBE87">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（6）采购文件</w:t>
      </w:r>
    </w:p>
    <w:p w14:paraId="7C53309C">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（7）有关技术文件，图纸</w:t>
      </w:r>
    </w:p>
    <w:p w14:paraId="1E7CBC59">
      <w:pPr>
        <w:pStyle w:val="72"/>
        <w:keepNext w:val="0"/>
        <w:keepLines w:val="0"/>
        <w:pageBreakBefore w:val="0"/>
        <w:kinsoku/>
        <w:wordWrap/>
        <w:overflowPunct/>
        <w:topLinePunct w:val="0"/>
        <w:bidi w:val="0"/>
        <w:spacing w:line="500" w:lineRule="exact"/>
        <w:ind w:firstLine="48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kern w:val="2"/>
          <w:sz w:val="24"/>
          <w:szCs w:val="24"/>
          <w:highlight w:val="none"/>
        </w:rPr>
        <w:t>国家法律、行政法规和规章制度规定或合同约定的作为合同组成部分的其他文件</w:t>
      </w:r>
    </w:p>
    <w:p w14:paraId="3252568F">
      <w:pPr>
        <w:keepNext w:val="0"/>
        <w:keepLines w:val="0"/>
        <w:pageBreakBefore w:val="0"/>
        <w:numPr>
          <w:ilvl w:val="0"/>
          <w:numId w:val="2"/>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合同生效</w:t>
      </w:r>
    </w:p>
    <w:p w14:paraId="1BCF769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生效。</w:t>
      </w:r>
    </w:p>
    <w:p w14:paraId="0104E250">
      <w:pPr>
        <w:keepNext w:val="0"/>
        <w:keepLines w:val="0"/>
        <w:pageBreakBefore w:val="0"/>
        <w:numPr>
          <w:ilvl w:val="0"/>
          <w:numId w:val="2"/>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合同份数</w:t>
      </w:r>
    </w:p>
    <w:p w14:paraId="336AC2AC">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份，甲方执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份，乙方执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份，均具有同等法律效力。</w:t>
      </w:r>
    </w:p>
    <w:p w14:paraId="21BB0F63">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合同订立时间：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日合同订立地点：</w:t>
      </w:r>
      <w:r>
        <w:rPr>
          <w:rFonts w:hint="eastAsia" w:ascii="宋体" w:hAnsi="宋体" w:eastAsia="宋体" w:cs="宋体"/>
          <w:color w:val="auto"/>
          <w:sz w:val="24"/>
          <w:szCs w:val="24"/>
          <w:highlight w:val="none"/>
          <w:u w:val="single"/>
        </w:rPr>
        <w:t>滁州市第一人民医院</w:t>
      </w:r>
    </w:p>
    <w:tbl>
      <w:tblPr>
        <w:tblStyle w:val="26"/>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2"/>
        <w:gridCol w:w="1979"/>
        <w:gridCol w:w="2117"/>
      </w:tblGrid>
      <w:tr w14:paraId="7F8157D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204A1236">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甲方（采购人、受采购人委托签订合同的单位或采购文件约定的合同甲方）</w:t>
            </w:r>
          </w:p>
        </w:tc>
        <w:tc>
          <w:tcPr>
            <w:tcW w:w="2438" w:type="pct"/>
            <w:gridSpan w:val="2"/>
            <w:tcBorders>
              <w:left w:val="single" w:color="auto" w:sz="2" w:space="0"/>
              <w:bottom w:val="single" w:color="auto" w:sz="2" w:space="0"/>
            </w:tcBorders>
            <w:vAlign w:val="center"/>
          </w:tcPr>
          <w:p w14:paraId="54A95727">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乙方（供应商）</w:t>
            </w:r>
          </w:p>
        </w:tc>
      </w:tr>
      <w:tr w14:paraId="1062102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201374AD">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256FD2B6">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DF35CFE">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单位名称（公章或合同章）</w:t>
            </w:r>
          </w:p>
        </w:tc>
        <w:tc>
          <w:tcPr>
            <w:tcW w:w="1260" w:type="pct"/>
            <w:tcBorders>
              <w:top w:val="single" w:color="auto" w:sz="2" w:space="0"/>
              <w:left w:val="single" w:color="auto" w:sz="2" w:space="0"/>
              <w:bottom w:val="single" w:color="auto" w:sz="2" w:space="0"/>
            </w:tcBorders>
            <w:vAlign w:val="center"/>
          </w:tcPr>
          <w:p w14:paraId="0C43640D">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1BA05B1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1D12824F">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6A1DD7E1">
            <w:pPr>
              <w:adjustRightInd w:val="0"/>
              <w:snapToGrid w:val="0"/>
              <w:spacing w:line="360" w:lineRule="auto"/>
              <w:ind w:firstLine="115" w:firstLineChars="4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15EFC202">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right w:val="single" w:color="auto" w:sz="2" w:space="0"/>
            </w:tcBorders>
            <w:vAlign w:val="center"/>
          </w:tcPr>
          <w:p w14:paraId="29F29674">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5A829DCE">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1260" w:type="pct"/>
            <w:tcBorders>
              <w:top w:val="single" w:color="auto" w:sz="2" w:space="0"/>
              <w:left w:val="single" w:color="auto" w:sz="2" w:space="0"/>
              <w:bottom w:val="single" w:color="auto" w:sz="2" w:space="0"/>
            </w:tcBorders>
            <w:vAlign w:val="center"/>
          </w:tcPr>
          <w:p w14:paraId="5FECD47B">
            <w:pPr>
              <w:adjustRightInd w:val="0"/>
              <w:snapToGrid w:val="0"/>
              <w:spacing w:line="360" w:lineRule="auto"/>
              <w:jc w:val="center"/>
              <w:rPr>
                <w:rFonts w:hint="eastAsia" w:ascii="宋体" w:hAnsi="宋体" w:eastAsia="宋体" w:cs="宋体"/>
                <w:color w:val="auto"/>
                <w:sz w:val="24"/>
                <w:szCs w:val="24"/>
                <w:highlight w:val="none"/>
              </w:rPr>
            </w:pPr>
          </w:p>
        </w:tc>
      </w:tr>
      <w:tr w14:paraId="7DCE52F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71D22942">
            <w:pPr>
              <w:adjustRightInd w:val="0"/>
              <w:snapToGrid w:val="0"/>
              <w:spacing w:line="360" w:lineRule="auto"/>
              <w:jc w:val="center"/>
              <w:rPr>
                <w:rFonts w:hint="eastAsia" w:ascii="宋体" w:hAnsi="宋体" w:eastAsia="宋体" w:cs="宋体"/>
                <w:color w:val="auto"/>
                <w:sz w:val="24"/>
                <w:szCs w:val="24"/>
                <w:highlight w:val="none"/>
              </w:rPr>
            </w:pPr>
          </w:p>
        </w:tc>
        <w:tc>
          <w:tcPr>
            <w:tcW w:w="1436" w:type="pct"/>
            <w:vMerge w:val="continue"/>
            <w:tcBorders>
              <w:left w:val="single" w:color="auto" w:sz="2" w:space="0"/>
              <w:bottom w:val="single" w:color="auto" w:sz="2" w:space="0"/>
              <w:right w:val="single" w:color="auto" w:sz="2" w:space="0"/>
            </w:tcBorders>
            <w:vAlign w:val="center"/>
          </w:tcPr>
          <w:p w14:paraId="2685CEE0">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65E31A0">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拥有者性别</w:t>
            </w:r>
          </w:p>
        </w:tc>
        <w:tc>
          <w:tcPr>
            <w:tcW w:w="1260" w:type="pct"/>
            <w:tcBorders>
              <w:top w:val="single" w:color="auto" w:sz="2" w:space="0"/>
              <w:left w:val="single" w:color="auto" w:sz="2" w:space="0"/>
              <w:bottom w:val="single" w:color="auto" w:sz="2" w:space="0"/>
            </w:tcBorders>
            <w:vAlign w:val="center"/>
          </w:tcPr>
          <w:p w14:paraId="16A2C78E">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193A900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F510F3D">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13C284C9">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86CBC9B">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  所</w:t>
            </w:r>
          </w:p>
        </w:tc>
        <w:tc>
          <w:tcPr>
            <w:tcW w:w="1260" w:type="pct"/>
            <w:tcBorders>
              <w:top w:val="single" w:color="auto" w:sz="2" w:space="0"/>
              <w:left w:val="single" w:color="auto" w:sz="2" w:space="0"/>
              <w:bottom w:val="single" w:color="auto" w:sz="2" w:space="0"/>
            </w:tcBorders>
            <w:vAlign w:val="center"/>
          </w:tcPr>
          <w:p w14:paraId="6E8C58E1">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252C344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6B3F963">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7173488B">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EB2E6D1">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1260" w:type="pct"/>
            <w:tcBorders>
              <w:top w:val="single" w:color="auto" w:sz="2" w:space="0"/>
              <w:left w:val="single" w:color="auto" w:sz="2" w:space="0"/>
              <w:bottom w:val="single" w:color="auto" w:sz="2" w:space="0"/>
            </w:tcBorders>
            <w:vAlign w:val="center"/>
          </w:tcPr>
          <w:p w14:paraId="604DD689">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54B3EAA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BDED1A7">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1E1DB42F">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496319C">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260" w:type="pct"/>
            <w:tcBorders>
              <w:top w:val="single" w:color="auto" w:sz="2" w:space="0"/>
              <w:left w:val="single" w:color="auto" w:sz="2" w:space="0"/>
              <w:bottom w:val="single" w:color="auto" w:sz="2" w:space="0"/>
            </w:tcBorders>
            <w:vAlign w:val="center"/>
          </w:tcPr>
          <w:p w14:paraId="40FA12E6">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521F8E6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53EE8FC">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97CC1DF">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22655F0">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p>
        </w:tc>
        <w:tc>
          <w:tcPr>
            <w:tcW w:w="1260" w:type="pct"/>
            <w:tcBorders>
              <w:top w:val="single" w:color="auto" w:sz="2" w:space="0"/>
              <w:left w:val="single" w:color="auto" w:sz="2" w:space="0"/>
              <w:bottom w:val="single" w:color="auto" w:sz="2" w:space="0"/>
            </w:tcBorders>
            <w:vAlign w:val="center"/>
          </w:tcPr>
          <w:p w14:paraId="03BBAE6F">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078EF36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FA7A49F">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7D632400">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F6915B3">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260" w:type="pct"/>
            <w:tcBorders>
              <w:top w:val="single" w:color="auto" w:sz="2" w:space="0"/>
              <w:left w:val="single" w:color="auto" w:sz="2" w:space="0"/>
              <w:bottom w:val="single" w:color="auto" w:sz="2" w:space="0"/>
            </w:tcBorders>
            <w:vAlign w:val="center"/>
          </w:tcPr>
          <w:p w14:paraId="5D725E0D">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6119247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21BEE91">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49BDCBC">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A6FEAA4">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260" w:type="pct"/>
            <w:tcBorders>
              <w:top w:val="single" w:color="auto" w:sz="2" w:space="0"/>
              <w:left w:val="single" w:color="auto" w:sz="2" w:space="0"/>
              <w:bottom w:val="single" w:color="auto" w:sz="2" w:space="0"/>
            </w:tcBorders>
            <w:vAlign w:val="center"/>
          </w:tcPr>
          <w:p w14:paraId="32898752">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5C04D0C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C97B9C0">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03BDC528">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241512C">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260" w:type="pct"/>
            <w:tcBorders>
              <w:top w:val="single" w:color="auto" w:sz="2" w:space="0"/>
              <w:left w:val="single" w:color="auto" w:sz="2" w:space="0"/>
              <w:bottom w:val="single" w:color="auto" w:sz="2" w:space="0"/>
            </w:tcBorders>
            <w:vAlign w:val="center"/>
          </w:tcPr>
          <w:p w14:paraId="3ED3BCF5">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0A8AF5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FCA50F6">
            <w:pPr>
              <w:adjustRightInd w:val="0"/>
              <w:snapToGrid w:val="0"/>
              <w:spacing w:line="360" w:lineRule="auto"/>
              <w:jc w:val="center"/>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F90D212">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1D7DB2D">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开户名称</w:t>
            </w:r>
          </w:p>
        </w:tc>
        <w:tc>
          <w:tcPr>
            <w:tcW w:w="1260" w:type="pct"/>
            <w:tcBorders>
              <w:top w:val="single" w:color="auto" w:sz="2" w:space="0"/>
              <w:left w:val="single" w:color="auto" w:sz="2" w:space="0"/>
              <w:bottom w:val="single" w:color="auto" w:sz="2" w:space="0"/>
            </w:tcBorders>
            <w:vAlign w:val="center"/>
          </w:tcPr>
          <w:p w14:paraId="510010A2">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0C1A33B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FE7577A">
            <w:pPr>
              <w:adjustRightInd w:val="0"/>
              <w:snapToGrid w:val="0"/>
              <w:spacing w:line="360" w:lineRule="auto"/>
              <w:jc w:val="center"/>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3913AACD">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28C5F40">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1260" w:type="pct"/>
            <w:tcBorders>
              <w:top w:val="single" w:color="auto" w:sz="2" w:space="0"/>
              <w:left w:val="single" w:color="auto" w:sz="2" w:space="0"/>
              <w:bottom w:val="single" w:color="auto" w:sz="2" w:space="0"/>
            </w:tcBorders>
            <w:vAlign w:val="center"/>
          </w:tcPr>
          <w:p w14:paraId="1E2EFFDB">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646866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43F1EC4">
            <w:pPr>
              <w:adjustRightInd w:val="0"/>
              <w:snapToGrid w:val="0"/>
              <w:spacing w:line="360" w:lineRule="auto"/>
              <w:jc w:val="center"/>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648C27E2">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FE2EB68">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w:t>
            </w:r>
          </w:p>
        </w:tc>
        <w:tc>
          <w:tcPr>
            <w:tcW w:w="1260" w:type="pct"/>
            <w:tcBorders>
              <w:top w:val="single" w:color="auto" w:sz="2" w:space="0"/>
              <w:left w:val="single" w:color="auto" w:sz="2" w:space="0"/>
              <w:bottom w:val="single" w:color="auto" w:sz="2" w:space="0"/>
            </w:tcBorders>
            <w:vAlign w:val="center"/>
          </w:tcPr>
          <w:p w14:paraId="6F6DDA9B">
            <w:pPr>
              <w:adjustRightInd w:val="0"/>
              <w:snapToGrid w:val="0"/>
              <w:spacing w:line="360" w:lineRule="auto"/>
              <w:jc w:val="center"/>
              <w:rPr>
                <w:rFonts w:hint="eastAsia" w:ascii="宋体" w:hAnsi="宋体" w:eastAsia="宋体" w:cs="宋体"/>
                <w:color w:val="auto"/>
                <w:spacing w:val="20"/>
                <w:sz w:val="24"/>
                <w:szCs w:val="24"/>
                <w:highlight w:val="none"/>
              </w:rPr>
            </w:pPr>
          </w:p>
        </w:tc>
      </w:tr>
    </w:tbl>
    <w:p w14:paraId="143D392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0BC6E6EA">
      <w:pPr>
        <w:pStyle w:val="3"/>
        <w:adjustRightInd w:val="0"/>
        <w:snapToGrid w:val="0"/>
        <w:spacing w:before="156" w:beforeLines="50" w:line="360" w:lineRule="auto"/>
        <w:jc w:val="center"/>
        <w:rPr>
          <w:rFonts w:hint="eastAsia" w:ascii="宋体" w:hAnsi="宋体" w:eastAsia="宋体" w:cs="宋体"/>
          <w:color w:val="auto"/>
          <w:sz w:val="24"/>
          <w:szCs w:val="24"/>
          <w:highlight w:val="none"/>
        </w:rPr>
      </w:pPr>
      <w:bookmarkStart w:id="60" w:name="_Toc27624"/>
      <w:r>
        <w:rPr>
          <w:rFonts w:hint="eastAsia" w:ascii="宋体" w:hAnsi="宋体" w:eastAsia="宋体" w:cs="@仿宋_GB2312"/>
          <w:bCs w:val="0"/>
          <w:color w:val="auto"/>
          <w:sz w:val="24"/>
          <w:szCs w:val="20"/>
          <w:highlight w:val="none"/>
        </w:rPr>
        <w:t>第二节 政府采购合同通用条款</w:t>
      </w:r>
      <w:bookmarkEnd w:id="60"/>
    </w:p>
    <w:p w14:paraId="68954CA3">
      <w:pPr>
        <w:tabs>
          <w:tab w:val="left" w:pos="8820"/>
          <w:tab w:val="left" w:pos="9345"/>
          <w:tab w:val="left" w:pos="9765"/>
        </w:tabs>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 xml:space="preserve">1. </w:t>
      </w:r>
      <w:r>
        <w:rPr>
          <w:rFonts w:hint="eastAsia" w:ascii="宋体" w:hAnsi="宋体" w:eastAsia="宋体" w:cs="宋体"/>
          <w:b/>
          <w:bCs/>
          <w:color w:val="auto"/>
          <w:sz w:val="24"/>
          <w:szCs w:val="24"/>
          <w:highlight w:val="none"/>
        </w:rPr>
        <w:t>定义</w:t>
      </w:r>
    </w:p>
    <w:p w14:paraId="42A9FACE">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1.1合同当事人</w:t>
      </w:r>
    </w:p>
    <w:p w14:paraId="0E0798C4">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（1）采购人（以下称甲方）是指使用财政性资金，通过政府采购方式向供应商购买货物及其相关服务的国家机关、事业单位、团体组织。</w:t>
      </w:r>
    </w:p>
    <w:p w14:paraId="547C4835">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（2）供应商（以下称乙方）是指参加政府采购活动并且中标（成交），向采购人提供合同约定的货物及其相关服务的法人、非法人组织或者自然人。</w:t>
      </w:r>
    </w:p>
    <w:p w14:paraId="3EEAEB2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auto"/>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554BFF19">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5F864A4E">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auto"/>
          <w:sz w:val="24"/>
          <w:szCs w:val="24"/>
          <w:highlight w:val="none"/>
        </w:rPr>
        <w:t>合同当事人意思表示达成一致的任何协议，包括签署的</w:t>
      </w:r>
      <w:r>
        <w:rPr>
          <w:rFonts w:hint="eastAsia" w:ascii="宋体" w:hAnsi="宋体" w:eastAsia="宋体" w:cs="宋体"/>
          <w:color w:val="auto"/>
          <w:sz w:val="24"/>
          <w:szCs w:val="24"/>
          <w:highlight w:val="none"/>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3DDD8593">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（2）“合同价款”系指根据本合同规定乙方在全面履行合同义务后甲方应支付给乙方的价款。</w:t>
      </w:r>
    </w:p>
    <w:p w14:paraId="765A402D">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（3）“货物”系指乙方根据本合同规定须向甲方提供的各种形态和种类的物品，包括原材料、设备、产品（包括软件）及相关的其备品备件、工具、手册及其他技术资料和材料等。</w:t>
      </w:r>
    </w:p>
    <w:p w14:paraId="7F5CEE23">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2B28B538">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（5）“分包”系指中标（成交）供应商按采购文件、投标（响应）文件的规定，根据分包意向协议，将中标（成交）项目中的部分履约内容，分给具有相应资质条件的供应商履行合同的行为。</w:t>
      </w:r>
    </w:p>
    <w:p w14:paraId="53BCEC9A">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11CD9FD2">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（7）其他术语解释，见【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187906E5">
      <w:pPr>
        <w:numPr>
          <w:ilvl w:val="0"/>
          <w:numId w:val="5"/>
        </w:num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合同标的及金额</w:t>
      </w:r>
    </w:p>
    <w:p w14:paraId="760A3D3B">
      <w:pPr>
        <w:autoSpaceDE w:val="0"/>
        <w:autoSpaceDN w:val="0"/>
        <w:adjustRightInd w:val="0"/>
        <w:snapToGrid w:val="0"/>
        <w:spacing w:line="360" w:lineRule="auto"/>
        <w:ind w:firstLine="480" w:firstLineChars="200"/>
        <w:jc w:val="left"/>
        <w:rPr>
          <w:rFonts w:hint="eastAsia" w:ascii="宋体" w:hAnsi="宋体" w:eastAsia="宋体" w:cs="宋体"/>
          <w:b/>
          <w:bCs/>
          <w:i/>
          <w:iCs/>
          <w:color w:val="auto"/>
          <w:sz w:val="24"/>
          <w:szCs w:val="24"/>
          <w:highlight w:val="none"/>
        </w:rPr>
      </w:pPr>
      <w:r>
        <w:rPr>
          <w:rFonts w:hint="eastAsia" w:ascii="宋体" w:hAnsi="宋体" w:eastAsia="宋体" w:cs="宋体"/>
          <w:color w:val="auto"/>
          <w:sz w:val="24"/>
          <w:szCs w:val="24"/>
          <w:highlight w:val="none"/>
        </w:rPr>
        <w:t>2.1 合同标的及金额应与中标（成交）结果一致。乙方为履行本合同而发生的所有费用均应包含在合同价款中，甲方不再另行支付其他任何费用。</w:t>
      </w:r>
    </w:p>
    <w:p w14:paraId="01DBE990">
      <w:pPr>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 履行合同的时间、地点和方式</w:t>
      </w:r>
    </w:p>
    <w:p w14:paraId="6C9BE6CB">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乙方应当在约定的时间、地点，按照约定方式履行合同。</w:t>
      </w:r>
    </w:p>
    <w:p w14:paraId="33F1DD67">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 甲方的权利和义务</w:t>
      </w:r>
    </w:p>
    <w:p w14:paraId="60C7994C">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6450F37D">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甲方有权要求乙方按时提交各阶段有关安排计划，并有权定期核对乙方提供货物数量、规格、质量等内容。甲方有权督促乙方工作并要求乙方更换不符合要求的货物。</w:t>
      </w:r>
    </w:p>
    <w:p w14:paraId="1099FE6B">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甲方有权要求乙方对缺陷部分予以修复，并按合同约定享有货物保修及其他合同约定的权利。</w:t>
      </w:r>
    </w:p>
    <w:p w14:paraId="7EC219F2">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 甲方应当按照合同约定及时对交付的货物进行验收，未在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约定的期限内对乙方履约提出任何异议或者向乙方作出任何说明的，视为验收通过。</w:t>
      </w:r>
    </w:p>
    <w:p w14:paraId="776A5943">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 甲方应当根据合同约定及时向乙方支付合同价款，不得以内部人员变更、履行内部付款流程等为由，拒绝或迟延支付。</w:t>
      </w:r>
    </w:p>
    <w:p w14:paraId="45EF6563">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 国家法律法规规定及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约定应由甲方承担的其他义务和责任。</w:t>
      </w:r>
    </w:p>
    <w:p w14:paraId="0C115F29">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 乙方的权利和义务</w:t>
      </w:r>
    </w:p>
    <w:p w14:paraId="117C535B">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签署合同后，乙方应确定项目负责人（或项目联系人），负责与本合同有关的事务。</w:t>
      </w:r>
    </w:p>
    <w:p w14:paraId="69968B05">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4F602B29">
      <w:pPr>
        <w:pStyle w:val="9"/>
        <w:spacing w:after="0" w:line="360" w:lineRule="auto"/>
        <w:ind w:firstLine="422" w:firstLineChars="176"/>
        <w:rPr>
          <w:rFonts w:hint="eastAsia" w:ascii="宋体" w:hAnsi="宋体" w:eastAsia="宋体" w:cs="宋体"/>
          <w:color w:val="auto"/>
          <w:sz w:val="24"/>
          <w:highlight w:val="none"/>
        </w:rPr>
      </w:pPr>
      <w:r>
        <w:rPr>
          <w:rFonts w:hint="eastAsia" w:ascii="宋体" w:hAnsi="宋体" w:eastAsia="宋体" w:cs="宋体"/>
          <w:color w:val="auto"/>
          <w:sz w:val="24"/>
          <w:highlight w:val="none"/>
        </w:rPr>
        <w:t>5.3乙方有权根据合同约定向甲方收取合同价款。</w:t>
      </w:r>
    </w:p>
    <w:p w14:paraId="3764B6C3">
      <w:pPr>
        <w:pStyle w:val="9"/>
        <w:spacing w:after="0" w:line="360" w:lineRule="auto"/>
        <w:ind w:firstLine="422" w:firstLineChars="176"/>
        <w:rPr>
          <w:rFonts w:hint="eastAsia" w:ascii="宋体" w:hAnsi="宋体" w:eastAsia="宋体" w:cs="宋体"/>
          <w:color w:val="auto"/>
          <w:sz w:val="24"/>
          <w:highlight w:val="none"/>
        </w:rPr>
      </w:pPr>
      <w:r>
        <w:rPr>
          <w:rFonts w:hint="eastAsia" w:ascii="宋体" w:hAnsi="宋体" w:eastAsia="宋体" w:cs="宋体"/>
          <w:color w:val="auto"/>
          <w:sz w:val="24"/>
          <w:highlight w:val="none"/>
        </w:rPr>
        <w:t>5.4国家法律法规规定及</w:t>
      </w:r>
      <w:r>
        <w:rPr>
          <w:rFonts w:hint="eastAsia" w:ascii="宋体" w:hAnsi="宋体" w:eastAsia="宋体" w:cs="宋体"/>
          <w:b/>
          <w:bCs/>
          <w:color w:val="auto"/>
          <w:sz w:val="24"/>
          <w:highlight w:val="none"/>
        </w:rPr>
        <w:t>【政府采购合同专用条款】</w:t>
      </w:r>
      <w:r>
        <w:rPr>
          <w:rFonts w:hint="eastAsia" w:ascii="宋体" w:hAnsi="宋体" w:eastAsia="宋体" w:cs="宋体"/>
          <w:color w:val="auto"/>
          <w:sz w:val="24"/>
          <w:highlight w:val="none"/>
        </w:rPr>
        <w:t>约定应由乙方承担的其他义务和责任。</w:t>
      </w:r>
    </w:p>
    <w:p w14:paraId="2DC41BC6">
      <w:pPr>
        <w:numPr>
          <w:ilvl w:val="0"/>
          <w:numId w:val="6"/>
        </w:num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合同履行</w:t>
      </w:r>
    </w:p>
    <w:p w14:paraId="576A58F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 甲乙双方应当按照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约定顺序履行合同义务；如果没有先后顺序的，应当同时履行。</w:t>
      </w:r>
    </w:p>
    <w:p w14:paraId="25E3D3FF">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 甲乙双方按照合同约定顺序履行合同义务时，应当先履行一方未履行的，后履行一方有权拒绝其履行请求。先履行一方履行不符合约定的，后履行一方有权拒绝其相应的履行请求。</w:t>
      </w:r>
    </w:p>
    <w:p w14:paraId="3048B66E">
      <w:pPr>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 货物包装、运输、保险和交付要求</w:t>
      </w:r>
    </w:p>
    <w:p w14:paraId="708B56CD">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本合同</w:t>
      </w:r>
      <w:r>
        <w:rPr>
          <w:rFonts w:hint="eastAsia" w:ascii="宋体" w:hAnsi="宋体" w:eastAsia="宋体" w:cs="宋体"/>
          <w:bCs/>
          <w:color w:val="auto"/>
          <w:sz w:val="24"/>
          <w:szCs w:val="24"/>
          <w:highlight w:val="none"/>
        </w:rPr>
        <w:t>涉及商品包装、快递包装的，</w:t>
      </w:r>
      <w:r>
        <w:rPr>
          <w:rFonts w:hint="eastAsia" w:ascii="宋体" w:hAnsi="宋体" w:eastAsia="宋体" w:cs="宋体"/>
          <w:color w:val="auto"/>
          <w:sz w:val="24"/>
          <w:szCs w:val="24"/>
          <w:highlight w:val="none"/>
        </w:rPr>
        <w:t>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另有约定外，</w:t>
      </w:r>
      <w:r>
        <w:rPr>
          <w:rFonts w:hint="eastAsia" w:ascii="宋体" w:hAnsi="宋体" w:eastAsia="宋体" w:cs="宋体"/>
          <w:color w:val="auto"/>
          <w:sz w:val="24"/>
          <w:szCs w:val="24"/>
          <w:highlight w:val="none"/>
        </w:rPr>
        <w:t>包装应适应远距离运输、防潮、防震、防锈和防野蛮装卸等要求，确保货物安全无损地运抵</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约定的</w:t>
      </w:r>
      <w:r>
        <w:rPr>
          <w:rFonts w:hint="eastAsia" w:ascii="宋体" w:hAnsi="宋体" w:eastAsia="宋体" w:cs="宋体"/>
          <w:color w:val="auto"/>
          <w:sz w:val="24"/>
          <w:szCs w:val="24"/>
          <w:highlight w:val="none"/>
        </w:rPr>
        <w:t>指定现场。</w:t>
      </w:r>
    </w:p>
    <w:p w14:paraId="2C8DE332">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 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另有约定外，</w:t>
      </w:r>
      <w:r>
        <w:rPr>
          <w:rFonts w:hint="eastAsia" w:ascii="宋体" w:hAnsi="宋体" w:eastAsia="宋体" w:cs="宋体"/>
          <w:color w:val="auto"/>
          <w:sz w:val="24"/>
          <w:szCs w:val="24"/>
          <w:highlight w:val="none"/>
        </w:rPr>
        <w:t>乙方负责办理将货物运抵本合同规定的交货地点，并装卸、交付至甲方的一切运输事项，相关费用应包含在合同价款中。</w:t>
      </w:r>
    </w:p>
    <w:p w14:paraId="5A51BE38">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货物保险要求按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规定执行</w:t>
      </w:r>
      <w:r>
        <w:rPr>
          <w:rFonts w:hint="eastAsia" w:ascii="宋体" w:hAnsi="宋体" w:eastAsia="宋体" w:cs="宋体"/>
          <w:color w:val="auto"/>
          <w:sz w:val="24"/>
          <w:szCs w:val="24"/>
          <w:highlight w:val="none"/>
        </w:rPr>
        <w:t>。</w:t>
      </w:r>
    </w:p>
    <w:p w14:paraId="0CFB4802">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1F062A2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 乙方在运输到达之前应提前通知甲方，并提示货物运输装卸的注意事项，甲方配合乙方做好货物的接收工作。</w:t>
      </w:r>
    </w:p>
    <w:p w14:paraId="4A8BE133">
      <w:pPr>
        <w:pStyle w:val="72"/>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7.6 如因包装、运输问题导致货物损毁、丢失或者品质下降，甲方有权要求降价、换货、拒收部分或整批货物，由此产生的费用和损失，均由乙方承担。</w:t>
      </w:r>
    </w:p>
    <w:p w14:paraId="734B42DB">
      <w:pPr>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 质量标准和保证</w:t>
      </w:r>
    </w:p>
    <w:p w14:paraId="2950C9E4">
      <w:pPr>
        <w:pStyle w:val="13"/>
        <w:adjustRightInd w:val="0"/>
        <w:snapToGrid w:val="0"/>
        <w:spacing w:line="360" w:lineRule="auto"/>
        <w:ind w:firstLine="480" w:firstLineChars="200"/>
        <w:jc w:val="left"/>
        <w:rPr>
          <w:rFonts w:hint="eastAsia" w:hAnsi="宋体" w:eastAsia="宋体" w:cs="宋体"/>
          <w:b/>
          <w:color w:val="auto"/>
          <w:sz w:val="24"/>
          <w:szCs w:val="24"/>
          <w:highlight w:val="none"/>
        </w:rPr>
      </w:pPr>
      <w:r>
        <w:rPr>
          <w:rFonts w:hint="eastAsia" w:hAnsi="宋体" w:eastAsia="宋体" w:cs="宋体"/>
          <w:color w:val="auto"/>
          <w:sz w:val="24"/>
          <w:szCs w:val="24"/>
          <w:highlight w:val="none"/>
        </w:rPr>
        <w:t>8.1 质量标准</w:t>
      </w:r>
    </w:p>
    <w:p w14:paraId="1B5DECE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7D55E873">
      <w:pPr>
        <w:pStyle w:val="13"/>
        <w:adjustRightInd w:val="0"/>
        <w:snapToGrid w:val="0"/>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（2）采用中华人民共和国法定计量单位。</w:t>
      </w:r>
    </w:p>
    <w:p w14:paraId="63C38D1E">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（3）乙方所提供的货物应符合国家有关安全、环保、卫生的规定。</w:t>
      </w:r>
    </w:p>
    <w:p w14:paraId="6009B62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（4）乙方应向甲方提交所提供货物的技术文件，包括相应的中文技术文件，如：产品目录、图纸、操作手册、使用说明、维护手册或服务指南等。上述文件应包装好随货物一同发运。</w:t>
      </w:r>
    </w:p>
    <w:p w14:paraId="6F9DD27A">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保证</w:t>
      </w:r>
    </w:p>
    <w:p w14:paraId="14A08A22">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规定或乙方书面承诺（两者以较长的为准）的质量保证期内，本保证保持有效。</w:t>
      </w:r>
    </w:p>
    <w:p w14:paraId="6DDFFEE9">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45431234">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391E1B8C">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5313AEB6">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（5）乙方在约定的时间内未能弥补缺陷，甲方可采取必要的补救措施，但其风险和费用将由乙方承担，甲方根据合同约定对乙方行使的其他权利不受影响。</w:t>
      </w:r>
    </w:p>
    <w:p w14:paraId="352268B0">
      <w:pPr>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 权利瑕疵担保</w:t>
      </w:r>
    </w:p>
    <w:p w14:paraId="04170959">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 乙方保证对其出售的货物享有合法的权利。</w:t>
      </w:r>
    </w:p>
    <w:p w14:paraId="02CE53E8">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乙方保证在交付的货物上不存在抵押权等担保物权。</w:t>
      </w:r>
    </w:p>
    <w:p w14:paraId="4075A414">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如甲方使用上述货物构成对第三人侵权的，则由乙方承担全部责任。</w:t>
      </w:r>
    </w:p>
    <w:p w14:paraId="7C2460F7">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 知识产权保护</w:t>
      </w:r>
    </w:p>
    <w:p w14:paraId="1AA8E270">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 乙方对其所销售的货物应当享有知识产权或经权利人合法授权，保证没有侵犯任何第三人的知识产权等权利。</w:t>
      </w:r>
      <w:bookmarkStart w:id="61" w:name="_Hlk163047038"/>
      <w:r>
        <w:rPr>
          <w:rFonts w:hint="eastAsia" w:ascii="宋体" w:hAnsi="宋体" w:eastAsia="宋体" w:cs="宋体"/>
          <w:color w:val="auto"/>
          <w:sz w:val="24"/>
          <w:szCs w:val="24"/>
          <w:highlight w:val="none"/>
        </w:rPr>
        <w:t>因违反前述约定对第三人构成侵权的，应当由乙方向第三人承担法律责任；甲方依法向第三人赔偿后，有权向乙方追偿。甲方有其他损失的，乙方应当赔偿</w:t>
      </w:r>
      <w:bookmarkEnd w:id="61"/>
      <w:r>
        <w:rPr>
          <w:rFonts w:hint="eastAsia" w:ascii="宋体" w:hAnsi="宋体" w:eastAsia="宋体" w:cs="宋体"/>
          <w:color w:val="auto"/>
          <w:sz w:val="24"/>
          <w:szCs w:val="24"/>
          <w:highlight w:val="none"/>
        </w:rPr>
        <w:t>。</w:t>
      </w:r>
    </w:p>
    <w:p w14:paraId="5C039C28">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 保密义务</w:t>
      </w:r>
    </w:p>
    <w:p w14:paraId="118A909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中约定。</w:t>
      </w:r>
    </w:p>
    <w:p w14:paraId="0BD98D1B">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12. 合同价款支付</w:t>
      </w:r>
    </w:p>
    <w:p w14:paraId="34070AA5">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合同价款支付按照国库集中支付制度及财政管理相关规定执行。</w:t>
      </w:r>
    </w:p>
    <w:p w14:paraId="0D301A83">
      <w:pPr>
        <w:pStyle w:val="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12.2 对于满足合同约定支付条件的，甲方原则上应当自收到发票后7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color w:val="auto"/>
          <w:sz w:val="24"/>
          <w:szCs w:val="24"/>
          <w:highlight w:val="none"/>
        </w:rPr>
        <w:t>政府采购合同专用条款</w:t>
      </w:r>
      <w:r>
        <w:rPr>
          <w:rFonts w:hint="eastAsia" w:ascii="宋体" w:hAnsi="宋体" w:eastAsia="宋体" w:cs="宋体"/>
          <w:b w:val="0"/>
          <w:bCs w:val="0"/>
          <w:color w:val="auto"/>
          <w:sz w:val="24"/>
          <w:szCs w:val="24"/>
          <w:highlight w:val="none"/>
        </w:rPr>
        <w:t>】中约定。</w:t>
      </w:r>
    </w:p>
    <w:p w14:paraId="0975BA68">
      <w:pPr>
        <w:pStyle w:val="9"/>
        <w:spacing w:after="0"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w:t>
      </w:r>
      <w:r>
        <w:rPr>
          <w:rFonts w:hint="eastAsia" w:ascii="宋体" w:hAnsi="宋体" w:eastAsia="宋体" w:cs="宋体"/>
          <w:b/>
          <w:bCs/>
          <w:color w:val="auto"/>
          <w:sz w:val="24"/>
          <w:highlight w:val="none"/>
          <w:lang w:val="en-US"/>
        </w:rPr>
        <w:t xml:space="preserve"> </w:t>
      </w:r>
      <w:r>
        <w:rPr>
          <w:rFonts w:hint="eastAsia" w:ascii="宋体" w:hAnsi="宋体" w:eastAsia="宋体" w:cs="宋体"/>
          <w:b/>
          <w:bCs/>
          <w:color w:val="auto"/>
          <w:sz w:val="24"/>
          <w:highlight w:val="none"/>
        </w:rPr>
        <w:t>履约保证金</w:t>
      </w:r>
    </w:p>
    <w:p w14:paraId="047CDEB5">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乙方应当以支票、汇票、本票或者金融机构、担保机构出具的保函等非现金形式提交。</w:t>
      </w:r>
    </w:p>
    <w:p w14:paraId="45787EB3">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如果乙方出现</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3AA174AA">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5F057D37">
      <w:pPr>
        <w:autoSpaceDE w:val="0"/>
        <w:autoSpaceDN w:val="0"/>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 xml:space="preserve">14. </w:t>
      </w:r>
      <w:r>
        <w:rPr>
          <w:rFonts w:hint="eastAsia" w:ascii="宋体" w:hAnsi="宋体" w:eastAsia="宋体" w:cs="宋体"/>
          <w:b/>
          <w:color w:val="auto"/>
          <w:sz w:val="24"/>
          <w:szCs w:val="24"/>
          <w:highlight w:val="none"/>
        </w:rPr>
        <w:t>售后服务</w:t>
      </w:r>
    </w:p>
    <w:p w14:paraId="70A1908D">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除项目不涉及或采购活动中明确约定无须承担外，乙方还应提供下列服务：</w:t>
      </w:r>
    </w:p>
    <w:p w14:paraId="01336ECE">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2D2E98CC">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6FA89A48">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约定的期限内对所有的货物实施运行监督、维修，但前提条件是该服务并不能免除乙方在质量保证期内所承担的义务；</w:t>
      </w:r>
    </w:p>
    <w:p w14:paraId="3233AF23">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（4）在制造商所在地或指定现场就货物的安装、启动、运营、维护、废弃处置等对甲方操作人员进行培训；</w:t>
      </w:r>
    </w:p>
    <w:p w14:paraId="03D28E09">
      <w:pPr>
        <w:pStyle w:val="72"/>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（5）依照法律、行政法规的规定或者按照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约定，货物在有效使用年限届满后应予回收的，乙方负有自行或者委托第三人对货物予以回收的义务；</w:t>
      </w:r>
    </w:p>
    <w:p w14:paraId="3F9FAB3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6B781C71">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乙方提供的售后服务的费用已包含在合同价款中，甲方不再另行支付。</w:t>
      </w:r>
    </w:p>
    <w:p w14:paraId="79E8157B">
      <w:pPr>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15. 违约责任</w:t>
      </w:r>
    </w:p>
    <w:p w14:paraId="578D0864">
      <w:pPr>
        <w:adjustRightInd w:val="0"/>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15.1质量瑕疵的违约责任</w:t>
      </w:r>
    </w:p>
    <w:p w14:paraId="5887D625">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乙方提供的产品不符合合同约定的质量标准或存在产品质量缺陷，甲方有权要求乙方根据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要求</w:t>
      </w:r>
      <w:r>
        <w:rPr>
          <w:rFonts w:hint="eastAsia" w:ascii="宋体" w:hAnsi="宋体" w:eastAsia="宋体" w:cs="宋体"/>
          <w:color w:val="auto"/>
          <w:sz w:val="24"/>
          <w:szCs w:val="24"/>
          <w:highlight w:val="none"/>
        </w:rPr>
        <w:t>及时修理、重作、更换，并承担由此给甲方造成的损失。</w:t>
      </w:r>
    </w:p>
    <w:p w14:paraId="6E2F1FE8">
      <w:pPr>
        <w:autoSpaceDE w:val="0"/>
        <w:autoSpaceDN w:val="0"/>
        <w:adjustRightInd w:val="0"/>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15.2 迟延交货的违约责任</w:t>
      </w:r>
    </w:p>
    <w:p w14:paraId="20E7F8A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E3ACB6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（2）如果乙方没有按照合同规定的时间交货和提供相关服务，甲方有权从货款中扣除误期赔偿费而不影响合同项下的其他补救方法，赔偿费按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规定执行。如果涉及公共利益，且赔偿金额无法弥补公共利益损失，甲方可要求继续履行或者采取其他补救措施。</w:t>
      </w:r>
    </w:p>
    <w:p w14:paraId="3099F2C1">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迟延支付的违约责任</w:t>
      </w:r>
    </w:p>
    <w:p w14:paraId="1D02A2C4">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092B0C14">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15.4其他违约责任根据项目实际需要按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537B0AB2">
      <w:pPr>
        <w:numPr>
          <w:ilvl w:val="0"/>
          <w:numId w:val="7"/>
        </w:numPr>
        <w:autoSpaceDE w:val="0"/>
        <w:autoSpaceDN w:val="0"/>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合同变更、中止与终止</w:t>
      </w:r>
    </w:p>
    <w:p w14:paraId="325627AE">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16.1合同的变更</w:t>
      </w:r>
    </w:p>
    <w:p w14:paraId="2E3D0FF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政府采购合同履行中，在不改变合同其他条款的前提下，甲方可以在合同价款10%的范围内追加与合同标的相同的货物，并就此与乙方协商一致后签订补充协议。</w:t>
      </w:r>
    </w:p>
    <w:p w14:paraId="779A0A5C">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16.2合同的中止</w:t>
      </w:r>
    </w:p>
    <w:p w14:paraId="6B8C5BE3">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（1）合同履行过程中因供应商就采购文件、采购过程或结果提起投诉的，甲方认为有必要的，可以中止合同的履行。</w:t>
      </w:r>
    </w:p>
    <w:p w14:paraId="02AE0609">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692A3067">
      <w:pPr>
        <w:pStyle w:val="72"/>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（3）乙方分立、合并或者变更住所的，应当及时以书面形式告知甲方。乙方没有及时告知甲方，致使合同履行发生困难的，甲方可以中止合同履行并要求乙方承担由此给甲方造成的损失。</w:t>
      </w:r>
    </w:p>
    <w:p w14:paraId="128FD4E9">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（4）甲方不得以行政区划调整、政府换届、机构或者职能调整以及相关责任人更替为由中止合同。</w:t>
      </w:r>
    </w:p>
    <w:p w14:paraId="32E7B1EE">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16.3合同的终止</w:t>
      </w:r>
    </w:p>
    <w:p w14:paraId="7DA1D5A4">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448E0125">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（2）乙方未按合同约定履行，构成根本性违约的，甲方有权终止合同，并追究乙方的违约责任。</w:t>
      </w:r>
    </w:p>
    <w:p w14:paraId="16CEB8FE">
      <w:pPr>
        <w:pStyle w:val="72"/>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16.4 </w:t>
      </w:r>
      <w:r>
        <w:rPr>
          <w:rFonts w:hint="eastAsia" w:ascii="宋体" w:hAnsi="宋体" w:eastAsia="宋体" w:cs="宋体"/>
          <w:color w:val="auto"/>
          <w:kern w:val="2"/>
          <w:sz w:val="24"/>
          <w:szCs w:val="24"/>
          <w:highlight w:val="none"/>
        </w:rPr>
        <w:t>涉及国家利益、社会公共利益的情形</w:t>
      </w:r>
    </w:p>
    <w:p w14:paraId="139BA5DE">
      <w:pPr>
        <w:pStyle w:val="72"/>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政府采购合同继续履行将损害国家利益和社会公共利益的，双方当事人应当变更、中止或者终止合同。有过错的一方应当承担赔偿责任，双方都有过错的，各自承担相应的责任。</w:t>
      </w:r>
    </w:p>
    <w:p w14:paraId="5536F4F6">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17. 合同分包</w:t>
      </w:r>
    </w:p>
    <w:p w14:paraId="38606DDD">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乙方不得将合同转包给其他供应商。涉及合同分包的，乙方应根据采购文件和投标（响应）文件规定进行合同分包。</w:t>
      </w:r>
    </w:p>
    <w:p w14:paraId="666391B9">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乙方执行政府采购政策向中小企业依法分包的，乙方应当按采购文件和投标（响应）文件签订分包意向协议，分包意向协议属于本合同组成部分。</w:t>
      </w:r>
    </w:p>
    <w:p w14:paraId="14DA4944">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18. 不可抗力</w:t>
      </w:r>
    </w:p>
    <w:p w14:paraId="15396E21">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 不可抗力是指合同双方不能预见、不能避免且不能克服的客观情况。</w:t>
      </w:r>
    </w:p>
    <w:p w14:paraId="574292D9">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 任何一方对由于不可抗力造成的部分或全部不能履行合同不承担违约责任。但迟延履行后发生不可抗力的，不能免除责任。</w:t>
      </w:r>
    </w:p>
    <w:p w14:paraId="300864C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4D0EE6E1">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19. 解决争议的方法</w:t>
      </w:r>
    </w:p>
    <w:p w14:paraId="4FBC359B">
      <w:pPr>
        <w:pStyle w:val="72"/>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02615C6B">
      <w:pPr>
        <w:pStyle w:val="72"/>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中进一步约定选择与争议有实际联系的地点的人民法院管辖，但管辖法院的约定不得违反级别管辖和专属管辖的规定。</w:t>
      </w:r>
    </w:p>
    <w:p w14:paraId="6C2337EE">
      <w:pPr>
        <w:pStyle w:val="72"/>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 如甲乙双方有争议的事项不影响合同其他部分的履行，在争议解决期间，合同其他部分应当继续履行。</w:t>
      </w:r>
    </w:p>
    <w:p w14:paraId="1E25951C">
      <w:pPr>
        <w:autoSpaceDE w:val="0"/>
        <w:autoSpaceDN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20. 政府采购政策</w:t>
      </w:r>
    </w:p>
    <w:p w14:paraId="22D6101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20.1 </w:t>
      </w:r>
      <w:r>
        <w:rPr>
          <w:rFonts w:hint="eastAsia" w:ascii="宋体" w:hAnsi="宋体" w:eastAsia="宋体" w:cs="宋体"/>
          <w:color w:val="auto"/>
          <w:sz w:val="24"/>
          <w:szCs w:val="24"/>
          <w:highlight w:val="none"/>
          <w:lang w:val="en-GB"/>
        </w:rPr>
        <w:t>本合同应当按照规定执行政府采购政策。</w:t>
      </w:r>
    </w:p>
    <w:p w14:paraId="09340FAF">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 本合同依法执行政府采购政策的方式和内容，属于合同履约验收的范围。甲乙双方</w:t>
      </w:r>
      <w:r>
        <w:rPr>
          <w:rFonts w:hint="eastAsia" w:ascii="宋体" w:hAnsi="宋体" w:eastAsia="宋体" w:cs="宋体"/>
          <w:color w:val="auto"/>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2D4A716F">
      <w:pPr>
        <w:pStyle w:val="9"/>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rPr>
        <w:t>0</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rPr>
        <w:t>3</w:t>
      </w:r>
      <w:r>
        <w:rPr>
          <w:rFonts w:hint="eastAsia" w:ascii="宋体" w:hAnsi="宋体" w:eastAsia="宋体" w:cs="宋体"/>
          <w:color w:val="auto"/>
          <w:sz w:val="24"/>
          <w:highlight w:val="none"/>
        </w:rPr>
        <w:t xml:space="preserve">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BEE8665">
      <w:pPr>
        <w:autoSpaceDE w:val="0"/>
        <w:autoSpaceDN w:val="0"/>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 法律适用</w:t>
      </w:r>
    </w:p>
    <w:p w14:paraId="28A686B7">
      <w:pPr>
        <w:pStyle w:val="72"/>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 本合同的订立、生效、解释、履行及与本合同有关的争议解决，均适用法律、行政法规。</w:t>
      </w:r>
    </w:p>
    <w:p w14:paraId="178AF2E6">
      <w:pPr>
        <w:pStyle w:val="72"/>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 本合同条款与法律、行政法规的强制性规定不一致的，双方当事人应按照法律、行政法规的强制性规定修改本合同的相关条款。</w:t>
      </w:r>
    </w:p>
    <w:p w14:paraId="489521EB">
      <w:pPr>
        <w:numPr>
          <w:ilvl w:val="255"/>
          <w:numId w:val="0"/>
        </w:numPr>
        <w:autoSpaceDE w:val="0"/>
        <w:autoSpaceDN w:val="0"/>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 通知</w:t>
      </w:r>
    </w:p>
    <w:p w14:paraId="1C430F56">
      <w:pPr>
        <w:pStyle w:val="72"/>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本合同任何一方向对方发出的通知、信件、数据电文等，应当发送至本合同第一部分《政府采购合同协议书》所约定的通讯地址、联系人、联系电话或电子邮箱。</w:t>
      </w:r>
    </w:p>
    <w:p w14:paraId="53B01D59">
      <w:pPr>
        <w:pStyle w:val="72"/>
        <w:spacing w:line="360" w:lineRule="auto"/>
        <w:ind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22.2 一方当事人变更名称、住所、联系人、联系电话或电子邮箱等信息的，应当在变更后3日内及时书面通知对方，对方实际收到变更通知前的送达仍为有效送达。</w:t>
      </w:r>
    </w:p>
    <w:p w14:paraId="2662C7A2">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22.3本合同一方给另一方的通知均应采用书面形式，传真或快递送到本合同中规定的对方的地址和办理签收手续。</w:t>
      </w:r>
    </w:p>
    <w:p w14:paraId="369165B2">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22.4通知以送达之日或通知书中规定的生效之日起生效，两者中以较迟之日为准。</w:t>
      </w:r>
    </w:p>
    <w:p w14:paraId="02F74153">
      <w:pPr>
        <w:numPr>
          <w:ilvl w:val="0"/>
          <w:numId w:val="8"/>
        </w:numPr>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6291B097">
      <w:pPr>
        <w:adjustRightInd w:val="0"/>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0A308DD8">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23.2 合同附件与合同正文具有同等的法律效力。</w:t>
      </w:r>
    </w:p>
    <w:p w14:paraId="03BE3AB0">
      <w:pPr>
        <w:pStyle w:val="3"/>
        <w:adjustRightInd w:val="0"/>
        <w:snapToGrid w:val="0"/>
        <w:spacing w:before="156" w:beforeLines="50" w:line="360" w:lineRule="auto"/>
        <w:jc w:val="center"/>
        <w:rPr>
          <w:rFonts w:hint="eastAsia" w:cs="@仿宋_GB2312" w:asciiTheme="minorEastAsia" w:hAnsiTheme="minorEastAsia" w:eastAsiaTheme="minorEastAsia"/>
          <w:bCs w:val="0"/>
          <w:color w:val="auto"/>
          <w:sz w:val="24"/>
          <w:szCs w:val="20"/>
          <w:highlight w:val="none"/>
        </w:rPr>
      </w:pPr>
    </w:p>
    <w:p w14:paraId="33DE33A7">
      <w:pPr>
        <w:rPr>
          <w:rFonts w:hint="eastAsia" w:asciiTheme="minorEastAsia" w:hAnsiTheme="minorEastAsia" w:eastAsiaTheme="minorEastAsia"/>
          <w:b/>
          <w:color w:val="auto"/>
          <w:sz w:val="24"/>
          <w:highlight w:val="none"/>
        </w:rPr>
      </w:pPr>
    </w:p>
    <w:p w14:paraId="6E704C9B">
      <w:pPr>
        <w:rPr>
          <w:rFonts w:hint="eastAsia" w:asciiTheme="minorEastAsia" w:hAnsiTheme="minorEastAsia" w:eastAsiaTheme="minorEastAsia"/>
          <w:b/>
          <w:color w:val="auto"/>
          <w:sz w:val="24"/>
          <w:highlight w:val="none"/>
        </w:rPr>
      </w:pPr>
    </w:p>
    <w:p w14:paraId="6537C653">
      <w:pPr>
        <w:rPr>
          <w:rFonts w:hint="eastAsia" w:asciiTheme="minorEastAsia" w:hAnsiTheme="minorEastAsia" w:eastAsiaTheme="minorEastAsia"/>
          <w:b/>
          <w:color w:val="auto"/>
          <w:sz w:val="24"/>
          <w:highlight w:val="none"/>
        </w:rPr>
      </w:pPr>
    </w:p>
    <w:p w14:paraId="27C04D46">
      <w:pPr>
        <w:rPr>
          <w:rFonts w:hint="eastAsia" w:asciiTheme="minorEastAsia" w:hAnsiTheme="minorEastAsia" w:eastAsiaTheme="minorEastAsia"/>
          <w:b/>
          <w:color w:val="auto"/>
          <w:sz w:val="24"/>
          <w:highlight w:val="none"/>
        </w:rPr>
      </w:pPr>
    </w:p>
    <w:p w14:paraId="17613838">
      <w:pPr>
        <w:rPr>
          <w:rFonts w:hint="eastAsia" w:asciiTheme="minorEastAsia" w:hAnsiTheme="minorEastAsia" w:eastAsiaTheme="minorEastAsia"/>
          <w:b/>
          <w:color w:val="auto"/>
          <w:sz w:val="24"/>
          <w:highlight w:val="none"/>
        </w:rPr>
      </w:pPr>
    </w:p>
    <w:p w14:paraId="07B68241">
      <w:pPr>
        <w:rPr>
          <w:rFonts w:hint="eastAsia" w:asciiTheme="minorEastAsia" w:hAnsiTheme="minorEastAsia" w:eastAsiaTheme="minorEastAsia"/>
          <w:b/>
          <w:color w:val="auto"/>
          <w:sz w:val="24"/>
          <w:highlight w:val="none"/>
        </w:rPr>
      </w:pPr>
    </w:p>
    <w:p w14:paraId="7FAFBD25">
      <w:pPr>
        <w:rPr>
          <w:rFonts w:hint="eastAsia" w:asciiTheme="minorEastAsia" w:hAnsiTheme="minorEastAsia" w:eastAsiaTheme="minorEastAsia"/>
          <w:b/>
          <w:color w:val="auto"/>
          <w:sz w:val="24"/>
          <w:highlight w:val="none"/>
        </w:rPr>
      </w:pPr>
    </w:p>
    <w:p w14:paraId="13F823DD">
      <w:pPr>
        <w:rPr>
          <w:rFonts w:hint="eastAsia" w:asciiTheme="minorEastAsia" w:hAnsiTheme="minorEastAsia" w:eastAsiaTheme="minorEastAsia"/>
          <w:b/>
          <w:color w:val="auto"/>
          <w:sz w:val="24"/>
          <w:highlight w:val="none"/>
        </w:rPr>
      </w:pPr>
    </w:p>
    <w:p w14:paraId="31848CA9">
      <w:pPr>
        <w:rPr>
          <w:rFonts w:hint="eastAsia" w:asciiTheme="minorEastAsia" w:hAnsiTheme="minorEastAsia" w:eastAsiaTheme="minorEastAsia"/>
          <w:b/>
          <w:color w:val="auto"/>
          <w:sz w:val="24"/>
          <w:highlight w:val="none"/>
        </w:rPr>
      </w:pPr>
    </w:p>
    <w:p w14:paraId="4514EBC9">
      <w:pPr>
        <w:rPr>
          <w:rFonts w:hint="eastAsia" w:asciiTheme="minorEastAsia" w:hAnsiTheme="minorEastAsia" w:eastAsiaTheme="minorEastAsia"/>
          <w:b/>
          <w:color w:val="auto"/>
          <w:sz w:val="24"/>
          <w:highlight w:val="none"/>
        </w:rPr>
      </w:pPr>
    </w:p>
    <w:p w14:paraId="4EA6674B">
      <w:pPr>
        <w:rPr>
          <w:rFonts w:hint="eastAsia" w:asciiTheme="minorEastAsia" w:hAnsiTheme="minorEastAsia" w:eastAsiaTheme="minorEastAsia"/>
          <w:b/>
          <w:color w:val="auto"/>
          <w:sz w:val="24"/>
          <w:highlight w:val="none"/>
        </w:rPr>
      </w:pPr>
    </w:p>
    <w:p w14:paraId="60D589F3">
      <w:pPr>
        <w:rPr>
          <w:rFonts w:hint="eastAsia" w:asciiTheme="minorEastAsia" w:hAnsiTheme="minorEastAsia" w:eastAsiaTheme="minorEastAsia"/>
          <w:b/>
          <w:color w:val="auto"/>
          <w:sz w:val="24"/>
          <w:highlight w:val="none"/>
        </w:rPr>
      </w:pPr>
    </w:p>
    <w:p w14:paraId="7B1A2A15">
      <w:pPr>
        <w:rPr>
          <w:rFonts w:hint="eastAsia" w:asciiTheme="minorEastAsia" w:hAnsiTheme="minorEastAsia" w:eastAsiaTheme="minorEastAsia"/>
          <w:b/>
          <w:color w:val="auto"/>
          <w:sz w:val="24"/>
          <w:highlight w:val="none"/>
        </w:rPr>
      </w:pPr>
    </w:p>
    <w:p w14:paraId="436C0B1A">
      <w:pPr>
        <w:pStyle w:val="3"/>
        <w:adjustRightInd w:val="0"/>
        <w:snapToGrid w:val="0"/>
        <w:spacing w:before="156" w:beforeLines="50" w:line="360" w:lineRule="auto"/>
        <w:jc w:val="center"/>
        <w:rPr>
          <w:rFonts w:hint="eastAsia" w:cs="@仿宋_GB2312" w:asciiTheme="minorEastAsia" w:hAnsiTheme="minorEastAsia" w:eastAsiaTheme="minorEastAsia"/>
          <w:bCs w:val="0"/>
          <w:color w:val="auto"/>
          <w:sz w:val="24"/>
          <w:szCs w:val="20"/>
          <w:highlight w:val="none"/>
        </w:rPr>
      </w:pPr>
    </w:p>
    <w:p w14:paraId="35CD5CAB">
      <w:pPr>
        <w:pStyle w:val="3"/>
        <w:adjustRightInd w:val="0"/>
        <w:snapToGrid w:val="0"/>
        <w:spacing w:before="156" w:beforeLines="50" w:line="360" w:lineRule="auto"/>
        <w:jc w:val="center"/>
        <w:rPr>
          <w:rFonts w:hint="eastAsia" w:cs="@仿宋_GB2312" w:asciiTheme="minorEastAsia" w:hAnsiTheme="minorEastAsia" w:eastAsiaTheme="minorEastAsia"/>
          <w:bCs w:val="0"/>
          <w:color w:val="auto"/>
          <w:sz w:val="24"/>
          <w:szCs w:val="20"/>
          <w:highlight w:val="none"/>
        </w:rPr>
      </w:pPr>
      <w:r>
        <w:rPr>
          <w:rFonts w:hint="eastAsia" w:cs="@仿宋_GB2312" w:asciiTheme="minorEastAsia" w:hAnsiTheme="minorEastAsia" w:eastAsiaTheme="minorEastAsia"/>
          <w:bCs w:val="0"/>
          <w:color w:val="auto"/>
          <w:sz w:val="24"/>
          <w:szCs w:val="20"/>
          <w:highlight w:val="none"/>
        </w:rPr>
        <w:t>第三节 政府采购合同专用条款</w:t>
      </w:r>
    </w:p>
    <w:tbl>
      <w:tblPr>
        <w:tblStyle w:val="26"/>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6483E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268DB79">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BB87225">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第1.2（6）项</w:t>
            </w:r>
          </w:p>
        </w:tc>
        <w:tc>
          <w:tcPr>
            <w:tcW w:w="1742" w:type="dxa"/>
            <w:vAlign w:val="center"/>
          </w:tcPr>
          <w:p w14:paraId="5DFFD054">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联合体具体要求</w:t>
            </w:r>
          </w:p>
        </w:tc>
        <w:tc>
          <w:tcPr>
            <w:tcW w:w="5170" w:type="dxa"/>
            <w:vAlign w:val="center"/>
          </w:tcPr>
          <w:p w14:paraId="39E80D05">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不接受联合体 </w:t>
            </w:r>
          </w:p>
        </w:tc>
      </w:tr>
      <w:tr w14:paraId="360824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6CA0EAD8">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45E47A4">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第1.2（7）项</w:t>
            </w:r>
          </w:p>
        </w:tc>
        <w:tc>
          <w:tcPr>
            <w:tcW w:w="1742" w:type="dxa"/>
            <w:vAlign w:val="center"/>
          </w:tcPr>
          <w:p w14:paraId="5FEF636D">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其他术语解释</w:t>
            </w:r>
          </w:p>
        </w:tc>
        <w:tc>
          <w:tcPr>
            <w:tcW w:w="5170" w:type="dxa"/>
            <w:vAlign w:val="center"/>
          </w:tcPr>
          <w:p w14:paraId="7DC62862">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r w14:paraId="084020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1802BF7">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D23A10F">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第4.4款</w:t>
            </w:r>
          </w:p>
        </w:tc>
        <w:tc>
          <w:tcPr>
            <w:tcW w:w="1742" w:type="dxa"/>
            <w:vAlign w:val="center"/>
          </w:tcPr>
          <w:p w14:paraId="3AE69FE1">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履约验收中甲方提出异议或作出说明的期限</w:t>
            </w:r>
          </w:p>
        </w:tc>
        <w:tc>
          <w:tcPr>
            <w:tcW w:w="5170" w:type="dxa"/>
            <w:vAlign w:val="center"/>
          </w:tcPr>
          <w:p w14:paraId="3C905600">
            <w:pPr>
              <w:adjustRightInd w:val="0"/>
              <w:snapToGrid w:val="0"/>
              <w:jc w:val="left"/>
              <w:rPr>
                <w:rFonts w:hint="eastAsia" w:ascii="宋体" w:hAnsi="宋体" w:eastAsia="宋体" w:cs="宋体"/>
                <w:color w:val="auto"/>
                <w:sz w:val="24"/>
                <w:szCs w:val="24"/>
                <w:highlight w:val="none"/>
              </w:rPr>
            </w:pPr>
          </w:p>
        </w:tc>
      </w:tr>
      <w:tr w14:paraId="5E11CD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F3E1500">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BB87658">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第4.6款</w:t>
            </w:r>
          </w:p>
        </w:tc>
        <w:tc>
          <w:tcPr>
            <w:tcW w:w="1742" w:type="dxa"/>
            <w:vAlign w:val="center"/>
          </w:tcPr>
          <w:p w14:paraId="5EA0E389">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约定甲方承担的其他义务和责任</w:t>
            </w:r>
          </w:p>
        </w:tc>
        <w:tc>
          <w:tcPr>
            <w:tcW w:w="5170" w:type="dxa"/>
            <w:vAlign w:val="center"/>
          </w:tcPr>
          <w:p w14:paraId="5D45E93E">
            <w:pPr>
              <w:adjustRightInd w:val="0"/>
              <w:snapToGrid w:val="0"/>
              <w:jc w:val="left"/>
              <w:rPr>
                <w:rFonts w:hint="eastAsia" w:ascii="宋体" w:hAnsi="宋体" w:eastAsia="宋体" w:cs="宋体"/>
                <w:color w:val="auto"/>
                <w:sz w:val="24"/>
                <w:szCs w:val="24"/>
                <w:highlight w:val="none"/>
              </w:rPr>
            </w:pPr>
          </w:p>
        </w:tc>
      </w:tr>
      <w:tr w14:paraId="793E45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C0A9F15">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E85E3A9">
            <w:p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第5.4款</w:t>
            </w:r>
          </w:p>
        </w:tc>
        <w:tc>
          <w:tcPr>
            <w:tcW w:w="1742" w:type="dxa"/>
            <w:vAlign w:val="center"/>
          </w:tcPr>
          <w:p w14:paraId="217BAE20">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约定乙方承担的其他义务和责任</w:t>
            </w:r>
          </w:p>
        </w:tc>
        <w:tc>
          <w:tcPr>
            <w:tcW w:w="5170" w:type="dxa"/>
            <w:vAlign w:val="center"/>
          </w:tcPr>
          <w:p w14:paraId="20D3D27A">
            <w:pPr>
              <w:adjustRightInd w:val="0"/>
              <w:snapToGrid w:val="0"/>
              <w:jc w:val="left"/>
              <w:rPr>
                <w:rFonts w:hint="eastAsia" w:ascii="宋体" w:hAnsi="宋体" w:eastAsia="宋体" w:cs="宋体"/>
                <w:color w:val="auto"/>
                <w:sz w:val="24"/>
                <w:szCs w:val="24"/>
                <w:highlight w:val="none"/>
              </w:rPr>
            </w:pPr>
          </w:p>
        </w:tc>
      </w:tr>
      <w:tr w14:paraId="2D3964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4FA156D">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914E4AA">
            <w:p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第6.1款</w:t>
            </w:r>
          </w:p>
        </w:tc>
        <w:tc>
          <w:tcPr>
            <w:tcW w:w="1742" w:type="dxa"/>
            <w:vAlign w:val="center"/>
          </w:tcPr>
          <w:p w14:paraId="61954771">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履行合同义务的顺序</w:t>
            </w:r>
          </w:p>
        </w:tc>
        <w:tc>
          <w:tcPr>
            <w:tcW w:w="5170" w:type="dxa"/>
            <w:vAlign w:val="center"/>
          </w:tcPr>
          <w:p w14:paraId="36E2934B">
            <w:pPr>
              <w:adjustRightInd w:val="0"/>
              <w:snapToGrid w:val="0"/>
              <w:jc w:val="left"/>
              <w:rPr>
                <w:rFonts w:hint="eastAsia" w:ascii="宋体" w:hAnsi="宋体" w:eastAsia="宋体" w:cs="宋体"/>
                <w:color w:val="auto"/>
                <w:sz w:val="24"/>
                <w:szCs w:val="24"/>
                <w:highlight w:val="none"/>
              </w:rPr>
            </w:pPr>
          </w:p>
        </w:tc>
      </w:tr>
      <w:tr w14:paraId="4CEAB8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0DD2AFC4">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6ADBD6E">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第7.1款</w:t>
            </w:r>
          </w:p>
        </w:tc>
        <w:tc>
          <w:tcPr>
            <w:tcW w:w="1742" w:type="dxa"/>
            <w:vAlign w:val="center"/>
          </w:tcPr>
          <w:p w14:paraId="32490CE3">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包装特殊要求</w:t>
            </w:r>
          </w:p>
        </w:tc>
        <w:tc>
          <w:tcPr>
            <w:tcW w:w="5170" w:type="dxa"/>
            <w:vAlign w:val="center"/>
          </w:tcPr>
          <w:p w14:paraId="378037D5">
            <w:pPr>
              <w:rPr>
                <w:rFonts w:hint="eastAsia" w:ascii="宋体" w:hAnsi="宋体" w:eastAsia="宋体" w:cs="宋体"/>
                <w:color w:val="auto"/>
                <w:sz w:val="24"/>
                <w:szCs w:val="24"/>
                <w:highlight w:val="none"/>
              </w:rPr>
            </w:pPr>
          </w:p>
        </w:tc>
      </w:tr>
      <w:tr w14:paraId="03B897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63AC43B9">
            <w:pPr>
              <w:adjustRightInd w:val="0"/>
              <w:snapToGrid w:val="0"/>
              <w:jc w:val="center"/>
              <w:rPr>
                <w:rFonts w:hint="eastAsia" w:ascii="宋体" w:hAnsi="宋体" w:eastAsia="宋体" w:cs="宋体"/>
                <w:color w:val="auto"/>
                <w:sz w:val="24"/>
                <w:szCs w:val="24"/>
                <w:highlight w:val="none"/>
              </w:rPr>
            </w:pPr>
          </w:p>
        </w:tc>
        <w:tc>
          <w:tcPr>
            <w:tcW w:w="1742" w:type="dxa"/>
            <w:vAlign w:val="center"/>
          </w:tcPr>
          <w:p w14:paraId="62AEF86E">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指定现场</w:t>
            </w:r>
          </w:p>
        </w:tc>
        <w:tc>
          <w:tcPr>
            <w:tcW w:w="5170" w:type="dxa"/>
            <w:vAlign w:val="center"/>
          </w:tcPr>
          <w:p w14:paraId="6D7D8733">
            <w:pPr>
              <w:rPr>
                <w:rFonts w:hint="eastAsia" w:ascii="宋体" w:hAnsi="宋体" w:eastAsia="宋体" w:cs="宋体"/>
                <w:color w:val="auto"/>
                <w:sz w:val="24"/>
                <w:szCs w:val="24"/>
                <w:highlight w:val="none"/>
              </w:rPr>
            </w:pPr>
          </w:p>
        </w:tc>
      </w:tr>
      <w:tr w14:paraId="30E87C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5B9154D7">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1709D36">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第7.2款</w:t>
            </w:r>
          </w:p>
        </w:tc>
        <w:tc>
          <w:tcPr>
            <w:tcW w:w="1742" w:type="dxa"/>
            <w:vAlign w:val="center"/>
          </w:tcPr>
          <w:p w14:paraId="084C0A0C">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运输特殊要求</w:t>
            </w:r>
          </w:p>
        </w:tc>
        <w:tc>
          <w:tcPr>
            <w:tcW w:w="5170" w:type="dxa"/>
            <w:vAlign w:val="center"/>
          </w:tcPr>
          <w:p w14:paraId="682A1159">
            <w:pPr>
              <w:rPr>
                <w:rFonts w:hint="eastAsia" w:ascii="宋体" w:hAnsi="宋体" w:eastAsia="宋体" w:cs="宋体"/>
                <w:color w:val="auto"/>
                <w:sz w:val="24"/>
                <w:szCs w:val="24"/>
                <w:highlight w:val="none"/>
              </w:rPr>
            </w:pPr>
          </w:p>
        </w:tc>
      </w:tr>
      <w:tr w14:paraId="69C714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620B1BF3">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F3C282B">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第7.3款</w:t>
            </w:r>
          </w:p>
        </w:tc>
        <w:tc>
          <w:tcPr>
            <w:tcW w:w="1742" w:type="dxa"/>
            <w:vAlign w:val="center"/>
          </w:tcPr>
          <w:p w14:paraId="21DDF33B">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保险要求</w:t>
            </w:r>
          </w:p>
        </w:tc>
        <w:tc>
          <w:tcPr>
            <w:tcW w:w="5170" w:type="dxa"/>
            <w:vAlign w:val="center"/>
          </w:tcPr>
          <w:p w14:paraId="5AC8F0B4">
            <w:pPr>
              <w:rPr>
                <w:rFonts w:hint="eastAsia" w:ascii="宋体" w:hAnsi="宋体" w:eastAsia="宋体" w:cs="宋体"/>
                <w:color w:val="auto"/>
                <w:sz w:val="24"/>
                <w:szCs w:val="24"/>
                <w:highlight w:val="none"/>
              </w:rPr>
            </w:pPr>
          </w:p>
        </w:tc>
      </w:tr>
      <w:tr w14:paraId="085A57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55D62E1">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AA7207D">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第8.2（1）项</w:t>
            </w:r>
          </w:p>
        </w:tc>
        <w:tc>
          <w:tcPr>
            <w:tcW w:w="1742" w:type="dxa"/>
            <w:vAlign w:val="center"/>
          </w:tcPr>
          <w:p w14:paraId="38963194">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质量保证期</w:t>
            </w:r>
          </w:p>
        </w:tc>
        <w:tc>
          <w:tcPr>
            <w:tcW w:w="5170" w:type="dxa"/>
            <w:vAlign w:val="center"/>
          </w:tcPr>
          <w:p w14:paraId="74F8D042">
            <w:pPr>
              <w:autoSpaceDE w:val="0"/>
              <w:autoSpaceDN w:val="0"/>
              <w:adjustRightInd w:val="0"/>
              <w:snapToGrid w:val="0"/>
              <w:ind w:firstLine="480" w:firstLineChars="200"/>
              <w:jc w:val="left"/>
              <w:rPr>
                <w:rFonts w:hint="eastAsia" w:ascii="宋体" w:hAnsi="宋体" w:eastAsia="宋体" w:cs="宋体"/>
                <w:color w:val="auto"/>
                <w:sz w:val="24"/>
                <w:szCs w:val="24"/>
                <w:highlight w:val="none"/>
              </w:rPr>
            </w:pPr>
          </w:p>
        </w:tc>
      </w:tr>
      <w:tr w14:paraId="5AE845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CDAEBEB">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5994EDE">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第8.2（3）项</w:t>
            </w:r>
          </w:p>
        </w:tc>
        <w:tc>
          <w:tcPr>
            <w:tcW w:w="1742" w:type="dxa"/>
            <w:vAlign w:val="center"/>
          </w:tcPr>
          <w:p w14:paraId="257372D7">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货物质量缺陷</w:t>
            </w:r>
          </w:p>
          <w:p w14:paraId="590973ED">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响应时间</w:t>
            </w:r>
          </w:p>
        </w:tc>
        <w:tc>
          <w:tcPr>
            <w:tcW w:w="5170" w:type="dxa"/>
            <w:vAlign w:val="center"/>
          </w:tcPr>
          <w:p w14:paraId="5AB1326C">
            <w:pPr>
              <w:adjustRightInd w:val="0"/>
              <w:snapToGrid w:val="0"/>
              <w:jc w:val="left"/>
              <w:rPr>
                <w:rFonts w:hint="eastAsia" w:ascii="宋体" w:hAnsi="宋体" w:eastAsia="宋体" w:cs="宋体"/>
                <w:color w:val="auto"/>
                <w:sz w:val="24"/>
                <w:szCs w:val="24"/>
                <w:highlight w:val="none"/>
              </w:rPr>
            </w:pPr>
          </w:p>
        </w:tc>
      </w:tr>
      <w:tr w14:paraId="7069BF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BC231A2">
            <w:p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3F6D8CA">
            <w:pPr>
              <w:pStyle w:val="72"/>
              <w:spacing w:line="24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第11.1款</w:t>
            </w:r>
          </w:p>
        </w:tc>
        <w:tc>
          <w:tcPr>
            <w:tcW w:w="1742" w:type="dxa"/>
            <w:vAlign w:val="center"/>
          </w:tcPr>
          <w:p w14:paraId="2FE7750E">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其他应当保密的信息</w:t>
            </w:r>
          </w:p>
        </w:tc>
        <w:tc>
          <w:tcPr>
            <w:tcW w:w="5170" w:type="dxa"/>
            <w:vAlign w:val="center"/>
          </w:tcPr>
          <w:p w14:paraId="5D82725A">
            <w:pPr>
              <w:adjustRightInd w:val="0"/>
              <w:snapToGrid w:val="0"/>
              <w:jc w:val="left"/>
              <w:rPr>
                <w:rFonts w:hint="eastAsia" w:ascii="宋体" w:hAnsi="宋体" w:eastAsia="宋体" w:cs="宋体"/>
                <w:color w:val="auto"/>
                <w:sz w:val="24"/>
                <w:szCs w:val="24"/>
                <w:highlight w:val="none"/>
              </w:rPr>
            </w:pPr>
          </w:p>
        </w:tc>
      </w:tr>
      <w:tr w14:paraId="4933E6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3E3DB41">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75F12F8">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第12.2款</w:t>
            </w:r>
          </w:p>
        </w:tc>
        <w:tc>
          <w:tcPr>
            <w:tcW w:w="1742" w:type="dxa"/>
            <w:vAlign w:val="center"/>
          </w:tcPr>
          <w:p w14:paraId="1567A371">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合同价款支付时间</w:t>
            </w:r>
          </w:p>
        </w:tc>
        <w:tc>
          <w:tcPr>
            <w:tcW w:w="5170" w:type="dxa"/>
            <w:vAlign w:val="center"/>
          </w:tcPr>
          <w:p w14:paraId="43F5D688">
            <w:pPr>
              <w:adjustRightInd w:val="0"/>
              <w:snapToGrid w:val="0"/>
              <w:jc w:val="left"/>
              <w:rPr>
                <w:rFonts w:hint="eastAsia" w:ascii="宋体" w:hAnsi="宋体" w:eastAsia="宋体" w:cs="宋体"/>
                <w:color w:val="auto"/>
                <w:sz w:val="24"/>
                <w:szCs w:val="24"/>
                <w:highlight w:val="none"/>
              </w:rPr>
            </w:pPr>
          </w:p>
        </w:tc>
      </w:tr>
      <w:tr w14:paraId="6B77F0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72D773E">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6446B20">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第13.2款</w:t>
            </w:r>
          </w:p>
        </w:tc>
        <w:tc>
          <w:tcPr>
            <w:tcW w:w="1742" w:type="dxa"/>
            <w:vAlign w:val="center"/>
          </w:tcPr>
          <w:p w14:paraId="19CE9028">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履约保证金不予退还的情形</w:t>
            </w:r>
          </w:p>
        </w:tc>
        <w:tc>
          <w:tcPr>
            <w:tcW w:w="5170" w:type="dxa"/>
            <w:vAlign w:val="center"/>
          </w:tcPr>
          <w:p w14:paraId="247D06BB">
            <w:pPr>
              <w:adjustRightInd w:val="0"/>
              <w:snapToGrid w:val="0"/>
              <w:jc w:val="left"/>
              <w:rPr>
                <w:rFonts w:hint="eastAsia" w:ascii="宋体" w:hAnsi="宋体" w:eastAsia="宋体" w:cs="宋体"/>
                <w:color w:val="auto"/>
                <w:sz w:val="24"/>
                <w:szCs w:val="24"/>
                <w:highlight w:val="none"/>
              </w:rPr>
            </w:pPr>
          </w:p>
        </w:tc>
      </w:tr>
      <w:tr w14:paraId="29158E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348A98E">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59D926A">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第13.3款</w:t>
            </w:r>
          </w:p>
        </w:tc>
        <w:tc>
          <w:tcPr>
            <w:tcW w:w="1742" w:type="dxa"/>
            <w:vAlign w:val="center"/>
          </w:tcPr>
          <w:p w14:paraId="4906C0A7">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履约保证金退还时间及逾期退还的违约金</w:t>
            </w:r>
          </w:p>
        </w:tc>
        <w:tc>
          <w:tcPr>
            <w:tcW w:w="5170" w:type="dxa"/>
            <w:vAlign w:val="center"/>
          </w:tcPr>
          <w:p w14:paraId="23199FD6">
            <w:pPr>
              <w:adjustRightInd w:val="0"/>
              <w:snapToGrid w:val="0"/>
              <w:jc w:val="left"/>
              <w:rPr>
                <w:rFonts w:hint="eastAsia" w:ascii="宋体" w:hAnsi="宋体" w:eastAsia="宋体" w:cs="宋体"/>
                <w:color w:val="auto"/>
                <w:sz w:val="24"/>
                <w:szCs w:val="24"/>
                <w:highlight w:val="none"/>
              </w:rPr>
            </w:pPr>
          </w:p>
        </w:tc>
      </w:tr>
      <w:tr w14:paraId="138C93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AF7D3EE">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08A1C50">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第14.1（3）项</w:t>
            </w:r>
          </w:p>
        </w:tc>
        <w:tc>
          <w:tcPr>
            <w:tcW w:w="1742" w:type="dxa"/>
            <w:vAlign w:val="center"/>
          </w:tcPr>
          <w:p w14:paraId="5D6D1482">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运行监督、维修期限</w:t>
            </w:r>
          </w:p>
        </w:tc>
        <w:tc>
          <w:tcPr>
            <w:tcW w:w="5170" w:type="dxa"/>
            <w:vAlign w:val="center"/>
          </w:tcPr>
          <w:p w14:paraId="3CB8AB33">
            <w:pPr>
              <w:adjustRightInd w:val="0"/>
              <w:snapToGrid w:val="0"/>
              <w:jc w:val="left"/>
              <w:rPr>
                <w:rFonts w:hint="eastAsia" w:ascii="宋体" w:hAnsi="宋体" w:eastAsia="宋体" w:cs="宋体"/>
                <w:color w:val="auto"/>
                <w:sz w:val="24"/>
                <w:szCs w:val="24"/>
                <w:highlight w:val="none"/>
              </w:rPr>
            </w:pPr>
          </w:p>
        </w:tc>
      </w:tr>
      <w:tr w14:paraId="01AA70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30561C4">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0845200">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第14.1（5）项</w:t>
            </w:r>
          </w:p>
        </w:tc>
        <w:tc>
          <w:tcPr>
            <w:tcW w:w="1742" w:type="dxa"/>
            <w:vAlign w:val="center"/>
          </w:tcPr>
          <w:p w14:paraId="7F4AB3DF">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货物回收的约定</w:t>
            </w:r>
          </w:p>
        </w:tc>
        <w:tc>
          <w:tcPr>
            <w:tcW w:w="5170" w:type="dxa"/>
            <w:vAlign w:val="center"/>
          </w:tcPr>
          <w:p w14:paraId="6FE36519">
            <w:pPr>
              <w:adjustRightInd w:val="0"/>
              <w:snapToGrid w:val="0"/>
              <w:jc w:val="left"/>
              <w:rPr>
                <w:rFonts w:hint="eastAsia" w:ascii="宋体" w:hAnsi="宋体" w:eastAsia="宋体" w:cs="宋体"/>
                <w:color w:val="auto"/>
                <w:sz w:val="24"/>
                <w:szCs w:val="24"/>
                <w:highlight w:val="none"/>
              </w:rPr>
            </w:pPr>
          </w:p>
        </w:tc>
      </w:tr>
      <w:tr w14:paraId="2B6667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2A27245">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D067B11">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第14.1（6）项</w:t>
            </w:r>
          </w:p>
        </w:tc>
        <w:tc>
          <w:tcPr>
            <w:tcW w:w="1742" w:type="dxa"/>
            <w:vAlign w:val="center"/>
          </w:tcPr>
          <w:p w14:paraId="6CABF5EA">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乙方提供的其他服务</w:t>
            </w:r>
          </w:p>
        </w:tc>
        <w:tc>
          <w:tcPr>
            <w:tcW w:w="5170" w:type="dxa"/>
            <w:vAlign w:val="center"/>
          </w:tcPr>
          <w:p w14:paraId="1C05F3CB">
            <w:pPr>
              <w:adjustRightInd w:val="0"/>
              <w:snapToGrid w:val="0"/>
              <w:jc w:val="left"/>
              <w:rPr>
                <w:rFonts w:hint="eastAsia" w:ascii="宋体" w:hAnsi="宋体" w:eastAsia="宋体" w:cs="宋体"/>
                <w:color w:val="auto"/>
                <w:sz w:val="24"/>
                <w:szCs w:val="24"/>
                <w:highlight w:val="none"/>
              </w:rPr>
            </w:pPr>
          </w:p>
        </w:tc>
      </w:tr>
      <w:tr w14:paraId="6AC233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2ABA789">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E46FE39">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第15.1款</w:t>
            </w:r>
          </w:p>
        </w:tc>
        <w:tc>
          <w:tcPr>
            <w:tcW w:w="1742" w:type="dxa"/>
            <w:vAlign w:val="center"/>
          </w:tcPr>
          <w:p w14:paraId="6493A72C">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修理、重作、更换相关具体规定</w:t>
            </w:r>
          </w:p>
        </w:tc>
        <w:tc>
          <w:tcPr>
            <w:tcW w:w="5170" w:type="dxa"/>
            <w:vAlign w:val="center"/>
          </w:tcPr>
          <w:p w14:paraId="0F81345B">
            <w:pPr>
              <w:adjustRightInd w:val="0"/>
              <w:snapToGrid w:val="0"/>
              <w:jc w:val="left"/>
              <w:rPr>
                <w:rFonts w:hint="eastAsia" w:ascii="宋体" w:hAnsi="宋体" w:eastAsia="宋体" w:cs="宋体"/>
                <w:color w:val="auto"/>
                <w:sz w:val="24"/>
                <w:szCs w:val="24"/>
                <w:highlight w:val="none"/>
              </w:rPr>
            </w:pPr>
          </w:p>
        </w:tc>
      </w:tr>
      <w:tr w14:paraId="2BECF9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746D736">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3BB0364">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第15.2（2）项</w:t>
            </w:r>
          </w:p>
        </w:tc>
        <w:tc>
          <w:tcPr>
            <w:tcW w:w="1742" w:type="dxa"/>
            <w:vAlign w:val="center"/>
          </w:tcPr>
          <w:p w14:paraId="287DE5D3">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迟延交货赔偿费</w:t>
            </w:r>
          </w:p>
        </w:tc>
        <w:tc>
          <w:tcPr>
            <w:tcW w:w="5170" w:type="dxa"/>
            <w:vAlign w:val="center"/>
          </w:tcPr>
          <w:p w14:paraId="00E6A8F9">
            <w:pPr>
              <w:adjustRightInd w:val="0"/>
              <w:snapToGrid w:val="0"/>
              <w:jc w:val="left"/>
              <w:rPr>
                <w:rFonts w:hint="eastAsia" w:ascii="宋体" w:hAnsi="宋体" w:eastAsia="宋体" w:cs="宋体"/>
                <w:color w:val="auto"/>
                <w:sz w:val="24"/>
                <w:szCs w:val="24"/>
                <w:highlight w:val="none"/>
                <w:u w:val="single"/>
              </w:rPr>
            </w:pPr>
          </w:p>
        </w:tc>
      </w:tr>
      <w:tr w14:paraId="365A00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D26C192">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12DCD525">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第15.3款</w:t>
            </w:r>
          </w:p>
        </w:tc>
        <w:tc>
          <w:tcPr>
            <w:tcW w:w="1742" w:type="dxa"/>
            <w:vAlign w:val="center"/>
          </w:tcPr>
          <w:p w14:paraId="3CE9B92B">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逾期付款利息</w:t>
            </w:r>
          </w:p>
        </w:tc>
        <w:tc>
          <w:tcPr>
            <w:tcW w:w="5170" w:type="dxa"/>
            <w:vAlign w:val="center"/>
          </w:tcPr>
          <w:p w14:paraId="6D718075">
            <w:pPr>
              <w:adjustRightInd w:val="0"/>
              <w:snapToGrid w:val="0"/>
              <w:jc w:val="left"/>
              <w:rPr>
                <w:rFonts w:hint="eastAsia" w:ascii="宋体" w:hAnsi="宋体" w:eastAsia="宋体" w:cs="宋体"/>
                <w:color w:val="auto"/>
                <w:sz w:val="24"/>
                <w:szCs w:val="24"/>
                <w:highlight w:val="none"/>
                <w:u w:val="single"/>
              </w:rPr>
            </w:pPr>
          </w:p>
        </w:tc>
      </w:tr>
      <w:tr w14:paraId="66D822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35D387AC">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F08ADA6">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第15.4款</w:t>
            </w:r>
          </w:p>
        </w:tc>
        <w:tc>
          <w:tcPr>
            <w:tcW w:w="1742" w:type="dxa"/>
            <w:tcBorders>
              <w:left w:val="single" w:color="auto" w:sz="2" w:space="0"/>
              <w:bottom w:val="single" w:color="auto" w:sz="2" w:space="0"/>
              <w:right w:val="single" w:color="auto" w:sz="2" w:space="0"/>
            </w:tcBorders>
            <w:vAlign w:val="center"/>
          </w:tcPr>
          <w:p w14:paraId="5AFA7CD0">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其他违约责任</w:t>
            </w:r>
          </w:p>
        </w:tc>
        <w:tc>
          <w:tcPr>
            <w:tcW w:w="5170" w:type="dxa"/>
            <w:tcBorders>
              <w:left w:val="single" w:color="auto" w:sz="2" w:space="0"/>
              <w:bottom w:val="single" w:color="auto" w:sz="2" w:space="0"/>
            </w:tcBorders>
            <w:vAlign w:val="center"/>
          </w:tcPr>
          <w:p w14:paraId="56932AA7">
            <w:pPr>
              <w:adjustRightInd w:val="0"/>
              <w:snapToGrid w:val="0"/>
              <w:jc w:val="left"/>
              <w:rPr>
                <w:rFonts w:hint="eastAsia" w:ascii="宋体" w:hAnsi="宋体" w:eastAsia="宋体" w:cs="宋体"/>
                <w:color w:val="auto"/>
                <w:sz w:val="24"/>
                <w:szCs w:val="24"/>
                <w:highlight w:val="none"/>
                <w:u w:val="single"/>
              </w:rPr>
            </w:pPr>
          </w:p>
        </w:tc>
      </w:tr>
      <w:tr w14:paraId="0F5120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0CB0A6E7">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FFF9EF1">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第19.2款</w:t>
            </w:r>
          </w:p>
        </w:tc>
        <w:tc>
          <w:tcPr>
            <w:tcW w:w="1742" w:type="dxa"/>
            <w:tcBorders>
              <w:top w:val="single" w:color="auto" w:sz="2" w:space="0"/>
              <w:left w:val="single" w:color="auto" w:sz="2" w:space="0"/>
              <w:right w:val="single" w:color="auto" w:sz="2" w:space="0"/>
            </w:tcBorders>
            <w:vAlign w:val="center"/>
          </w:tcPr>
          <w:p w14:paraId="3C817824">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解决争议的方法</w:t>
            </w:r>
          </w:p>
        </w:tc>
        <w:tc>
          <w:tcPr>
            <w:tcW w:w="5170" w:type="dxa"/>
            <w:tcBorders>
              <w:top w:val="single" w:color="auto" w:sz="2" w:space="0"/>
              <w:left w:val="single" w:color="auto" w:sz="2" w:space="0"/>
            </w:tcBorders>
            <w:vAlign w:val="center"/>
          </w:tcPr>
          <w:p w14:paraId="4DEAC8D5">
            <w:pPr>
              <w:autoSpaceDE w:val="0"/>
              <w:autoSpaceDN w:val="0"/>
              <w:adjustRightInd w:val="0"/>
              <w:snapToGrid w:val="0"/>
              <w:jc w:val="left"/>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因本合同及合同有关事项发生的争议，按下列第</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种方式解决：</w:t>
            </w:r>
          </w:p>
          <w:p w14:paraId="43275F5B">
            <w:pPr>
              <w:autoSpaceDE w:val="0"/>
              <w:autoSpaceDN w:val="0"/>
              <w:adjustRightInd w:val="0"/>
              <w:snapToGrid w:val="0"/>
              <w:jc w:val="left"/>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（1）向</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仲裁委员会申请仲裁，仲裁地点为</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w:t>
            </w:r>
          </w:p>
          <w:p w14:paraId="588206F1">
            <w:pPr>
              <w:adjustRightInd w:val="0"/>
              <w:snapToGrid w:val="0"/>
              <w:jc w:val="left"/>
              <w:rPr>
                <w:rFonts w:hint="eastAsia" w:ascii="宋体" w:hAnsi="宋体" w:eastAsia="宋体" w:cs="宋体"/>
                <w:color w:val="auto"/>
                <w:sz w:val="24"/>
                <w:szCs w:val="24"/>
                <w:highlight w:val="none"/>
                <w:u w:val="single"/>
              </w:rPr>
            </w:pPr>
            <w:r>
              <w:rPr>
                <w:rFonts w:hint="eastAsia" w:ascii="宋体" w:hAnsi="宋体" w:eastAsia="宋体" w:cs="宋体"/>
                <w:iCs/>
                <w:color w:val="auto"/>
                <w:sz w:val="24"/>
                <w:szCs w:val="24"/>
                <w:highlight w:val="none"/>
              </w:rPr>
              <w:t>（2）向</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人民法院起诉。</w:t>
            </w:r>
          </w:p>
        </w:tc>
      </w:tr>
      <w:tr w14:paraId="5C8C74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3648282F">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93A5E28">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第23.1款</w:t>
            </w:r>
          </w:p>
        </w:tc>
        <w:tc>
          <w:tcPr>
            <w:tcW w:w="1742" w:type="dxa"/>
            <w:vAlign w:val="center"/>
          </w:tcPr>
          <w:p w14:paraId="1F3AD829">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其他专用条款</w:t>
            </w:r>
          </w:p>
        </w:tc>
        <w:tc>
          <w:tcPr>
            <w:tcW w:w="5170" w:type="dxa"/>
            <w:vAlign w:val="center"/>
          </w:tcPr>
          <w:p w14:paraId="2F835624">
            <w:pPr>
              <w:adjustRightInd w:val="0"/>
              <w:snapToGrid w:val="0"/>
              <w:jc w:val="left"/>
              <w:rPr>
                <w:rFonts w:hint="eastAsia" w:ascii="宋体" w:hAnsi="宋体" w:eastAsia="宋体" w:cs="宋体"/>
                <w:color w:val="auto"/>
                <w:sz w:val="24"/>
                <w:szCs w:val="24"/>
                <w:highlight w:val="none"/>
              </w:rPr>
            </w:pPr>
          </w:p>
        </w:tc>
      </w:tr>
    </w:tbl>
    <w:p w14:paraId="1353A40C">
      <w:pPr>
        <w:rPr>
          <w:rFonts w:hint="eastAsia" w:ascii="宋体" w:hAnsi="宋体" w:eastAsia="宋体" w:cs="宋体"/>
          <w:color w:val="auto"/>
          <w:sz w:val="24"/>
          <w:szCs w:val="24"/>
          <w:highlight w:val="none"/>
        </w:rPr>
      </w:pPr>
    </w:p>
    <w:p w14:paraId="0AC92512">
      <w:pPr>
        <w:spacing w:line="360" w:lineRule="auto"/>
        <w:jc w:val="center"/>
        <w:outlineLvl w:val="0"/>
        <w:rPr>
          <w:rFonts w:hint="eastAsia" w:asciiTheme="minorEastAsia" w:hAnsiTheme="minorEastAsia" w:eastAsiaTheme="minorEastAsia"/>
          <w:b/>
          <w:color w:val="auto"/>
          <w:sz w:val="28"/>
          <w:highlight w:val="none"/>
        </w:rPr>
      </w:pPr>
    </w:p>
    <w:p w14:paraId="619FECAB">
      <w:pPr>
        <w:spacing w:line="360" w:lineRule="auto"/>
        <w:jc w:val="center"/>
        <w:outlineLvl w:val="0"/>
        <w:rPr>
          <w:rFonts w:hint="eastAsia" w:asciiTheme="minorEastAsia" w:hAnsiTheme="minorEastAsia" w:eastAsiaTheme="minorEastAsia"/>
          <w:b/>
          <w:color w:val="auto"/>
          <w:sz w:val="28"/>
          <w:highlight w:val="none"/>
        </w:rPr>
      </w:pPr>
    </w:p>
    <w:p w14:paraId="4F4740C0">
      <w:pPr>
        <w:spacing w:line="360" w:lineRule="auto"/>
        <w:jc w:val="center"/>
        <w:outlineLvl w:val="0"/>
        <w:rPr>
          <w:rFonts w:hint="eastAsia" w:asciiTheme="minorEastAsia" w:hAnsiTheme="minorEastAsia" w:eastAsiaTheme="minorEastAsia"/>
          <w:b/>
          <w:color w:val="auto"/>
          <w:sz w:val="28"/>
          <w:highlight w:val="none"/>
        </w:rPr>
      </w:pPr>
    </w:p>
    <w:p w14:paraId="7B8BDD6A">
      <w:pPr>
        <w:spacing w:line="360" w:lineRule="auto"/>
        <w:jc w:val="center"/>
        <w:outlineLvl w:val="0"/>
        <w:rPr>
          <w:rFonts w:hint="eastAsia" w:asciiTheme="minorEastAsia" w:hAnsiTheme="minorEastAsia" w:eastAsiaTheme="minorEastAsia"/>
          <w:b/>
          <w:color w:val="auto"/>
          <w:sz w:val="28"/>
          <w:highlight w:val="none"/>
        </w:rPr>
      </w:pPr>
    </w:p>
    <w:p w14:paraId="782ED71D">
      <w:pPr>
        <w:spacing w:line="360" w:lineRule="auto"/>
        <w:jc w:val="center"/>
        <w:outlineLvl w:val="0"/>
        <w:rPr>
          <w:rFonts w:hint="eastAsia" w:asciiTheme="minorEastAsia" w:hAnsiTheme="minorEastAsia" w:eastAsiaTheme="minorEastAsia"/>
          <w:b/>
          <w:color w:val="auto"/>
          <w:sz w:val="28"/>
          <w:highlight w:val="none"/>
        </w:rPr>
      </w:pPr>
    </w:p>
    <w:p w14:paraId="5FA0E606">
      <w:pPr>
        <w:spacing w:line="360" w:lineRule="auto"/>
        <w:jc w:val="center"/>
        <w:outlineLvl w:val="0"/>
        <w:rPr>
          <w:rFonts w:hint="eastAsia" w:asciiTheme="minorEastAsia" w:hAnsiTheme="minorEastAsia" w:eastAsiaTheme="minorEastAsia"/>
          <w:b/>
          <w:color w:val="auto"/>
          <w:sz w:val="28"/>
          <w:highlight w:val="none"/>
        </w:rPr>
      </w:pPr>
    </w:p>
    <w:p w14:paraId="493D2285">
      <w:pPr>
        <w:spacing w:line="360" w:lineRule="auto"/>
        <w:jc w:val="center"/>
        <w:outlineLvl w:val="0"/>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第六章  投标文件格式</w:t>
      </w:r>
      <w:bookmarkEnd w:id="58"/>
    </w:p>
    <w:p w14:paraId="496221B5">
      <w:pPr>
        <w:spacing w:line="900" w:lineRule="exact"/>
        <w:jc w:val="center"/>
        <w:rPr>
          <w:rFonts w:hint="eastAsia" w:asciiTheme="minorEastAsia" w:hAnsiTheme="minorEastAsia" w:eastAsiaTheme="minorEastAsia"/>
          <w:b/>
          <w:color w:val="auto"/>
          <w:sz w:val="72"/>
          <w:highlight w:val="none"/>
        </w:rPr>
      </w:pPr>
    </w:p>
    <w:p w14:paraId="154A6AF0">
      <w:pPr>
        <w:rPr>
          <w:rFonts w:hint="eastAsia" w:eastAsia="黑体"/>
          <w:color w:val="auto"/>
          <w:sz w:val="20"/>
          <w:highlight w:val="none"/>
        </w:rPr>
      </w:pPr>
      <w:bookmarkStart w:id="62" w:name="_Toc28960"/>
      <w:bookmarkStart w:id="63" w:name="_Toc5555"/>
    </w:p>
    <w:p w14:paraId="62F5452A">
      <w:pPr>
        <w:spacing w:line="900" w:lineRule="exact"/>
        <w:jc w:val="center"/>
        <w:outlineLvl w:val="1"/>
        <w:rPr>
          <w:rFonts w:hint="eastAsia" w:asciiTheme="minorEastAsia" w:hAnsiTheme="minorEastAsia" w:eastAsiaTheme="minorEastAsia"/>
          <w:b/>
          <w:color w:val="auto"/>
          <w:sz w:val="72"/>
          <w:highlight w:val="none"/>
        </w:rPr>
      </w:pPr>
      <w:bookmarkStart w:id="64" w:name="_Toc651"/>
      <w:r>
        <w:rPr>
          <w:rFonts w:hint="eastAsia" w:asciiTheme="minorEastAsia" w:hAnsiTheme="minorEastAsia" w:eastAsiaTheme="minorEastAsia"/>
          <w:b/>
          <w:color w:val="auto"/>
          <w:sz w:val="72"/>
          <w:highlight w:val="none"/>
        </w:rPr>
        <w:t>投</w:t>
      </w:r>
      <w:bookmarkEnd w:id="64"/>
    </w:p>
    <w:p w14:paraId="766B3D23">
      <w:pPr>
        <w:spacing w:line="900" w:lineRule="exact"/>
        <w:jc w:val="center"/>
        <w:rPr>
          <w:rFonts w:hint="eastAsia" w:asciiTheme="minorEastAsia" w:hAnsiTheme="minorEastAsia" w:eastAsiaTheme="minorEastAsia"/>
          <w:b/>
          <w:color w:val="auto"/>
          <w:sz w:val="72"/>
          <w:highlight w:val="none"/>
        </w:rPr>
      </w:pPr>
    </w:p>
    <w:p w14:paraId="0B15629A">
      <w:pPr>
        <w:spacing w:line="900" w:lineRule="exact"/>
        <w:jc w:val="center"/>
        <w:outlineLvl w:val="1"/>
        <w:rPr>
          <w:rFonts w:hint="eastAsia" w:asciiTheme="minorEastAsia" w:hAnsiTheme="minorEastAsia" w:eastAsiaTheme="minorEastAsia"/>
          <w:b/>
          <w:color w:val="auto"/>
          <w:sz w:val="72"/>
          <w:highlight w:val="none"/>
        </w:rPr>
      </w:pPr>
      <w:bookmarkStart w:id="65" w:name="_Toc6148"/>
      <w:r>
        <w:rPr>
          <w:rFonts w:hint="eastAsia" w:asciiTheme="minorEastAsia" w:hAnsiTheme="minorEastAsia" w:eastAsiaTheme="minorEastAsia"/>
          <w:b/>
          <w:color w:val="auto"/>
          <w:sz w:val="72"/>
          <w:highlight w:val="none"/>
        </w:rPr>
        <w:t>标</w:t>
      </w:r>
      <w:bookmarkEnd w:id="65"/>
    </w:p>
    <w:p w14:paraId="4E745D39">
      <w:pPr>
        <w:spacing w:line="900" w:lineRule="exact"/>
        <w:jc w:val="center"/>
        <w:rPr>
          <w:rFonts w:hint="eastAsia" w:asciiTheme="minorEastAsia" w:hAnsiTheme="minorEastAsia" w:eastAsiaTheme="minorEastAsia"/>
          <w:b/>
          <w:color w:val="auto"/>
          <w:sz w:val="72"/>
          <w:highlight w:val="none"/>
        </w:rPr>
      </w:pPr>
    </w:p>
    <w:p w14:paraId="61294526">
      <w:pPr>
        <w:spacing w:line="900" w:lineRule="exact"/>
        <w:jc w:val="center"/>
        <w:outlineLvl w:val="1"/>
        <w:rPr>
          <w:rFonts w:hint="eastAsia" w:asciiTheme="minorEastAsia" w:hAnsiTheme="minorEastAsia" w:eastAsiaTheme="minorEastAsia"/>
          <w:b/>
          <w:color w:val="auto"/>
          <w:sz w:val="72"/>
          <w:highlight w:val="none"/>
        </w:rPr>
      </w:pPr>
      <w:bookmarkStart w:id="66" w:name="_Toc1338"/>
      <w:r>
        <w:rPr>
          <w:rFonts w:hint="eastAsia" w:asciiTheme="minorEastAsia" w:hAnsiTheme="minorEastAsia" w:eastAsiaTheme="minorEastAsia"/>
          <w:b/>
          <w:color w:val="auto"/>
          <w:sz w:val="72"/>
          <w:highlight w:val="none"/>
        </w:rPr>
        <w:t>文</w:t>
      </w:r>
      <w:bookmarkEnd w:id="66"/>
    </w:p>
    <w:p w14:paraId="074E9CCC">
      <w:pPr>
        <w:spacing w:line="900" w:lineRule="exact"/>
        <w:jc w:val="center"/>
        <w:rPr>
          <w:rFonts w:hint="eastAsia" w:asciiTheme="minorEastAsia" w:hAnsiTheme="minorEastAsia" w:eastAsiaTheme="minorEastAsia"/>
          <w:b/>
          <w:color w:val="auto"/>
          <w:sz w:val="72"/>
          <w:highlight w:val="none"/>
        </w:rPr>
      </w:pPr>
    </w:p>
    <w:p w14:paraId="6DE1F75A">
      <w:pPr>
        <w:jc w:val="center"/>
        <w:outlineLvl w:val="1"/>
        <w:rPr>
          <w:rFonts w:hint="eastAsia" w:asciiTheme="minorEastAsia" w:hAnsiTheme="minorEastAsia" w:eastAsiaTheme="minorEastAsia"/>
          <w:b/>
          <w:color w:val="auto"/>
          <w:sz w:val="72"/>
          <w:highlight w:val="none"/>
        </w:rPr>
      </w:pPr>
      <w:bookmarkStart w:id="67" w:name="_Toc10796"/>
      <w:r>
        <w:rPr>
          <w:rFonts w:hint="eastAsia" w:asciiTheme="minorEastAsia" w:hAnsiTheme="minorEastAsia" w:eastAsiaTheme="minorEastAsia"/>
          <w:b/>
          <w:color w:val="auto"/>
          <w:sz w:val="72"/>
          <w:highlight w:val="none"/>
        </w:rPr>
        <w:t>件</w:t>
      </w:r>
      <w:bookmarkEnd w:id="67"/>
    </w:p>
    <w:p w14:paraId="10DB2F36">
      <w:pPr>
        <w:rPr>
          <w:rFonts w:hint="eastAsia" w:ascii="宋体" w:hAnsi="宋体" w:eastAsia="宋体" w:cs="宋体"/>
          <w:color w:val="auto"/>
          <w:sz w:val="28"/>
          <w:szCs w:val="28"/>
          <w:highlight w:val="none"/>
        </w:rPr>
      </w:pPr>
    </w:p>
    <w:p w14:paraId="43AED34E">
      <w:pPr>
        <w:rPr>
          <w:rFonts w:hint="eastAsia" w:ascii="宋体" w:hAnsi="宋体" w:eastAsia="宋体" w:cs="宋体"/>
          <w:color w:val="auto"/>
          <w:sz w:val="28"/>
          <w:szCs w:val="28"/>
          <w:highlight w:val="none"/>
        </w:rPr>
      </w:pPr>
    </w:p>
    <w:p w14:paraId="24ED2304">
      <w:pPr>
        <w:rPr>
          <w:rFonts w:hint="eastAsia" w:ascii="宋体" w:hAnsi="宋体" w:eastAsia="宋体" w:cs="宋体"/>
          <w:color w:val="auto"/>
          <w:sz w:val="28"/>
          <w:szCs w:val="28"/>
          <w:highlight w:val="none"/>
        </w:rPr>
      </w:pPr>
    </w:p>
    <w:p w14:paraId="38651576">
      <w:pPr>
        <w:tabs>
          <w:tab w:val="left" w:pos="2410"/>
        </w:tabs>
        <w:autoSpaceDE w:val="0"/>
        <w:autoSpaceDN w:val="0"/>
        <w:adjustRightInd w:val="0"/>
        <w:snapToGrid w:val="0"/>
        <w:spacing w:line="360" w:lineRule="auto"/>
        <w:ind w:firstLine="643" w:firstLineChars="200"/>
        <w:rPr>
          <w:rFonts w:hint="eastAsia" w:ascii="宋体" w:hAnsi="宋体" w:eastAsia="宋体"/>
          <w:b/>
          <w:color w:val="auto"/>
          <w:spacing w:val="20"/>
          <w:kern w:val="0"/>
          <w:sz w:val="32"/>
          <w:szCs w:val="32"/>
          <w:highlight w:val="none"/>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p>
    <w:p w14:paraId="18F534E0">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p>
    <w:p w14:paraId="11FA2329">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投 标 人：</w:t>
      </w:r>
      <w:r>
        <w:rPr>
          <w:rFonts w:hint="eastAsia" w:asciiTheme="minorEastAsia" w:hAnsiTheme="minorEastAsia" w:eastAsiaTheme="minorEastAsia"/>
          <w:b/>
          <w:color w:val="auto"/>
          <w:sz w:val="32"/>
          <w:highlight w:val="none"/>
          <w:u w:val="single"/>
        </w:rPr>
        <w:t xml:space="preserve">                  </w:t>
      </w:r>
    </w:p>
    <w:p w14:paraId="44238EB2">
      <w:pPr>
        <w:spacing w:line="480" w:lineRule="auto"/>
        <w:ind w:firstLine="560" w:firstLineChars="200"/>
        <w:rPr>
          <w:rFonts w:hint="eastAsia" w:ascii="宋体" w:hAnsi="宋体" w:eastAsia="宋体" w:cs="宋体"/>
          <w:color w:val="auto"/>
          <w:sz w:val="28"/>
          <w:szCs w:val="28"/>
          <w:highlight w:val="none"/>
        </w:rPr>
      </w:pPr>
    </w:p>
    <w:p w14:paraId="23262259">
      <w:pPr>
        <w:spacing w:line="48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09008874">
      <w:pPr>
        <w:spacing w:line="400" w:lineRule="exact"/>
        <w:ind w:firstLine="562" w:firstLineChars="200"/>
        <w:rPr>
          <w:rFonts w:hint="eastAsia" w:ascii="宋体" w:hAnsi="宋体" w:eastAsia="宋体" w:cs="宋体"/>
          <w:b/>
          <w:color w:val="auto"/>
          <w:sz w:val="28"/>
          <w:szCs w:val="28"/>
          <w:highlight w:val="none"/>
          <w:lang w:bidi="ar"/>
        </w:rPr>
      </w:pPr>
    </w:p>
    <w:p w14:paraId="51265696">
      <w:pPr>
        <w:spacing w:line="360" w:lineRule="auto"/>
        <w:jc w:val="center"/>
        <w:outlineLvl w:val="1"/>
        <w:rPr>
          <w:rFonts w:hint="eastAsia" w:asciiTheme="minorEastAsia" w:hAnsiTheme="minorEastAsia" w:eastAsiaTheme="minorEastAsia"/>
          <w:b/>
          <w:color w:val="auto"/>
          <w:sz w:val="24"/>
          <w:highlight w:val="none"/>
        </w:rPr>
      </w:pPr>
    </w:p>
    <w:p w14:paraId="371241DA">
      <w:pPr>
        <w:widowControl/>
        <w:ind w:firstLine="65"/>
        <w:jc w:val="center"/>
        <w:rPr>
          <w:rFonts w:hint="eastAsia" w:ascii="宋体" w:hAnsi="宋体" w:eastAsia="宋体" w:cs="宋体"/>
          <w:b/>
          <w:color w:val="auto"/>
          <w:sz w:val="36"/>
          <w:szCs w:val="36"/>
          <w:highlight w:val="none"/>
          <w:lang w:bidi="ar"/>
        </w:rPr>
      </w:pPr>
    </w:p>
    <w:p w14:paraId="159D5AE0">
      <w:pPr>
        <w:widowControl/>
        <w:ind w:firstLine="65"/>
        <w:jc w:val="center"/>
        <w:rPr>
          <w:rFonts w:ascii="Times New Roman" w:hAnsi="Times New Roman" w:eastAsia="宋体" w:cs="Times New Roman"/>
          <w:b/>
          <w:color w:val="auto"/>
          <w:sz w:val="44"/>
          <w:szCs w:val="44"/>
          <w:highlight w:val="none"/>
        </w:rPr>
      </w:pPr>
      <w:r>
        <w:rPr>
          <w:rFonts w:hint="eastAsia" w:ascii="宋体" w:hAnsi="宋体" w:eastAsia="宋体" w:cs="宋体"/>
          <w:b/>
          <w:color w:val="auto"/>
          <w:sz w:val="36"/>
          <w:szCs w:val="36"/>
          <w:highlight w:val="none"/>
          <w:lang w:bidi="ar"/>
        </w:rPr>
        <w:t>目</w:t>
      </w:r>
      <w:r>
        <w:rPr>
          <w:rFonts w:hint="eastAsia" w:ascii="Times New Roman" w:hAnsi="Times New Roman" w:eastAsia="宋体" w:cs="Times New Roman"/>
          <w:b/>
          <w:color w:val="auto"/>
          <w:sz w:val="36"/>
          <w:szCs w:val="36"/>
          <w:highlight w:val="none"/>
          <w:lang w:bidi="ar"/>
        </w:rPr>
        <w:t xml:space="preserve">   </w:t>
      </w:r>
      <w:r>
        <w:rPr>
          <w:rFonts w:hint="eastAsia" w:ascii="宋体" w:hAnsi="宋体" w:eastAsia="宋体" w:cs="宋体"/>
          <w:b/>
          <w:color w:val="auto"/>
          <w:sz w:val="36"/>
          <w:szCs w:val="36"/>
          <w:highlight w:val="none"/>
          <w:lang w:bidi="ar"/>
        </w:rPr>
        <w:t>录</w:t>
      </w:r>
    </w:p>
    <w:p w14:paraId="50B4017D">
      <w:pPr>
        <w:spacing w:line="400" w:lineRule="exact"/>
        <w:ind w:firstLine="562" w:firstLineChars="200"/>
        <w:rPr>
          <w:rFonts w:ascii="Times New Roman" w:hAnsi="Times New Roman" w:eastAsia="宋体" w:cs="Times New Roman"/>
          <w:b/>
          <w:color w:val="auto"/>
          <w:sz w:val="28"/>
          <w:szCs w:val="28"/>
          <w:highlight w:val="none"/>
        </w:rPr>
      </w:pPr>
      <w:r>
        <w:rPr>
          <w:rFonts w:hint="eastAsia" w:ascii="Times New Roman" w:hAnsi="Times New Roman" w:eastAsia="宋体" w:cs="Times New Roman"/>
          <w:b/>
          <w:color w:val="auto"/>
          <w:sz w:val="28"/>
          <w:szCs w:val="28"/>
          <w:highlight w:val="none"/>
          <w:lang w:bidi="ar"/>
        </w:rPr>
        <w:t xml:space="preserve"> </w:t>
      </w:r>
    </w:p>
    <w:p w14:paraId="24AA0881">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 xml:space="preserve">资格声明书（格式见附件）；                                                                                                                                                                                                                                                                                                                                                                                                                                                                                                                                                                                                                                                                                                                                                                                                                                                                                                                                                                                                                                                                                                                                                                                                                                                                                                                                                                                                                                                                                                                                                                                             </w:t>
      </w:r>
    </w:p>
    <w:p w14:paraId="2A150C84">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（2）授权书（格式见附件）；</w:t>
      </w:r>
    </w:p>
    <w:p w14:paraId="048DDAA8">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（3）营业执照等证明文件；</w:t>
      </w:r>
    </w:p>
    <w:p w14:paraId="510A0312">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（4）开标一览表（格式见附件）；</w:t>
      </w:r>
    </w:p>
    <w:p w14:paraId="0824B18B">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（5）投标函（格式见附件）；</w:t>
      </w:r>
    </w:p>
    <w:p w14:paraId="02BBD979">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（6）投标报价表（格式见附件）；</w:t>
      </w:r>
    </w:p>
    <w:p w14:paraId="7B929E5E">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（7）投标响应表（格式见附件）；</w:t>
      </w:r>
    </w:p>
    <w:p w14:paraId="42D26AD2">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（8）诚信履约承诺函（格式见附件）；</w:t>
      </w:r>
    </w:p>
    <w:p w14:paraId="1D58CFA3">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（9）诚信投标承诺书（格式见附件）；</w:t>
      </w:r>
    </w:p>
    <w:p w14:paraId="73224F6B">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（10）招标文件中要求的提供的其他相关资料；</w:t>
      </w:r>
    </w:p>
    <w:p w14:paraId="064DA659">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（11）供应商认为需要提供的其他证明材料；</w:t>
      </w:r>
    </w:p>
    <w:p w14:paraId="6BF35C27">
      <w:pPr>
        <w:spacing w:line="360" w:lineRule="auto"/>
        <w:ind w:firstLine="484" w:firstLineChars="202"/>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（12）其他（如有）。</w:t>
      </w:r>
    </w:p>
    <w:p w14:paraId="3B38AD4A">
      <w:pPr>
        <w:spacing w:line="360" w:lineRule="auto"/>
        <w:jc w:val="center"/>
        <w:outlineLvl w:val="1"/>
        <w:rPr>
          <w:rFonts w:hint="eastAsia" w:asciiTheme="minorEastAsia" w:hAnsiTheme="minorEastAsia" w:eastAsiaTheme="minorEastAsia"/>
          <w:b/>
          <w:color w:val="auto"/>
          <w:sz w:val="24"/>
          <w:highlight w:val="none"/>
        </w:rPr>
      </w:pPr>
    </w:p>
    <w:p w14:paraId="096510A2">
      <w:pPr>
        <w:spacing w:line="360" w:lineRule="auto"/>
        <w:jc w:val="center"/>
        <w:outlineLvl w:val="1"/>
        <w:rPr>
          <w:rFonts w:hint="eastAsia" w:asciiTheme="minorEastAsia" w:hAnsiTheme="minorEastAsia" w:eastAsiaTheme="minorEastAsia"/>
          <w:b/>
          <w:color w:val="auto"/>
          <w:sz w:val="24"/>
          <w:highlight w:val="none"/>
        </w:rPr>
      </w:pPr>
    </w:p>
    <w:p w14:paraId="045D9EA2">
      <w:pPr>
        <w:spacing w:line="360" w:lineRule="auto"/>
        <w:jc w:val="center"/>
        <w:outlineLvl w:val="1"/>
        <w:rPr>
          <w:rFonts w:hint="eastAsia" w:asciiTheme="minorEastAsia" w:hAnsiTheme="minorEastAsia" w:eastAsiaTheme="minorEastAsia"/>
          <w:b/>
          <w:color w:val="auto"/>
          <w:sz w:val="24"/>
          <w:highlight w:val="none"/>
        </w:rPr>
      </w:pPr>
    </w:p>
    <w:p w14:paraId="38F9FA3B">
      <w:pPr>
        <w:spacing w:line="360" w:lineRule="auto"/>
        <w:jc w:val="center"/>
        <w:outlineLvl w:val="1"/>
        <w:rPr>
          <w:rFonts w:hint="eastAsia" w:asciiTheme="minorEastAsia" w:hAnsiTheme="minorEastAsia" w:eastAsiaTheme="minorEastAsia"/>
          <w:b/>
          <w:color w:val="auto"/>
          <w:sz w:val="24"/>
          <w:highlight w:val="none"/>
        </w:rPr>
      </w:pPr>
    </w:p>
    <w:p w14:paraId="38488DF3">
      <w:pPr>
        <w:spacing w:line="360" w:lineRule="auto"/>
        <w:jc w:val="center"/>
        <w:outlineLvl w:val="1"/>
        <w:rPr>
          <w:rFonts w:hint="eastAsia" w:asciiTheme="minorEastAsia" w:hAnsiTheme="minorEastAsia" w:eastAsiaTheme="minorEastAsia"/>
          <w:b/>
          <w:color w:val="auto"/>
          <w:sz w:val="24"/>
          <w:highlight w:val="none"/>
        </w:rPr>
      </w:pPr>
    </w:p>
    <w:p w14:paraId="20B7BF7B">
      <w:pPr>
        <w:spacing w:line="360" w:lineRule="auto"/>
        <w:jc w:val="center"/>
        <w:outlineLvl w:val="1"/>
        <w:rPr>
          <w:rFonts w:hint="eastAsia" w:asciiTheme="minorEastAsia" w:hAnsiTheme="minorEastAsia" w:eastAsiaTheme="minorEastAsia"/>
          <w:b/>
          <w:color w:val="auto"/>
          <w:sz w:val="24"/>
          <w:highlight w:val="none"/>
        </w:rPr>
      </w:pPr>
    </w:p>
    <w:p w14:paraId="64C5B58F">
      <w:pPr>
        <w:spacing w:line="360" w:lineRule="auto"/>
        <w:jc w:val="center"/>
        <w:outlineLvl w:val="1"/>
        <w:rPr>
          <w:rFonts w:hint="eastAsia" w:asciiTheme="minorEastAsia" w:hAnsiTheme="minorEastAsia" w:eastAsiaTheme="minorEastAsia"/>
          <w:b/>
          <w:color w:val="auto"/>
          <w:sz w:val="24"/>
          <w:highlight w:val="none"/>
        </w:rPr>
      </w:pPr>
    </w:p>
    <w:p w14:paraId="1184F2DF">
      <w:pPr>
        <w:spacing w:line="360" w:lineRule="auto"/>
        <w:jc w:val="center"/>
        <w:outlineLvl w:val="1"/>
        <w:rPr>
          <w:rFonts w:hint="eastAsia" w:asciiTheme="minorEastAsia" w:hAnsiTheme="minorEastAsia" w:eastAsiaTheme="minorEastAsia"/>
          <w:b/>
          <w:color w:val="auto"/>
          <w:sz w:val="24"/>
          <w:highlight w:val="none"/>
        </w:rPr>
      </w:pPr>
    </w:p>
    <w:p w14:paraId="2D4165A2">
      <w:pPr>
        <w:spacing w:line="360" w:lineRule="auto"/>
        <w:jc w:val="center"/>
        <w:outlineLvl w:val="1"/>
        <w:rPr>
          <w:rFonts w:hint="eastAsia" w:asciiTheme="minorEastAsia" w:hAnsiTheme="minorEastAsia" w:eastAsiaTheme="minorEastAsia"/>
          <w:b/>
          <w:color w:val="auto"/>
          <w:sz w:val="24"/>
          <w:highlight w:val="none"/>
        </w:rPr>
      </w:pPr>
    </w:p>
    <w:p w14:paraId="51DD19B5">
      <w:pPr>
        <w:spacing w:line="360" w:lineRule="auto"/>
        <w:jc w:val="center"/>
        <w:outlineLvl w:val="1"/>
        <w:rPr>
          <w:rFonts w:hint="eastAsia" w:asciiTheme="minorEastAsia" w:hAnsiTheme="minorEastAsia" w:eastAsiaTheme="minorEastAsia"/>
          <w:b/>
          <w:color w:val="auto"/>
          <w:sz w:val="24"/>
          <w:highlight w:val="none"/>
        </w:rPr>
      </w:pPr>
    </w:p>
    <w:p w14:paraId="0EA53FEC">
      <w:pPr>
        <w:spacing w:line="360" w:lineRule="auto"/>
        <w:jc w:val="center"/>
        <w:outlineLvl w:val="1"/>
        <w:rPr>
          <w:rFonts w:hint="eastAsia" w:asciiTheme="minorEastAsia" w:hAnsiTheme="minorEastAsia" w:eastAsiaTheme="minorEastAsia"/>
          <w:b/>
          <w:color w:val="auto"/>
          <w:sz w:val="24"/>
          <w:highlight w:val="none"/>
        </w:rPr>
      </w:pPr>
    </w:p>
    <w:p w14:paraId="7254E555">
      <w:pPr>
        <w:pStyle w:val="25"/>
        <w:rPr>
          <w:rFonts w:hint="eastAsia"/>
          <w:color w:val="auto"/>
          <w:highlight w:val="none"/>
        </w:rPr>
      </w:pPr>
    </w:p>
    <w:p w14:paraId="3E32712A">
      <w:pPr>
        <w:spacing w:line="360" w:lineRule="auto"/>
        <w:jc w:val="center"/>
        <w:outlineLvl w:val="1"/>
        <w:rPr>
          <w:rFonts w:hint="eastAsia" w:asciiTheme="minorEastAsia" w:hAnsiTheme="minorEastAsia" w:eastAsiaTheme="minorEastAsia"/>
          <w:b/>
          <w:color w:val="auto"/>
          <w:sz w:val="24"/>
          <w:highlight w:val="none"/>
        </w:rPr>
      </w:pPr>
    </w:p>
    <w:p w14:paraId="13FD778C">
      <w:pPr>
        <w:spacing w:line="360" w:lineRule="auto"/>
        <w:jc w:val="center"/>
        <w:outlineLvl w:val="1"/>
        <w:rPr>
          <w:rFonts w:hint="eastAsia" w:asciiTheme="minorEastAsia" w:hAnsiTheme="minorEastAsia" w:eastAsiaTheme="minorEastAsia"/>
          <w:b/>
          <w:color w:val="auto"/>
          <w:sz w:val="24"/>
          <w:highlight w:val="none"/>
        </w:rPr>
      </w:pPr>
    </w:p>
    <w:p w14:paraId="747F6EA1">
      <w:pPr>
        <w:spacing w:line="360" w:lineRule="auto"/>
        <w:jc w:val="center"/>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 xml:space="preserve">一、投标人资格声明书 </w:t>
      </w:r>
    </w:p>
    <w:p w14:paraId="57C401EF">
      <w:pPr>
        <w:pStyle w:val="21"/>
        <w:spacing w:before="0" w:beforeAutospacing="0" w:after="0" w:afterAutospacing="0" w:line="360" w:lineRule="auto"/>
        <w:ind w:firstLine="482"/>
        <w:jc w:val="both"/>
        <w:rPr>
          <w:rFonts w:hint="eastAsia" w:ascii="宋体" w:hAnsi="宋体" w:eastAsia="宋体" w:cs="宋体"/>
          <w:b/>
          <w:color w:val="auto"/>
          <w:kern w:val="2"/>
          <w:szCs w:val="24"/>
          <w:highlight w:val="none"/>
        </w:rPr>
      </w:pPr>
      <w:r>
        <w:rPr>
          <w:rFonts w:hint="eastAsia" w:ascii="宋体" w:hAnsi="宋体" w:eastAsia="宋体" w:cs="宋体"/>
          <w:b/>
          <w:color w:val="auto"/>
          <w:kern w:val="2"/>
          <w:szCs w:val="24"/>
          <w:highlight w:val="none"/>
          <w:lang w:bidi="ar"/>
        </w:rPr>
        <w:t>致：</w:t>
      </w:r>
      <w:r>
        <w:rPr>
          <w:rFonts w:hint="eastAsia" w:ascii="宋体" w:hAnsi="宋体" w:eastAsia="宋体" w:cs="宋体"/>
          <w:b/>
          <w:color w:val="auto"/>
          <w:kern w:val="2"/>
          <w:szCs w:val="24"/>
          <w:highlight w:val="none"/>
          <w:u w:val="single"/>
          <w:lang w:bidi="ar"/>
        </w:rPr>
        <w:t>采购人</w:t>
      </w:r>
    </w:p>
    <w:p w14:paraId="158B19F3">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在参与本次项目投标中，我单位承诺：</w:t>
      </w:r>
    </w:p>
    <w:p w14:paraId="146F36E1">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（一）具有良好的商业信誉和健全的财务会计制度；</w:t>
      </w:r>
    </w:p>
    <w:p w14:paraId="099900AD">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（二）具有履行合同所必需的设备和专业技术能力；</w:t>
      </w:r>
    </w:p>
    <w:p w14:paraId="4DBBA365">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（三）有依法缴纳税收和社会保障资金的良好记录；</w:t>
      </w:r>
    </w:p>
    <w:p w14:paraId="32783C86">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9B6AA8F">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（五）我单位不存在为采购项目提供整体设计、规范编制或者项目管理、监理、检测等服务后，再参加该采购项目的其他采购活动的情形（单一来源采购项目除外）；</w:t>
      </w:r>
    </w:p>
    <w:p w14:paraId="7FBA0D88">
      <w:pPr>
        <w:widowControl/>
        <w:autoSpaceDE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（六）与我单位存在单位负责人为同一人或者存在直接控股、管理关系的其他法人单位信息如下（如有，不论其是否参加同一合同项下的政府采购活动均须填写）：</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AD0A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1FA61597">
            <w:pPr>
              <w:widowControl/>
              <w:autoSpaceDE w:val="0"/>
              <w:spacing w:before="156" w:beforeLines="50" w:after="1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序号</w:t>
            </w:r>
          </w:p>
        </w:tc>
        <w:tc>
          <w:tcPr>
            <w:tcW w:w="2841" w:type="dxa"/>
            <w:tcBorders>
              <w:top w:val="single" w:color="auto" w:sz="4" w:space="0"/>
              <w:left w:val="nil"/>
              <w:bottom w:val="single" w:color="auto" w:sz="4" w:space="0"/>
              <w:right w:val="single" w:color="auto" w:sz="4" w:space="0"/>
            </w:tcBorders>
            <w:shd w:val="clear" w:color="auto" w:fill="auto"/>
          </w:tcPr>
          <w:p w14:paraId="41970D02">
            <w:pPr>
              <w:pStyle w:val="21"/>
              <w:autoSpaceDE w:val="0"/>
              <w:spacing w:before="156" w:beforeLines="50" w:beforeAutospacing="0" w:after="10" w:afterAutospacing="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单位名称</w:t>
            </w:r>
          </w:p>
        </w:tc>
        <w:tc>
          <w:tcPr>
            <w:tcW w:w="2841" w:type="dxa"/>
            <w:tcBorders>
              <w:top w:val="single" w:color="auto" w:sz="4" w:space="0"/>
              <w:left w:val="nil"/>
              <w:bottom w:val="single" w:color="auto" w:sz="4" w:space="0"/>
              <w:right w:val="single" w:color="auto" w:sz="4" w:space="0"/>
            </w:tcBorders>
            <w:shd w:val="clear" w:color="auto" w:fill="auto"/>
          </w:tcPr>
          <w:p w14:paraId="5ADAE6AF">
            <w:pPr>
              <w:pStyle w:val="21"/>
              <w:autoSpaceDE w:val="0"/>
              <w:spacing w:before="156" w:beforeLines="50" w:beforeAutospacing="0" w:after="10" w:afterAutospacing="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相互关系</w:t>
            </w:r>
          </w:p>
        </w:tc>
      </w:tr>
      <w:tr w14:paraId="59AC3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510C6E55">
            <w:pPr>
              <w:pStyle w:val="21"/>
              <w:autoSpaceDE w:val="0"/>
              <w:spacing w:before="156" w:beforeLines="50" w:beforeAutospacing="0" w:after="10" w:afterAutospacing="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1</w:t>
            </w:r>
          </w:p>
        </w:tc>
        <w:tc>
          <w:tcPr>
            <w:tcW w:w="2841" w:type="dxa"/>
            <w:tcBorders>
              <w:top w:val="single" w:color="auto" w:sz="4" w:space="0"/>
              <w:left w:val="nil"/>
              <w:bottom w:val="single" w:color="auto" w:sz="4" w:space="0"/>
              <w:right w:val="single" w:color="auto" w:sz="4" w:space="0"/>
            </w:tcBorders>
            <w:shd w:val="clear" w:color="auto" w:fill="auto"/>
          </w:tcPr>
          <w:p w14:paraId="64F1A4B1">
            <w:pPr>
              <w:pStyle w:val="21"/>
              <w:autoSpaceDE w:val="0"/>
              <w:spacing w:before="156" w:beforeLines="50" w:beforeAutospacing="0" w:after="10" w:afterAutospacing="0"/>
              <w:jc w:val="center"/>
              <w:rPr>
                <w:rFonts w:hint="eastAsia" w:ascii="宋体" w:hAnsi="宋体" w:eastAsia="宋体" w:cs="宋体"/>
                <w:color w:val="auto"/>
                <w:szCs w:val="24"/>
                <w:highlight w:val="none"/>
              </w:rPr>
            </w:pPr>
          </w:p>
        </w:tc>
        <w:tc>
          <w:tcPr>
            <w:tcW w:w="2841" w:type="dxa"/>
            <w:tcBorders>
              <w:top w:val="single" w:color="auto" w:sz="4" w:space="0"/>
              <w:left w:val="nil"/>
              <w:bottom w:val="single" w:color="auto" w:sz="4" w:space="0"/>
              <w:right w:val="single" w:color="auto" w:sz="4" w:space="0"/>
            </w:tcBorders>
            <w:shd w:val="clear" w:color="auto" w:fill="auto"/>
          </w:tcPr>
          <w:p w14:paraId="25481722">
            <w:pPr>
              <w:pStyle w:val="21"/>
              <w:autoSpaceDE w:val="0"/>
              <w:spacing w:before="156" w:beforeLines="50" w:beforeAutospacing="0" w:after="10" w:afterAutospacing="0"/>
              <w:jc w:val="center"/>
              <w:rPr>
                <w:rFonts w:hint="eastAsia" w:ascii="宋体" w:hAnsi="宋体" w:eastAsia="宋体" w:cs="宋体"/>
                <w:color w:val="auto"/>
                <w:szCs w:val="24"/>
                <w:highlight w:val="none"/>
              </w:rPr>
            </w:pPr>
          </w:p>
        </w:tc>
      </w:tr>
      <w:tr w14:paraId="5F477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3FE0FC14">
            <w:pPr>
              <w:pStyle w:val="21"/>
              <w:autoSpaceDE w:val="0"/>
              <w:spacing w:before="156" w:beforeLines="50" w:beforeAutospacing="0" w:after="10" w:afterAutospacing="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2</w:t>
            </w:r>
          </w:p>
        </w:tc>
        <w:tc>
          <w:tcPr>
            <w:tcW w:w="2841" w:type="dxa"/>
            <w:tcBorders>
              <w:top w:val="single" w:color="auto" w:sz="4" w:space="0"/>
              <w:left w:val="nil"/>
              <w:bottom w:val="single" w:color="auto" w:sz="4" w:space="0"/>
              <w:right w:val="single" w:color="auto" w:sz="4" w:space="0"/>
            </w:tcBorders>
            <w:shd w:val="clear" w:color="auto" w:fill="auto"/>
          </w:tcPr>
          <w:p w14:paraId="35336EFF">
            <w:pPr>
              <w:pStyle w:val="21"/>
              <w:autoSpaceDE w:val="0"/>
              <w:spacing w:before="156" w:beforeLines="50" w:beforeAutospacing="0" w:after="10" w:afterAutospacing="0"/>
              <w:jc w:val="center"/>
              <w:rPr>
                <w:rFonts w:hint="eastAsia" w:ascii="宋体" w:hAnsi="宋体" w:eastAsia="宋体" w:cs="宋体"/>
                <w:color w:val="auto"/>
                <w:szCs w:val="24"/>
                <w:highlight w:val="none"/>
              </w:rPr>
            </w:pPr>
          </w:p>
        </w:tc>
        <w:tc>
          <w:tcPr>
            <w:tcW w:w="2841" w:type="dxa"/>
            <w:tcBorders>
              <w:top w:val="single" w:color="auto" w:sz="4" w:space="0"/>
              <w:left w:val="nil"/>
              <w:bottom w:val="single" w:color="auto" w:sz="4" w:space="0"/>
              <w:right w:val="single" w:color="auto" w:sz="4" w:space="0"/>
            </w:tcBorders>
            <w:shd w:val="clear" w:color="auto" w:fill="auto"/>
          </w:tcPr>
          <w:p w14:paraId="1135FD6A">
            <w:pPr>
              <w:pStyle w:val="21"/>
              <w:autoSpaceDE w:val="0"/>
              <w:spacing w:before="156" w:beforeLines="50" w:beforeAutospacing="0" w:after="10" w:afterAutospacing="0"/>
              <w:jc w:val="center"/>
              <w:rPr>
                <w:rFonts w:hint="eastAsia" w:ascii="宋体" w:hAnsi="宋体" w:eastAsia="宋体" w:cs="宋体"/>
                <w:color w:val="auto"/>
                <w:szCs w:val="24"/>
                <w:highlight w:val="none"/>
              </w:rPr>
            </w:pPr>
          </w:p>
        </w:tc>
      </w:tr>
    </w:tbl>
    <w:p w14:paraId="53C5A7E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本单位对上述声明的真实性负责。如有虚假，将依法承担相应责任。</w:t>
      </w:r>
    </w:p>
    <w:p w14:paraId="60C6C372">
      <w:pPr>
        <w:spacing w:line="360" w:lineRule="auto"/>
        <w:ind w:firstLine="4800" w:firstLineChars="2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投标人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bCs/>
          <w:color w:val="auto"/>
          <w:sz w:val="24"/>
          <w:szCs w:val="24"/>
          <w:highlight w:val="none"/>
          <w:u w:val="single"/>
          <w:lang w:bidi="ar"/>
        </w:rPr>
        <w:t>（盖 章）</w:t>
      </w:r>
      <w:r>
        <w:rPr>
          <w:rFonts w:hint="eastAsia" w:ascii="宋体" w:hAnsi="宋体" w:eastAsia="宋体" w:cs="宋体"/>
          <w:color w:val="auto"/>
          <w:sz w:val="24"/>
          <w:szCs w:val="24"/>
          <w:highlight w:val="none"/>
          <w:u w:val="single"/>
          <w:lang w:bidi="ar"/>
        </w:rPr>
        <w:t xml:space="preserve">          </w:t>
      </w:r>
    </w:p>
    <w:p w14:paraId="4444E2A7">
      <w:pPr>
        <w:spacing w:line="360" w:lineRule="auto"/>
        <w:ind w:firstLine="4800" w:firstLineChars="2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日   期：</w:t>
      </w:r>
      <w:r>
        <w:rPr>
          <w:rFonts w:hint="eastAsia" w:ascii="宋体" w:hAnsi="宋体" w:eastAsia="宋体" w:cs="宋体"/>
          <w:color w:val="auto"/>
          <w:sz w:val="24"/>
          <w:szCs w:val="24"/>
          <w:highlight w:val="none"/>
          <w:u w:val="single"/>
          <w:lang w:bidi="ar"/>
        </w:rPr>
        <w:t xml:space="preserve">                    </w:t>
      </w:r>
    </w:p>
    <w:p w14:paraId="21B7EC46">
      <w:pPr>
        <w:pStyle w:val="21"/>
        <w:spacing w:before="0" w:after="120" w:afterAutospacing="0"/>
        <w:ind w:firstLine="482"/>
        <w:jc w:val="center"/>
        <w:rPr>
          <w:rFonts w:hint="eastAsia"/>
          <w:b/>
          <w:color w:val="auto"/>
          <w:highlight w:val="none"/>
          <w:lang w:bidi="ar"/>
        </w:rPr>
      </w:pPr>
    </w:p>
    <w:p w14:paraId="27EFF779">
      <w:pPr>
        <w:pStyle w:val="21"/>
        <w:spacing w:before="0" w:after="120" w:afterAutospacing="0"/>
        <w:ind w:firstLine="482"/>
        <w:jc w:val="center"/>
        <w:rPr>
          <w:rFonts w:hint="eastAsia"/>
          <w:b/>
          <w:color w:val="auto"/>
          <w:highlight w:val="none"/>
          <w:lang w:bidi="ar"/>
        </w:rPr>
      </w:pPr>
    </w:p>
    <w:p w14:paraId="3BF59FB8">
      <w:pPr>
        <w:pStyle w:val="21"/>
        <w:spacing w:before="0" w:after="120" w:afterAutospacing="0"/>
        <w:ind w:firstLine="482"/>
        <w:jc w:val="center"/>
        <w:rPr>
          <w:rFonts w:hint="eastAsia"/>
          <w:b/>
          <w:color w:val="auto"/>
          <w:highlight w:val="none"/>
          <w:lang w:bidi="ar"/>
        </w:rPr>
      </w:pPr>
    </w:p>
    <w:p w14:paraId="58FD299D">
      <w:pPr>
        <w:pStyle w:val="21"/>
        <w:spacing w:before="0" w:after="120" w:afterAutospacing="0"/>
        <w:ind w:firstLine="482"/>
        <w:jc w:val="center"/>
        <w:rPr>
          <w:rFonts w:hint="eastAsia"/>
          <w:b/>
          <w:color w:val="auto"/>
          <w:highlight w:val="none"/>
          <w:lang w:bidi="ar"/>
        </w:rPr>
      </w:pPr>
    </w:p>
    <w:p w14:paraId="033248BA">
      <w:pPr>
        <w:pStyle w:val="21"/>
        <w:spacing w:before="0" w:after="120" w:afterAutospacing="0"/>
        <w:ind w:firstLine="482"/>
        <w:jc w:val="center"/>
        <w:rPr>
          <w:rFonts w:hint="eastAsia"/>
          <w:b/>
          <w:color w:val="auto"/>
          <w:highlight w:val="none"/>
          <w:lang w:bidi="ar"/>
        </w:rPr>
      </w:pPr>
    </w:p>
    <w:p w14:paraId="3B1CAF22">
      <w:pPr>
        <w:pStyle w:val="21"/>
        <w:spacing w:before="0" w:after="120" w:afterAutospacing="0"/>
        <w:ind w:firstLine="482"/>
        <w:jc w:val="center"/>
        <w:rPr>
          <w:rFonts w:hint="eastAsia"/>
          <w:b/>
          <w:color w:val="auto"/>
          <w:highlight w:val="none"/>
          <w:lang w:bidi="ar"/>
        </w:rPr>
      </w:pPr>
    </w:p>
    <w:p w14:paraId="56778198">
      <w:pPr>
        <w:pStyle w:val="21"/>
        <w:spacing w:before="0" w:after="120" w:afterAutospacing="0"/>
        <w:ind w:firstLine="482"/>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bidi="ar"/>
        </w:rPr>
        <w:t>二、授权书</w:t>
      </w:r>
    </w:p>
    <w:p w14:paraId="41B397AF">
      <w:pPr>
        <w:pStyle w:val="21"/>
        <w:spacing w:before="0" w:beforeAutospacing="0" w:after="0" w:afterAutospacing="0" w:line="360" w:lineRule="auto"/>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lang w:bidi="ar"/>
        </w:rPr>
        <w:t xml:space="preserve"> </w:t>
      </w:r>
    </w:p>
    <w:p w14:paraId="21CEEAE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本授权书声明：</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（投标人名称）授权</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（投标人授权代表姓名）代表我方参加本项目</w:t>
      </w:r>
      <w:r>
        <w:rPr>
          <w:rFonts w:hint="eastAsia" w:ascii="宋体" w:hAnsi="宋体" w:eastAsia="宋体" w:cs="宋体"/>
          <w:bCs/>
          <w:color w:val="auto"/>
          <w:sz w:val="24"/>
          <w:szCs w:val="24"/>
          <w:highlight w:val="none"/>
          <w:lang w:bidi="ar"/>
        </w:rPr>
        <w:t>采购活动</w:t>
      </w:r>
      <w:r>
        <w:rPr>
          <w:rFonts w:hint="eastAsia" w:ascii="宋体" w:hAnsi="宋体" w:eastAsia="宋体" w:cs="宋体"/>
          <w:color w:val="auto"/>
          <w:sz w:val="24"/>
          <w:szCs w:val="24"/>
          <w:highlight w:val="none"/>
          <w:lang w:bidi="ar"/>
        </w:rPr>
        <w:t>，全权代表我方处理投标过程的一切事宜，包括但不限于：提交投标文件、参与投标、谈判、签约等。投标人授权代表在投标过程中所签署的一切文件和处理与之有关的一切事务，我方均予以认可并对此承担责任。投标人授权代表无转委托权。特此授权。</w:t>
      </w:r>
    </w:p>
    <w:p w14:paraId="1A16104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本授权书自出具之日起生效。</w:t>
      </w:r>
    </w:p>
    <w:p w14:paraId="5B7A8F3D">
      <w:pPr>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授权代表身份证明复印件：</w:t>
      </w:r>
    </w:p>
    <w:p w14:paraId="07D5FA2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36EA0EE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4C4A3C8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57012956">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授权代表联系方式：</w:t>
      </w:r>
      <w:r>
        <w:rPr>
          <w:rFonts w:hint="eastAsia" w:ascii="宋体" w:hAnsi="宋体" w:eastAsia="宋体" w:cs="宋体"/>
          <w:color w:val="auto"/>
          <w:sz w:val="24"/>
          <w:szCs w:val="24"/>
          <w:highlight w:val="none"/>
          <w:u w:val="single"/>
          <w:lang w:bidi="ar"/>
        </w:rPr>
        <w:t xml:space="preserve">          （请填写手机号码）</w:t>
      </w:r>
    </w:p>
    <w:p w14:paraId="629BB2B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0A23F49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特此声明。</w:t>
      </w:r>
    </w:p>
    <w:p w14:paraId="206B241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49545B06">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投标人</w:t>
      </w:r>
      <w:r>
        <w:rPr>
          <w:rFonts w:hint="eastAsia" w:asciiTheme="minorEastAsia" w:hAnsiTheme="minorEastAsia" w:eastAsiaTheme="minorEastAsia"/>
          <w:bCs/>
          <w:color w:val="auto"/>
          <w:sz w:val="24"/>
          <w:highlight w:val="none"/>
        </w:rPr>
        <w:t>盖章</w:t>
      </w:r>
      <w:r>
        <w:rPr>
          <w:rFonts w:hint="eastAsia" w:ascii="宋体" w:hAnsi="宋体" w:eastAsia="宋体" w:cs="宋体"/>
          <w:bCs/>
          <w:color w:val="auto"/>
          <w:sz w:val="24"/>
          <w:szCs w:val="24"/>
          <w:highlight w:val="none"/>
          <w:lang w:bidi="ar"/>
        </w:rPr>
        <w:t>：</w:t>
      </w:r>
      <w:r>
        <w:rPr>
          <w:rFonts w:hint="eastAsia" w:ascii="宋体" w:hAnsi="宋体" w:eastAsia="宋体" w:cs="宋体"/>
          <w:bCs/>
          <w:color w:val="auto"/>
          <w:sz w:val="24"/>
          <w:szCs w:val="24"/>
          <w:highlight w:val="none"/>
          <w:u w:val="single"/>
          <w:lang w:bidi="ar"/>
        </w:rPr>
        <w:t xml:space="preserve">                  </w:t>
      </w:r>
    </w:p>
    <w:p w14:paraId="4434D8C2">
      <w:pPr>
        <w:spacing w:line="360" w:lineRule="auto"/>
        <w:jc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                     </w:t>
      </w:r>
      <w:r>
        <w:rPr>
          <w:rFonts w:hint="eastAsia" w:ascii="宋体" w:hAnsi="宋体" w:eastAsia="宋体" w:cs="宋体"/>
          <w:bCs/>
          <w:color w:val="auto"/>
          <w:sz w:val="24"/>
          <w:szCs w:val="24"/>
          <w:highlight w:val="none"/>
          <w:lang w:bidi="ar"/>
        </w:rPr>
        <w:t xml:space="preserve">             </w:t>
      </w:r>
      <w:r>
        <w:rPr>
          <w:rFonts w:hint="eastAsia" w:ascii="宋体" w:hAnsi="宋体" w:eastAsia="宋体" w:cs="宋体"/>
          <w:color w:val="auto"/>
          <w:sz w:val="24"/>
          <w:szCs w:val="24"/>
          <w:highlight w:val="none"/>
          <w:lang w:bidi="ar"/>
        </w:rPr>
        <w:t xml:space="preserve">                </w:t>
      </w:r>
    </w:p>
    <w:p w14:paraId="3A6C73A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日  期：</w:t>
      </w:r>
      <w:r>
        <w:rPr>
          <w:rFonts w:hint="eastAsia" w:ascii="宋体" w:hAnsi="宋体" w:eastAsia="宋体" w:cs="宋体"/>
          <w:b/>
          <w:bCs/>
          <w:color w:val="auto"/>
          <w:sz w:val="24"/>
          <w:szCs w:val="24"/>
          <w:highlight w:val="none"/>
          <w:u w:val="single"/>
          <w:lang w:bidi="ar"/>
        </w:rPr>
        <w:t xml:space="preserve">                         </w:t>
      </w:r>
    </w:p>
    <w:p w14:paraId="6D9E8E9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76D0E90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4789B2E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注：</w:t>
      </w:r>
    </w:p>
    <w:p w14:paraId="08A1024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1.本项目只允许有唯一的投标人授权代表，提供身份证明复印件；</w:t>
      </w:r>
    </w:p>
    <w:p w14:paraId="23E1977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2.法定代表人参加磋商的无需提供授权书，提供身份证明复印件。</w:t>
      </w:r>
    </w:p>
    <w:p w14:paraId="207C8E1E">
      <w:pPr>
        <w:spacing w:line="360" w:lineRule="auto"/>
        <w:jc w:val="center"/>
        <w:outlineLvl w:val="1"/>
        <w:rPr>
          <w:rFonts w:hint="eastAsia" w:asciiTheme="minorEastAsia" w:hAnsiTheme="minorEastAsia" w:eastAsiaTheme="minorEastAsia"/>
          <w:b/>
          <w:color w:val="auto"/>
          <w:sz w:val="24"/>
          <w:highlight w:val="none"/>
        </w:rPr>
      </w:pPr>
      <w:r>
        <w:rPr>
          <w:rFonts w:hint="eastAsia"/>
          <w:color w:val="auto"/>
          <w:highlight w:val="none"/>
          <w:lang w:bidi="ar"/>
        </w:rPr>
        <w:br w:type="page"/>
      </w:r>
    </w:p>
    <w:p w14:paraId="6564DF3A">
      <w:pPr>
        <w:spacing w:line="360" w:lineRule="auto"/>
        <w:jc w:val="center"/>
        <w:outlineLvl w:val="1"/>
        <w:rPr>
          <w:rFonts w:hint="eastAsia" w:asciiTheme="minorEastAsia" w:hAnsiTheme="minorEastAsia" w:eastAsiaTheme="minorEastAsia"/>
          <w:b/>
          <w:color w:val="auto"/>
          <w:sz w:val="24"/>
          <w:highlight w:val="none"/>
        </w:rPr>
      </w:pPr>
    </w:p>
    <w:p w14:paraId="69D4951A">
      <w:pPr>
        <w:spacing w:line="360" w:lineRule="auto"/>
        <w:jc w:val="center"/>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三、开标一览表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15DB1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1B68E8E7">
            <w:pPr>
              <w:widowControl/>
              <w:spacing w:line="360" w:lineRule="exact"/>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22BBB352">
            <w:pPr>
              <w:spacing w:line="360" w:lineRule="exact"/>
              <w:jc w:val="center"/>
              <w:rPr>
                <w:rFonts w:hint="eastAsia" w:asciiTheme="minorEastAsia" w:hAnsiTheme="minorEastAsia" w:eastAsiaTheme="minorEastAsia"/>
                <w:bCs/>
                <w:color w:val="auto"/>
                <w:sz w:val="24"/>
                <w:highlight w:val="none"/>
                <w:u w:val="single"/>
              </w:rPr>
            </w:pPr>
          </w:p>
        </w:tc>
      </w:tr>
      <w:tr w14:paraId="42B74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1352" w:type="pct"/>
            <w:tcBorders>
              <w:top w:val="nil"/>
            </w:tcBorders>
            <w:vAlign w:val="center"/>
          </w:tcPr>
          <w:p w14:paraId="11E5AC59">
            <w:pPr>
              <w:spacing w:line="360" w:lineRule="exact"/>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投标人全称</w:t>
            </w:r>
          </w:p>
        </w:tc>
        <w:tc>
          <w:tcPr>
            <w:tcW w:w="3648" w:type="pct"/>
            <w:tcBorders>
              <w:top w:val="nil"/>
            </w:tcBorders>
            <w:vAlign w:val="center"/>
          </w:tcPr>
          <w:p w14:paraId="331188BB">
            <w:pPr>
              <w:spacing w:line="360" w:lineRule="auto"/>
              <w:rPr>
                <w:rFonts w:hint="eastAsia" w:asciiTheme="minorEastAsia" w:hAnsiTheme="minorEastAsia" w:eastAsiaTheme="minorEastAsia"/>
                <w:color w:val="auto"/>
                <w:sz w:val="24"/>
                <w:highlight w:val="none"/>
              </w:rPr>
            </w:pPr>
          </w:p>
        </w:tc>
      </w:tr>
      <w:tr w14:paraId="6A59A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1352" w:type="pct"/>
            <w:tcBorders>
              <w:top w:val="nil"/>
            </w:tcBorders>
            <w:vAlign w:val="center"/>
          </w:tcPr>
          <w:p w14:paraId="0B8B9124">
            <w:pPr>
              <w:spacing w:line="360" w:lineRule="exact"/>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投标范围</w:t>
            </w:r>
          </w:p>
        </w:tc>
        <w:tc>
          <w:tcPr>
            <w:tcW w:w="3648" w:type="pct"/>
            <w:tcBorders>
              <w:top w:val="nil"/>
            </w:tcBorders>
            <w:vAlign w:val="center"/>
          </w:tcPr>
          <w:p w14:paraId="044BC88E">
            <w:pPr>
              <w:widowControl/>
              <w:spacing w:line="360" w:lineRule="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全部</w:t>
            </w:r>
          </w:p>
        </w:tc>
      </w:tr>
      <w:tr w14:paraId="21149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8" w:hRule="atLeast"/>
          <w:jc w:val="center"/>
        </w:trPr>
        <w:tc>
          <w:tcPr>
            <w:tcW w:w="1352" w:type="pct"/>
            <w:tcBorders>
              <w:top w:val="nil"/>
            </w:tcBorders>
            <w:vAlign w:val="center"/>
          </w:tcPr>
          <w:p w14:paraId="0C1F0AFF">
            <w:pPr>
              <w:spacing w:line="360" w:lineRule="exact"/>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投标报价</w:t>
            </w:r>
          </w:p>
        </w:tc>
        <w:tc>
          <w:tcPr>
            <w:tcW w:w="3648" w:type="pct"/>
            <w:tcBorders>
              <w:top w:val="nil"/>
            </w:tcBorders>
            <w:vAlign w:val="center"/>
          </w:tcPr>
          <w:p w14:paraId="1DF58F7D">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lang w:val="en-US" w:eastAsia="zh-CN"/>
              </w:rPr>
              <w:t>每年</w:t>
            </w:r>
            <w:r>
              <w:rPr>
                <w:rFonts w:hint="eastAsia" w:ascii="宋体" w:hAnsi="宋体" w:eastAsia="宋体" w:cs="宋体"/>
                <w:bCs/>
                <w:color w:val="auto"/>
                <w:sz w:val="24"/>
                <w:szCs w:val="24"/>
                <w:highlight w:val="none"/>
                <w:u w:val="single"/>
              </w:rPr>
              <w:t xml:space="preserve">                  </w:t>
            </w:r>
          </w:p>
          <w:p w14:paraId="6D26FC3B">
            <w:pPr>
              <w:spacing w:line="360" w:lineRule="auto"/>
              <w:ind w:right="-670"/>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lang w:val="en-US" w:eastAsia="zh-CN"/>
              </w:rPr>
              <w:t>元/年</w:t>
            </w:r>
          </w:p>
        </w:tc>
      </w:tr>
      <w:tr w14:paraId="1BD08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2DC0B971">
            <w:pPr>
              <w:spacing w:line="360" w:lineRule="auto"/>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其他</w:t>
            </w:r>
          </w:p>
        </w:tc>
        <w:tc>
          <w:tcPr>
            <w:tcW w:w="3648" w:type="pct"/>
            <w:tcBorders>
              <w:top w:val="nil"/>
            </w:tcBorders>
            <w:vAlign w:val="center"/>
          </w:tcPr>
          <w:p w14:paraId="5596F8B8">
            <w:pPr>
              <w:spacing w:line="360" w:lineRule="auto"/>
              <w:jc w:val="left"/>
              <w:rPr>
                <w:rFonts w:hint="eastAsia" w:asciiTheme="minorEastAsia" w:hAnsiTheme="minorEastAsia" w:eastAsiaTheme="minorEastAsia"/>
                <w:color w:val="auto"/>
                <w:sz w:val="24"/>
                <w:szCs w:val="28"/>
                <w:highlight w:val="none"/>
              </w:rPr>
            </w:pPr>
          </w:p>
        </w:tc>
      </w:tr>
    </w:tbl>
    <w:p w14:paraId="2AF4AE6F">
      <w:pPr>
        <w:spacing w:line="360" w:lineRule="auto"/>
        <w:ind w:firstLine="4320" w:firstLineChars="1800"/>
        <w:jc w:val="center"/>
        <w:rPr>
          <w:rFonts w:hint="eastAsia" w:asciiTheme="minorEastAsia" w:hAnsiTheme="minorEastAsia" w:eastAsiaTheme="minorEastAsia"/>
          <w:bCs/>
          <w:color w:val="auto"/>
          <w:sz w:val="24"/>
          <w:highlight w:val="none"/>
        </w:rPr>
      </w:pPr>
    </w:p>
    <w:p w14:paraId="07D4B311">
      <w:pPr>
        <w:spacing w:line="360" w:lineRule="auto"/>
        <w:ind w:firstLine="4320" w:firstLineChars="1800"/>
        <w:jc w:val="center"/>
        <w:rPr>
          <w:rFonts w:hint="eastAsia"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投标人盖章：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05E64562">
      <w:pPr>
        <w:spacing w:line="360" w:lineRule="auto"/>
        <w:ind w:firstLine="4320" w:firstLineChars="1800"/>
        <w:jc w:val="center"/>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6E006889">
      <w:pPr>
        <w:spacing w:line="360" w:lineRule="auto"/>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     </w:t>
      </w:r>
    </w:p>
    <w:p w14:paraId="20B748DB">
      <w:pPr>
        <w:spacing w:line="360" w:lineRule="auto"/>
        <w:ind w:firstLine="360" w:firstLineChars="150"/>
        <w:rPr>
          <w:rFonts w:hint="eastAsia" w:asciiTheme="minorEastAsia" w:hAnsiTheme="minorEastAsia" w:eastAsiaTheme="minorEastAsia"/>
          <w:color w:val="auto"/>
          <w:sz w:val="24"/>
          <w:highlight w:val="none"/>
        </w:rPr>
      </w:pPr>
    </w:p>
    <w:p w14:paraId="3272C16A">
      <w:pPr>
        <w:spacing w:line="360" w:lineRule="auto"/>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注：</w:t>
      </w:r>
    </w:p>
    <w:p w14:paraId="7772E0C3">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0D259034">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任何有选择或有条件的投标报价，或者表中某一包别填写多个报价，均为无效报价。</w:t>
      </w:r>
    </w:p>
    <w:p w14:paraId="7519DC0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3.表中大写金额与小写金额不一致的，以大写金额为准。</w:t>
      </w:r>
      <w:r>
        <w:rPr>
          <w:rFonts w:asciiTheme="minorEastAsia" w:hAnsiTheme="minorEastAsia" w:eastAsiaTheme="minorEastAsia"/>
          <w:color w:val="auto"/>
          <w:sz w:val="24"/>
          <w:highlight w:val="none"/>
        </w:rPr>
        <w:br w:type="page"/>
      </w:r>
    </w:p>
    <w:p w14:paraId="7C19E648">
      <w:pPr>
        <w:spacing w:line="360" w:lineRule="auto"/>
        <w:jc w:val="center"/>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四、投标函</w:t>
      </w:r>
    </w:p>
    <w:p w14:paraId="08A442C8">
      <w:pPr>
        <w:pStyle w:val="14"/>
        <w:spacing w:line="360" w:lineRule="auto"/>
        <w:rPr>
          <w:rFonts w:hint="eastAsia" w:ascii="宋体" w:hAnsi="宋体"/>
          <w:color w:val="auto"/>
          <w:sz w:val="24"/>
          <w:highlight w:val="none"/>
          <w:u w:val="single"/>
        </w:rPr>
      </w:pPr>
      <w:r>
        <w:rPr>
          <w:rFonts w:hint="eastAsia" w:ascii="宋体" w:hAnsi="宋体"/>
          <w:color w:val="auto"/>
          <w:sz w:val="24"/>
          <w:highlight w:val="none"/>
        </w:rPr>
        <w:t>致：</w:t>
      </w:r>
      <w:r>
        <w:rPr>
          <w:rFonts w:hint="eastAsia" w:ascii="宋体" w:hAnsi="宋体"/>
          <w:color w:val="auto"/>
          <w:sz w:val="24"/>
          <w:highlight w:val="none"/>
          <w:u w:val="single"/>
        </w:rPr>
        <w:t>采购人</w:t>
      </w:r>
    </w:p>
    <w:p w14:paraId="20A2B86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1D89987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42AB04E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2.我方已详细审核全部招标文件，包括招标文件附件及更正公告（如有），我方正式认可并遵守本次招标文件，并对招标文件各项条款、规定及要求均无异议。</w:t>
      </w:r>
    </w:p>
    <w:p w14:paraId="35E77BB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3.我方同意从招标文件规定的开标日期起遵循本招标文件，并在招标文件规定的投标有效期之前均具有约束力。</w:t>
      </w:r>
    </w:p>
    <w:p w14:paraId="0C82E47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14847FA8">
      <w:pPr>
        <w:spacing w:line="360" w:lineRule="auto"/>
        <w:ind w:firstLine="4800" w:firstLineChars="2000"/>
        <w:rPr>
          <w:rFonts w:hint="eastAsia" w:ascii="宋体" w:hAnsi="宋体" w:eastAsia="宋体"/>
          <w:color w:val="auto"/>
          <w:sz w:val="24"/>
          <w:highlight w:val="none"/>
        </w:rPr>
      </w:pPr>
    </w:p>
    <w:p w14:paraId="3A220741">
      <w:pPr>
        <w:spacing w:line="360" w:lineRule="auto"/>
        <w:ind w:firstLine="4800" w:firstLineChars="2000"/>
        <w:rPr>
          <w:rFonts w:hint="eastAsia" w:ascii="宋体" w:hAnsi="宋体" w:eastAsia="宋体"/>
          <w:color w:val="auto"/>
          <w:sz w:val="24"/>
          <w:highlight w:val="none"/>
          <w:u w:val="single"/>
        </w:rPr>
      </w:pPr>
      <w:r>
        <w:rPr>
          <w:rFonts w:hint="eastAsia" w:ascii="宋体" w:hAnsi="宋体" w:eastAsia="宋体"/>
          <w:color w:val="auto"/>
          <w:sz w:val="24"/>
          <w:highlight w:val="none"/>
        </w:rPr>
        <w:t>投标人盖章：</w:t>
      </w:r>
      <w:r>
        <w:rPr>
          <w:rFonts w:hint="eastAsia" w:ascii="宋体" w:hAnsi="宋体" w:eastAsia="宋体"/>
          <w:color w:val="auto"/>
          <w:sz w:val="24"/>
          <w:highlight w:val="none"/>
          <w:u w:val="single"/>
        </w:rPr>
        <w:t xml:space="preserve">             </w:t>
      </w:r>
    </w:p>
    <w:p w14:paraId="467D1D6F">
      <w:pPr>
        <w:spacing w:line="360" w:lineRule="auto"/>
        <w:ind w:firstLine="4800" w:firstLineChars="2000"/>
        <w:rPr>
          <w:rFonts w:hint="eastAsia"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48DEF67A">
      <w:pPr>
        <w:widowControl/>
        <w:jc w:val="left"/>
        <w:rPr>
          <w:rFonts w:hint="eastAsia" w:ascii="宋体" w:hAnsi="宋体" w:eastAsia="宋体"/>
          <w:color w:val="auto"/>
          <w:sz w:val="24"/>
          <w:highlight w:val="none"/>
          <w:u w:val="single"/>
        </w:rPr>
      </w:pPr>
      <w:r>
        <w:rPr>
          <w:rFonts w:ascii="宋体" w:hAnsi="宋体" w:eastAsia="宋体"/>
          <w:color w:val="auto"/>
          <w:sz w:val="24"/>
          <w:highlight w:val="none"/>
          <w:u w:val="single"/>
        </w:rPr>
        <w:br w:type="page"/>
      </w:r>
    </w:p>
    <w:p w14:paraId="2CA28747">
      <w:pPr>
        <w:spacing w:line="360" w:lineRule="auto"/>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五、投标报价表</w:t>
      </w:r>
    </w:p>
    <w:tbl>
      <w:tblPr>
        <w:tblStyle w:val="26"/>
        <w:tblW w:w="61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2532"/>
        <w:gridCol w:w="1174"/>
        <w:gridCol w:w="1220"/>
        <w:gridCol w:w="726"/>
        <w:gridCol w:w="818"/>
        <w:gridCol w:w="1530"/>
        <w:gridCol w:w="1128"/>
        <w:gridCol w:w="820"/>
      </w:tblGrid>
      <w:tr w14:paraId="3CA89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6" w:hRule="atLeast"/>
          <w:jc w:val="center"/>
        </w:trPr>
        <w:tc>
          <w:tcPr>
            <w:tcW w:w="219" w:type="pct"/>
            <w:tcBorders>
              <w:top w:val="single" w:color="auto" w:sz="4" w:space="0"/>
              <w:left w:val="single" w:color="auto" w:sz="4" w:space="0"/>
              <w:bottom w:val="single" w:color="auto" w:sz="4" w:space="0"/>
              <w:right w:val="single" w:color="auto" w:sz="4" w:space="0"/>
            </w:tcBorders>
            <w:shd w:val="clear" w:color="auto" w:fill="auto"/>
            <w:vAlign w:val="center"/>
          </w:tcPr>
          <w:p w14:paraId="722C8A47">
            <w:pPr>
              <w:pStyle w:val="21"/>
              <w:spacing w:before="0" w:beforeAutospacing="0" w:after="0" w:afterAutospacing="0"/>
              <w:jc w:val="center"/>
              <w:rPr>
                <w:rFonts w:hint="eastAsia" w:ascii="宋体" w:hAnsi="宋体" w:eastAsia="宋体" w:cs="@仿宋_GB2312"/>
                <w:b/>
                <w:color w:val="auto"/>
                <w:kern w:val="2"/>
                <w:szCs w:val="24"/>
                <w:highlight w:val="none"/>
              </w:rPr>
            </w:pPr>
            <w:r>
              <w:rPr>
                <w:rFonts w:hint="eastAsia" w:ascii="宋体" w:hAnsi="宋体" w:eastAsia="宋体" w:cs="宋体"/>
                <w:b/>
                <w:color w:val="auto"/>
                <w:kern w:val="2"/>
                <w:szCs w:val="24"/>
                <w:highlight w:val="none"/>
                <w:lang w:bidi="ar"/>
              </w:rPr>
              <w:t>序号</w:t>
            </w:r>
          </w:p>
        </w:tc>
        <w:tc>
          <w:tcPr>
            <w:tcW w:w="1216" w:type="pct"/>
            <w:tcBorders>
              <w:top w:val="single" w:color="auto" w:sz="4" w:space="0"/>
              <w:left w:val="single" w:color="auto" w:sz="4" w:space="0"/>
              <w:bottom w:val="single" w:color="auto" w:sz="4" w:space="0"/>
              <w:right w:val="single" w:color="auto" w:sz="4" w:space="0"/>
            </w:tcBorders>
            <w:shd w:val="clear" w:color="auto" w:fill="auto"/>
            <w:vAlign w:val="center"/>
          </w:tcPr>
          <w:p w14:paraId="709687A9">
            <w:pPr>
              <w:jc w:val="center"/>
              <w:rPr>
                <w:rFonts w:hint="eastAsia" w:ascii="宋体" w:hAnsi="宋体" w:eastAsia="宋体" w:cs="宋体"/>
                <w:b/>
                <w:color w:val="auto"/>
                <w:sz w:val="24"/>
                <w:szCs w:val="24"/>
                <w:highlight w:val="none"/>
                <w:lang w:bidi="ar"/>
              </w:rPr>
            </w:pPr>
            <w:r>
              <w:rPr>
                <w:rFonts w:hint="eastAsia" w:ascii="宋体" w:hAnsi="宋体" w:eastAsia="宋体" w:cs="宋体"/>
                <w:b/>
                <w:color w:val="auto"/>
                <w:sz w:val="24"/>
                <w:szCs w:val="24"/>
                <w:highlight w:val="none"/>
                <w:lang w:bidi="ar"/>
              </w:rPr>
              <w:t>名称</w:t>
            </w: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764A2C98">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品牌、型</w:t>
            </w:r>
          </w:p>
          <w:p w14:paraId="5BA2F53E">
            <w:pPr>
              <w:jc w:val="center"/>
              <w:rPr>
                <w:rFonts w:hint="eastAsia" w:ascii="宋体" w:hAnsi="宋体" w:eastAsia="宋体" w:cs="宋体"/>
                <w:b/>
                <w:color w:val="auto"/>
                <w:sz w:val="24"/>
                <w:szCs w:val="24"/>
                <w:highlight w:val="none"/>
                <w:lang w:bidi="ar"/>
              </w:rPr>
            </w:pPr>
            <w:r>
              <w:rPr>
                <w:rFonts w:hint="eastAsia" w:asciiTheme="minorEastAsia" w:hAnsiTheme="minorEastAsia" w:eastAsiaTheme="minorEastAsia"/>
                <w:b/>
                <w:color w:val="auto"/>
                <w:sz w:val="24"/>
                <w:highlight w:val="none"/>
              </w:rPr>
              <w:t>号</w:t>
            </w:r>
          </w:p>
        </w:tc>
        <w:tc>
          <w:tcPr>
            <w:tcW w:w="586" w:type="pct"/>
            <w:tcBorders>
              <w:top w:val="single" w:color="auto" w:sz="4" w:space="0"/>
              <w:left w:val="single" w:color="auto" w:sz="4" w:space="0"/>
              <w:bottom w:val="single" w:color="auto" w:sz="4" w:space="0"/>
              <w:right w:val="single" w:color="auto" w:sz="4" w:space="0"/>
            </w:tcBorders>
            <w:shd w:val="clear" w:color="auto" w:fill="auto"/>
            <w:vAlign w:val="center"/>
          </w:tcPr>
          <w:p w14:paraId="243CA000">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原产地及</w:t>
            </w:r>
          </w:p>
          <w:p w14:paraId="5BA6134A">
            <w:pPr>
              <w:jc w:val="center"/>
              <w:rPr>
                <w:rFonts w:hint="eastAsia" w:ascii="宋体" w:hAnsi="宋体" w:eastAsia="宋体" w:cs="宋体"/>
                <w:b/>
                <w:color w:val="auto"/>
                <w:sz w:val="24"/>
                <w:szCs w:val="24"/>
                <w:highlight w:val="none"/>
                <w:lang w:bidi="ar"/>
              </w:rPr>
            </w:pPr>
            <w:r>
              <w:rPr>
                <w:rFonts w:hint="eastAsia" w:asciiTheme="minorEastAsia" w:hAnsiTheme="minorEastAsia" w:eastAsiaTheme="minorEastAsia"/>
                <w:b/>
                <w:color w:val="auto"/>
                <w:sz w:val="24"/>
                <w:highlight w:val="none"/>
              </w:rPr>
              <w:t>生产厂商</w:t>
            </w:r>
          </w:p>
        </w:tc>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59DF5B39">
            <w:pPr>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eastAsia="zh-CN" w:bidi="ar"/>
              </w:rPr>
              <w:t>每年</w:t>
            </w:r>
            <w:r>
              <w:rPr>
                <w:rFonts w:hint="eastAsia" w:ascii="宋体" w:hAnsi="宋体" w:eastAsia="宋体" w:cs="宋体"/>
                <w:b/>
                <w:color w:val="auto"/>
                <w:sz w:val="24"/>
                <w:szCs w:val="24"/>
                <w:highlight w:val="none"/>
                <w:lang w:bidi="ar"/>
              </w:rPr>
              <w:t>数量</w:t>
            </w:r>
          </w:p>
        </w:tc>
        <w:tc>
          <w:tcPr>
            <w:tcW w:w="393" w:type="pct"/>
            <w:tcBorders>
              <w:top w:val="single" w:color="auto" w:sz="4" w:space="0"/>
              <w:left w:val="single" w:color="auto" w:sz="4" w:space="0"/>
              <w:bottom w:val="single" w:color="auto" w:sz="4" w:space="0"/>
              <w:right w:val="single" w:color="auto" w:sz="4" w:space="0"/>
            </w:tcBorders>
            <w:shd w:val="clear" w:color="auto" w:fill="auto"/>
            <w:vAlign w:val="center"/>
          </w:tcPr>
          <w:p w14:paraId="68BB8B39">
            <w:pPr>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单位</w:t>
            </w:r>
          </w:p>
        </w:tc>
        <w:tc>
          <w:tcPr>
            <w:tcW w:w="735" w:type="pct"/>
            <w:tcBorders>
              <w:top w:val="single" w:color="auto" w:sz="4" w:space="0"/>
              <w:left w:val="single" w:color="auto" w:sz="4" w:space="0"/>
              <w:bottom w:val="single" w:color="auto" w:sz="4" w:space="0"/>
              <w:right w:val="single" w:color="auto" w:sz="4" w:space="0"/>
            </w:tcBorders>
            <w:shd w:val="clear" w:color="auto" w:fill="auto"/>
            <w:vAlign w:val="center"/>
          </w:tcPr>
          <w:p w14:paraId="7DD8EAA9">
            <w:pPr>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综合单价</w:t>
            </w:r>
          </w:p>
          <w:p w14:paraId="05AF5740">
            <w:pPr>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（元）</w:t>
            </w:r>
          </w:p>
        </w:tc>
        <w:tc>
          <w:tcPr>
            <w:tcW w:w="542" w:type="pct"/>
            <w:tcBorders>
              <w:top w:val="single" w:color="auto" w:sz="4" w:space="0"/>
              <w:left w:val="single" w:color="auto" w:sz="4" w:space="0"/>
              <w:bottom w:val="single" w:color="auto" w:sz="4" w:space="0"/>
              <w:right w:val="single" w:color="auto" w:sz="4" w:space="0"/>
            </w:tcBorders>
            <w:shd w:val="clear" w:color="auto" w:fill="auto"/>
            <w:vAlign w:val="center"/>
          </w:tcPr>
          <w:p w14:paraId="12E7B079">
            <w:pPr>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val="en-US" w:eastAsia="zh-CN" w:bidi="ar"/>
              </w:rPr>
              <w:t>小计</w:t>
            </w:r>
            <w:r>
              <w:rPr>
                <w:rFonts w:hint="eastAsia" w:ascii="宋体" w:hAnsi="宋体" w:eastAsia="宋体" w:cs="宋体"/>
                <w:b/>
                <w:color w:val="auto"/>
                <w:sz w:val="24"/>
                <w:szCs w:val="24"/>
                <w:highlight w:val="none"/>
                <w:lang w:bidi="ar"/>
              </w:rPr>
              <w:t>（元）</w:t>
            </w:r>
          </w:p>
        </w:tc>
        <w:tc>
          <w:tcPr>
            <w:tcW w:w="392" w:type="pct"/>
            <w:tcBorders>
              <w:top w:val="single" w:color="auto" w:sz="4" w:space="0"/>
              <w:left w:val="single" w:color="auto" w:sz="4" w:space="0"/>
              <w:bottom w:val="single" w:color="auto" w:sz="4" w:space="0"/>
              <w:right w:val="single" w:color="auto" w:sz="4" w:space="0"/>
            </w:tcBorders>
            <w:shd w:val="clear" w:color="auto" w:fill="auto"/>
            <w:vAlign w:val="center"/>
          </w:tcPr>
          <w:p w14:paraId="5D69BDF0">
            <w:pPr>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备注</w:t>
            </w:r>
          </w:p>
        </w:tc>
      </w:tr>
      <w:tr w14:paraId="1EAD2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219" w:type="pct"/>
            <w:tcBorders>
              <w:top w:val="single" w:color="auto" w:sz="4" w:space="0"/>
              <w:left w:val="single" w:color="auto" w:sz="4" w:space="0"/>
              <w:bottom w:val="single" w:color="auto" w:sz="4" w:space="0"/>
              <w:right w:val="single" w:color="auto" w:sz="4" w:space="0"/>
            </w:tcBorders>
            <w:shd w:val="clear" w:color="auto" w:fill="auto"/>
            <w:vAlign w:val="center"/>
          </w:tcPr>
          <w:p w14:paraId="29F326F6">
            <w:pPr>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w:t>
            </w:r>
          </w:p>
        </w:tc>
        <w:tc>
          <w:tcPr>
            <w:tcW w:w="1216" w:type="pct"/>
            <w:tcBorders>
              <w:top w:val="single" w:color="auto" w:sz="4" w:space="0"/>
              <w:left w:val="single" w:color="auto" w:sz="4" w:space="0"/>
              <w:bottom w:val="single" w:color="auto" w:sz="4" w:space="0"/>
              <w:right w:val="single" w:color="auto" w:sz="4" w:space="0"/>
            </w:tcBorders>
            <w:shd w:val="clear" w:color="auto" w:fill="auto"/>
            <w:vAlign w:val="center"/>
          </w:tcPr>
          <w:p w14:paraId="28AA066C">
            <w:pPr>
              <w:ind w:firstLine="43" w:firstLineChars="0"/>
              <w:jc w:val="center"/>
              <w:rPr>
                <w:rFonts w:hint="eastAsia" w:ascii="宋体" w:hAnsi="宋体" w:eastAsia="宋体" w:cs="宋体"/>
                <w:color w:val="auto"/>
                <w:kern w:val="2"/>
                <w:sz w:val="24"/>
                <w:szCs w:val="24"/>
                <w:highlight w:val="none"/>
                <w:lang w:val="en-US" w:eastAsia="zh-CN" w:bidi="ar"/>
              </w:rPr>
            </w:pPr>
            <w:r>
              <w:rPr>
                <w:rFonts w:hint="eastAsia" w:ascii="宋体" w:hAnsi="宋体" w:eastAsia="宋体"/>
                <w:bCs/>
                <w:color w:val="auto"/>
                <w:kern w:val="0"/>
                <w:sz w:val="24"/>
                <w:szCs w:val="28"/>
                <w:highlight w:val="none"/>
                <w:lang w:val="en-US" w:eastAsia="zh-CN"/>
              </w:rPr>
              <w:t>水处理消毒服务</w:t>
            </w: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1DC51E33">
            <w:pPr>
              <w:jc w:val="center"/>
              <w:rPr>
                <w:rFonts w:hint="default"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w:t>
            </w:r>
          </w:p>
        </w:tc>
        <w:tc>
          <w:tcPr>
            <w:tcW w:w="586" w:type="pct"/>
            <w:tcBorders>
              <w:top w:val="single" w:color="auto" w:sz="4" w:space="0"/>
              <w:left w:val="single" w:color="auto" w:sz="4" w:space="0"/>
              <w:bottom w:val="single" w:color="auto" w:sz="4" w:space="0"/>
              <w:right w:val="single" w:color="auto" w:sz="4" w:space="0"/>
            </w:tcBorders>
            <w:shd w:val="clear" w:color="auto" w:fill="auto"/>
            <w:vAlign w:val="center"/>
          </w:tcPr>
          <w:p w14:paraId="36F151FD">
            <w:pPr>
              <w:jc w:val="center"/>
              <w:rPr>
                <w:rFonts w:hint="default"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w:t>
            </w:r>
          </w:p>
        </w:tc>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146597F8">
            <w:pPr>
              <w:jc w:val="center"/>
              <w:rPr>
                <w:rFonts w:hint="default"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24</w:t>
            </w:r>
          </w:p>
        </w:tc>
        <w:tc>
          <w:tcPr>
            <w:tcW w:w="393" w:type="pct"/>
            <w:tcBorders>
              <w:top w:val="single" w:color="auto" w:sz="4" w:space="0"/>
              <w:left w:val="single" w:color="auto" w:sz="4" w:space="0"/>
              <w:bottom w:val="single" w:color="auto" w:sz="4" w:space="0"/>
              <w:right w:val="single" w:color="auto" w:sz="4" w:space="0"/>
            </w:tcBorders>
            <w:shd w:val="clear" w:color="auto" w:fill="auto"/>
            <w:vAlign w:val="center"/>
          </w:tcPr>
          <w:p w14:paraId="2E245083">
            <w:pPr>
              <w:jc w:val="center"/>
              <w:rPr>
                <w:rFonts w:hint="default"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次</w:t>
            </w:r>
          </w:p>
        </w:tc>
        <w:tc>
          <w:tcPr>
            <w:tcW w:w="735" w:type="pct"/>
            <w:tcBorders>
              <w:top w:val="single" w:color="auto" w:sz="4" w:space="0"/>
              <w:left w:val="single" w:color="auto" w:sz="4" w:space="0"/>
              <w:bottom w:val="single" w:color="auto" w:sz="4" w:space="0"/>
              <w:right w:val="single" w:color="auto" w:sz="4" w:space="0"/>
            </w:tcBorders>
            <w:shd w:val="clear" w:color="auto" w:fill="auto"/>
            <w:vAlign w:val="center"/>
          </w:tcPr>
          <w:p w14:paraId="42317E18">
            <w:pPr>
              <w:rPr>
                <w:rFonts w:hint="eastAsia" w:ascii="宋体" w:hAnsi="宋体" w:eastAsia="宋体" w:cs="宋体"/>
                <w:color w:val="auto"/>
                <w:kern w:val="2"/>
                <w:sz w:val="24"/>
                <w:szCs w:val="24"/>
                <w:highlight w:val="none"/>
                <w:lang w:val="en-US" w:eastAsia="zh-CN" w:bidi="ar"/>
              </w:rPr>
            </w:pPr>
          </w:p>
        </w:tc>
        <w:tc>
          <w:tcPr>
            <w:tcW w:w="542" w:type="pct"/>
            <w:tcBorders>
              <w:top w:val="single" w:color="auto" w:sz="4" w:space="0"/>
              <w:left w:val="single" w:color="auto" w:sz="4" w:space="0"/>
              <w:bottom w:val="single" w:color="auto" w:sz="4" w:space="0"/>
              <w:right w:val="single" w:color="auto" w:sz="4" w:space="0"/>
            </w:tcBorders>
            <w:shd w:val="clear" w:color="auto" w:fill="auto"/>
            <w:vAlign w:val="center"/>
          </w:tcPr>
          <w:p w14:paraId="7FBF23A6">
            <w:pPr>
              <w:rPr>
                <w:rFonts w:hint="eastAsia" w:ascii="宋体" w:hAnsi="宋体" w:eastAsia="宋体"/>
                <w:color w:val="auto"/>
                <w:sz w:val="24"/>
                <w:szCs w:val="24"/>
                <w:highlight w:val="none"/>
              </w:rPr>
            </w:pPr>
          </w:p>
        </w:tc>
        <w:tc>
          <w:tcPr>
            <w:tcW w:w="392" w:type="pct"/>
            <w:tcBorders>
              <w:top w:val="single" w:color="auto" w:sz="4" w:space="0"/>
              <w:left w:val="single" w:color="auto" w:sz="4" w:space="0"/>
              <w:bottom w:val="single" w:color="auto" w:sz="4" w:space="0"/>
              <w:right w:val="single" w:color="auto" w:sz="4" w:space="0"/>
            </w:tcBorders>
            <w:shd w:val="clear" w:color="auto" w:fill="auto"/>
            <w:vAlign w:val="center"/>
          </w:tcPr>
          <w:p w14:paraId="62C79BB4">
            <w:pPr>
              <w:rPr>
                <w:rFonts w:hint="eastAsia" w:ascii="宋体" w:hAnsi="宋体" w:eastAsia="宋体"/>
                <w:color w:val="auto"/>
                <w:sz w:val="24"/>
                <w:szCs w:val="24"/>
                <w:highlight w:val="none"/>
              </w:rPr>
            </w:pPr>
          </w:p>
        </w:tc>
      </w:tr>
      <w:tr w14:paraId="02DC7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219" w:type="pct"/>
            <w:tcBorders>
              <w:top w:val="single" w:color="auto" w:sz="4" w:space="0"/>
              <w:left w:val="single" w:color="auto" w:sz="4" w:space="0"/>
              <w:bottom w:val="single" w:color="auto" w:sz="4" w:space="0"/>
              <w:right w:val="single" w:color="auto" w:sz="4" w:space="0"/>
            </w:tcBorders>
            <w:shd w:val="clear" w:color="auto" w:fill="auto"/>
            <w:vAlign w:val="center"/>
          </w:tcPr>
          <w:p w14:paraId="1D727233">
            <w:pPr>
              <w:jc w:val="center"/>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2</w:t>
            </w:r>
          </w:p>
        </w:tc>
        <w:tc>
          <w:tcPr>
            <w:tcW w:w="1216" w:type="pct"/>
            <w:tcBorders>
              <w:top w:val="single" w:color="auto" w:sz="4" w:space="0"/>
              <w:left w:val="single" w:color="auto" w:sz="4" w:space="0"/>
              <w:bottom w:val="single" w:color="auto" w:sz="4" w:space="0"/>
              <w:right w:val="single" w:color="auto" w:sz="4" w:space="0"/>
            </w:tcBorders>
            <w:shd w:val="clear" w:color="auto" w:fill="auto"/>
            <w:vAlign w:val="center"/>
          </w:tcPr>
          <w:p w14:paraId="1B0C93E5">
            <w:pPr>
              <w:ind w:firstLine="43" w:firstLineChars="0"/>
              <w:jc w:val="center"/>
              <w:rPr>
                <w:rFonts w:hint="eastAsia" w:ascii="宋体" w:hAnsi="宋体" w:eastAsia="宋体" w:cs="宋体"/>
                <w:color w:val="auto"/>
                <w:kern w:val="2"/>
                <w:sz w:val="24"/>
                <w:szCs w:val="24"/>
                <w:highlight w:val="none"/>
                <w:lang w:val="en-US" w:eastAsia="zh-CN" w:bidi="ar"/>
              </w:rPr>
            </w:pPr>
            <w:r>
              <w:rPr>
                <w:rFonts w:hint="eastAsia" w:ascii="宋体" w:hAnsi="宋体" w:eastAsia="宋体"/>
                <w:bCs/>
                <w:color w:val="auto"/>
                <w:kern w:val="0"/>
                <w:sz w:val="24"/>
                <w:szCs w:val="28"/>
                <w:highlight w:val="none"/>
                <w:lang w:val="en-US" w:eastAsia="zh-CN"/>
              </w:rPr>
              <w:t>过氧乙酸消毒液</w:t>
            </w: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3EADB3E7">
            <w:pPr>
              <w:jc w:val="center"/>
              <w:rPr>
                <w:rFonts w:hint="default" w:ascii="宋体" w:hAnsi="宋体" w:eastAsia="宋体" w:cs="宋体"/>
                <w:color w:val="auto"/>
                <w:kern w:val="2"/>
                <w:sz w:val="24"/>
                <w:szCs w:val="24"/>
                <w:highlight w:val="none"/>
                <w:lang w:val="en-US" w:eastAsia="zh-CN" w:bidi="ar"/>
              </w:rPr>
            </w:pPr>
          </w:p>
        </w:tc>
        <w:tc>
          <w:tcPr>
            <w:tcW w:w="586" w:type="pct"/>
            <w:tcBorders>
              <w:top w:val="single" w:color="auto" w:sz="4" w:space="0"/>
              <w:left w:val="single" w:color="auto" w:sz="4" w:space="0"/>
              <w:bottom w:val="single" w:color="auto" w:sz="4" w:space="0"/>
              <w:right w:val="single" w:color="auto" w:sz="4" w:space="0"/>
            </w:tcBorders>
            <w:shd w:val="clear" w:color="auto" w:fill="auto"/>
            <w:vAlign w:val="center"/>
          </w:tcPr>
          <w:p w14:paraId="7FF7AEF7">
            <w:pPr>
              <w:jc w:val="center"/>
              <w:rPr>
                <w:rFonts w:hint="default" w:ascii="宋体" w:hAnsi="宋体" w:eastAsia="宋体" w:cs="宋体"/>
                <w:color w:val="auto"/>
                <w:kern w:val="2"/>
                <w:sz w:val="24"/>
                <w:szCs w:val="24"/>
                <w:highlight w:val="none"/>
                <w:lang w:val="en-US" w:eastAsia="zh-CN" w:bidi="ar"/>
              </w:rPr>
            </w:pPr>
          </w:p>
        </w:tc>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10B17B62">
            <w:pPr>
              <w:jc w:val="center"/>
              <w:rPr>
                <w:rFonts w:hint="default"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100</w:t>
            </w:r>
          </w:p>
        </w:tc>
        <w:tc>
          <w:tcPr>
            <w:tcW w:w="393" w:type="pct"/>
            <w:tcBorders>
              <w:top w:val="single" w:color="auto" w:sz="4" w:space="0"/>
              <w:left w:val="single" w:color="auto" w:sz="4" w:space="0"/>
              <w:bottom w:val="single" w:color="auto" w:sz="4" w:space="0"/>
              <w:right w:val="single" w:color="auto" w:sz="4" w:space="0"/>
            </w:tcBorders>
            <w:shd w:val="clear" w:color="auto" w:fill="auto"/>
            <w:vAlign w:val="center"/>
          </w:tcPr>
          <w:p w14:paraId="2FDC62D5">
            <w:pPr>
              <w:jc w:val="center"/>
              <w:rPr>
                <w:rFonts w:hint="default"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桶</w:t>
            </w:r>
          </w:p>
        </w:tc>
        <w:tc>
          <w:tcPr>
            <w:tcW w:w="735" w:type="pct"/>
            <w:tcBorders>
              <w:top w:val="single" w:color="auto" w:sz="4" w:space="0"/>
              <w:left w:val="single" w:color="auto" w:sz="4" w:space="0"/>
              <w:bottom w:val="single" w:color="auto" w:sz="4" w:space="0"/>
              <w:right w:val="single" w:color="auto" w:sz="4" w:space="0"/>
            </w:tcBorders>
            <w:shd w:val="clear" w:color="auto" w:fill="auto"/>
            <w:vAlign w:val="center"/>
          </w:tcPr>
          <w:p w14:paraId="315F24DB">
            <w:pPr>
              <w:rPr>
                <w:rFonts w:hint="eastAsia" w:ascii="宋体" w:hAnsi="宋体" w:eastAsia="宋体" w:cs="宋体"/>
                <w:color w:val="auto"/>
                <w:kern w:val="2"/>
                <w:sz w:val="24"/>
                <w:szCs w:val="24"/>
                <w:highlight w:val="none"/>
                <w:lang w:val="en-US" w:eastAsia="zh-CN" w:bidi="ar"/>
              </w:rPr>
            </w:pPr>
          </w:p>
        </w:tc>
        <w:tc>
          <w:tcPr>
            <w:tcW w:w="542" w:type="pct"/>
            <w:tcBorders>
              <w:top w:val="single" w:color="auto" w:sz="4" w:space="0"/>
              <w:left w:val="single" w:color="auto" w:sz="4" w:space="0"/>
              <w:bottom w:val="single" w:color="auto" w:sz="4" w:space="0"/>
              <w:right w:val="single" w:color="auto" w:sz="4" w:space="0"/>
            </w:tcBorders>
            <w:shd w:val="clear" w:color="auto" w:fill="auto"/>
            <w:vAlign w:val="center"/>
          </w:tcPr>
          <w:p w14:paraId="402E2DEA">
            <w:pPr>
              <w:rPr>
                <w:rFonts w:hint="eastAsia" w:ascii="宋体" w:hAnsi="宋体" w:eastAsia="宋体"/>
                <w:color w:val="auto"/>
                <w:sz w:val="24"/>
                <w:szCs w:val="24"/>
                <w:highlight w:val="none"/>
              </w:rPr>
            </w:pPr>
          </w:p>
        </w:tc>
        <w:tc>
          <w:tcPr>
            <w:tcW w:w="392" w:type="pct"/>
            <w:tcBorders>
              <w:top w:val="single" w:color="auto" w:sz="4" w:space="0"/>
              <w:left w:val="single" w:color="auto" w:sz="4" w:space="0"/>
              <w:bottom w:val="single" w:color="auto" w:sz="4" w:space="0"/>
              <w:right w:val="single" w:color="auto" w:sz="4" w:space="0"/>
            </w:tcBorders>
            <w:shd w:val="clear" w:color="auto" w:fill="auto"/>
            <w:vAlign w:val="center"/>
          </w:tcPr>
          <w:p w14:paraId="46F6FBD3">
            <w:pPr>
              <w:rPr>
                <w:rFonts w:hint="eastAsia" w:ascii="宋体" w:hAnsi="宋体" w:eastAsia="宋体"/>
                <w:color w:val="auto"/>
                <w:sz w:val="24"/>
                <w:szCs w:val="24"/>
                <w:highlight w:val="none"/>
              </w:rPr>
            </w:pPr>
          </w:p>
        </w:tc>
      </w:tr>
      <w:tr w14:paraId="1DAC7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43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BA8613">
            <w:pPr>
              <w:spacing w:line="360" w:lineRule="exact"/>
              <w:rPr>
                <w:rFonts w:hint="eastAsia" w:ascii="宋体" w:hAnsi="宋体" w:eastAsia="宋体" w:cs="宋体"/>
                <w:color w:val="auto"/>
                <w:sz w:val="24"/>
                <w:szCs w:val="24"/>
                <w:highlight w:val="none"/>
                <w:lang w:bidi="ar"/>
              </w:rPr>
            </w:pPr>
            <w:r>
              <w:rPr>
                <w:rFonts w:hint="eastAsia" w:ascii="宋体" w:hAnsi="宋体" w:eastAsia="宋体" w:cs="宋体"/>
                <w:color w:val="auto"/>
                <w:kern w:val="2"/>
                <w:szCs w:val="24"/>
                <w:highlight w:val="none"/>
                <w:lang w:val="en-US" w:eastAsia="zh-CN" w:bidi="ar"/>
              </w:rPr>
              <w:t>投标总报价</w:t>
            </w:r>
            <w:r>
              <w:rPr>
                <w:rFonts w:hint="eastAsia" w:ascii="宋体" w:hAnsi="宋体" w:eastAsia="宋体" w:cs="宋体"/>
                <w:color w:val="auto"/>
                <w:kern w:val="2"/>
                <w:szCs w:val="24"/>
                <w:highlight w:val="none"/>
                <w:lang w:bidi="ar"/>
              </w:rPr>
              <w:t>合计（元）</w:t>
            </w:r>
          </w:p>
        </w:tc>
        <w:tc>
          <w:tcPr>
            <w:tcW w:w="356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557FAA13">
            <w:pPr>
              <w:spacing w:line="360" w:lineRule="exact"/>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大写：</w:t>
            </w:r>
            <w:r>
              <w:rPr>
                <w:rFonts w:hint="eastAsia" w:ascii="宋体" w:hAnsi="宋体" w:eastAsia="宋体" w:cs="宋体"/>
                <w:color w:val="auto"/>
                <w:sz w:val="24"/>
                <w:szCs w:val="24"/>
                <w:highlight w:val="none"/>
                <w:u w:val="single"/>
                <w:lang w:val="en-US" w:eastAsia="zh-CN" w:bidi="ar"/>
              </w:rPr>
              <w:t>每年</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 ；小写：</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u w:val="single"/>
                <w:lang w:val="en-US" w:eastAsia="zh-CN" w:bidi="ar"/>
              </w:rPr>
              <w:t>元/年</w:t>
            </w:r>
            <w:r>
              <w:rPr>
                <w:rFonts w:hint="eastAsia" w:ascii="宋体" w:hAnsi="宋体" w:eastAsia="宋体" w:cs="宋体"/>
                <w:color w:val="auto"/>
                <w:sz w:val="24"/>
                <w:szCs w:val="24"/>
                <w:highlight w:val="none"/>
                <w:lang w:bidi="ar"/>
              </w:rPr>
              <w:t xml:space="preserve"> 。</w:t>
            </w:r>
            <w:r>
              <w:rPr>
                <w:rFonts w:hint="eastAsia" w:ascii="宋体" w:hAnsi="宋体" w:eastAsia="宋体" w:cs="宋体"/>
                <w:b/>
                <w:bCs/>
                <w:color w:val="auto"/>
                <w:sz w:val="24"/>
                <w:szCs w:val="24"/>
                <w:highlight w:val="none"/>
                <w:lang w:bidi="ar"/>
              </w:rPr>
              <w:t>（填入开标一览表）</w:t>
            </w:r>
          </w:p>
        </w:tc>
      </w:tr>
    </w:tbl>
    <w:p w14:paraId="7D99DC96">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投标人盖章：</w:t>
      </w:r>
      <w:r>
        <w:rPr>
          <w:rFonts w:hint="eastAsia" w:ascii="宋体" w:hAnsi="宋体" w:eastAsia="宋体"/>
          <w:color w:val="auto"/>
          <w:sz w:val="24"/>
          <w:szCs w:val="24"/>
          <w:highlight w:val="none"/>
          <w:u w:val="single"/>
          <w:lang w:bidi="ar"/>
        </w:rPr>
        <w:t xml:space="preserve">             </w:t>
      </w:r>
    </w:p>
    <w:p w14:paraId="12B064C0">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日</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期：</w:t>
      </w:r>
      <w:r>
        <w:rPr>
          <w:rFonts w:hint="eastAsia" w:ascii="宋体" w:hAnsi="宋体" w:eastAsia="宋体"/>
          <w:color w:val="auto"/>
          <w:sz w:val="24"/>
          <w:szCs w:val="24"/>
          <w:highlight w:val="none"/>
          <w:u w:val="single"/>
          <w:lang w:bidi="ar"/>
        </w:rPr>
        <w:t xml:space="preserve">             </w:t>
      </w:r>
    </w:p>
    <w:p w14:paraId="1415CFC7">
      <w:pPr>
        <w:adjustRightInd w:val="0"/>
        <w:snapToGrid w:val="0"/>
        <w:spacing w:line="360" w:lineRule="auto"/>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lang w:bidi="ar"/>
        </w:rPr>
        <w:t xml:space="preserve"> </w:t>
      </w:r>
    </w:p>
    <w:p w14:paraId="191691B3">
      <w:pPr>
        <w:spacing w:line="360" w:lineRule="auto"/>
        <w:jc w:val="lef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注：表中所列</w:t>
      </w:r>
      <w:r>
        <w:rPr>
          <w:rFonts w:hint="eastAsia" w:ascii="宋体" w:hAnsi="宋体" w:eastAsia="宋体" w:cs="宋体"/>
          <w:color w:val="auto"/>
          <w:sz w:val="24"/>
          <w:szCs w:val="24"/>
          <w:highlight w:val="none"/>
          <w:lang w:val="en-US" w:eastAsia="zh-CN" w:bidi="ar"/>
        </w:rPr>
        <w:t>内容</w:t>
      </w:r>
      <w:r>
        <w:rPr>
          <w:rFonts w:hint="eastAsia" w:ascii="宋体" w:hAnsi="宋体" w:eastAsia="宋体" w:cs="宋体"/>
          <w:color w:val="auto"/>
          <w:sz w:val="24"/>
          <w:szCs w:val="24"/>
          <w:highlight w:val="none"/>
          <w:lang w:bidi="ar"/>
        </w:rPr>
        <w:t>为对应本项目需求的全部</w:t>
      </w:r>
      <w:r>
        <w:rPr>
          <w:rFonts w:hint="eastAsia" w:ascii="宋体" w:hAnsi="宋体" w:eastAsia="宋体" w:cs="宋体"/>
          <w:color w:val="auto"/>
          <w:sz w:val="24"/>
          <w:szCs w:val="24"/>
          <w:highlight w:val="none"/>
          <w:lang w:val="en-US" w:eastAsia="zh-CN" w:bidi="ar"/>
        </w:rPr>
        <w:t>服务，</w:t>
      </w:r>
      <w:r>
        <w:rPr>
          <w:rFonts w:hint="eastAsia" w:ascii="宋体" w:hAnsi="宋体" w:eastAsia="宋体" w:cs="宋体"/>
          <w:color w:val="auto"/>
          <w:sz w:val="24"/>
          <w:szCs w:val="24"/>
          <w:highlight w:val="none"/>
          <w:lang w:bidi="ar"/>
        </w:rPr>
        <w:t>报价应含有服务（货物）、利润、税金、政策性文件规定及合同包含的所有风险、责任、义务等，即为完成采购文件要求的服务内容所包含的一切应有费用。如有漏项或缺项，投标人承担全部责任。</w:t>
      </w:r>
    </w:p>
    <w:p w14:paraId="11E034A1">
      <w:pPr>
        <w:spacing w:line="360" w:lineRule="auto"/>
        <w:jc w:val="center"/>
        <w:rPr>
          <w:rFonts w:hint="eastAsia" w:ascii="宋体" w:hAnsi="宋体" w:eastAsia="宋体" w:cs="宋体"/>
          <w:b/>
          <w:color w:val="auto"/>
          <w:sz w:val="24"/>
          <w:szCs w:val="24"/>
          <w:highlight w:val="none"/>
          <w:lang w:bidi="ar"/>
        </w:rPr>
      </w:pPr>
    </w:p>
    <w:p w14:paraId="75244CDE">
      <w:pPr>
        <w:spacing w:line="360" w:lineRule="auto"/>
        <w:jc w:val="center"/>
        <w:rPr>
          <w:rFonts w:hint="eastAsia" w:ascii="宋体" w:hAnsi="宋体" w:eastAsia="宋体" w:cs="宋体"/>
          <w:b/>
          <w:color w:val="auto"/>
          <w:sz w:val="24"/>
          <w:szCs w:val="24"/>
          <w:highlight w:val="none"/>
          <w:lang w:bidi="ar"/>
        </w:rPr>
      </w:pPr>
    </w:p>
    <w:p w14:paraId="7548B7F2">
      <w:pPr>
        <w:spacing w:line="360" w:lineRule="auto"/>
        <w:jc w:val="center"/>
        <w:rPr>
          <w:rFonts w:hint="eastAsia" w:ascii="宋体" w:hAnsi="宋体" w:eastAsia="宋体" w:cs="宋体"/>
          <w:b/>
          <w:color w:val="auto"/>
          <w:sz w:val="24"/>
          <w:szCs w:val="24"/>
          <w:highlight w:val="none"/>
          <w:lang w:bidi="ar"/>
        </w:rPr>
      </w:pPr>
    </w:p>
    <w:p w14:paraId="5CE188FE">
      <w:pPr>
        <w:spacing w:line="360" w:lineRule="auto"/>
        <w:jc w:val="center"/>
        <w:rPr>
          <w:rFonts w:hint="eastAsia" w:ascii="宋体" w:hAnsi="宋体" w:eastAsia="宋体" w:cs="宋体"/>
          <w:b/>
          <w:color w:val="auto"/>
          <w:sz w:val="24"/>
          <w:szCs w:val="24"/>
          <w:highlight w:val="none"/>
          <w:lang w:bidi="ar"/>
        </w:rPr>
      </w:pPr>
    </w:p>
    <w:p w14:paraId="36C1F1F5">
      <w:pPr>
        <w:spacing w:line="360" w:lineRule="auto"/>
        <w:jc w:val="center"/>
        <w:rPr>
          <w:rFonts w:hint="eastAsia" w:ascii="宋体" w:hAnsi="宋体" w:eastAsia="宋体" w:cs="宋体"/>
          <w:b/>
          <w:color w:val="auto"/>
          <w:sz w:val="24"/>
          <w:szCs w:val="24"/>
          <w:highlight w:val="none"/>
          <w:lang w:bidi="ar"/>
        </w:rPr>
      </w:pPr>
    </w:p>
    <w:p w14:paraId="7193E6FA">
      <w:pPr>
        <w:spacing w:line="360" w:lineRule="auto"/>
        <w:jc w:val="center"/>
        <w:rPr>
          <w:rFonts w:hint="eastAsia" w:ascii="宋体" w:hAnsi="宋体" w:eastAsia="宋体" w:cs="宋体"/>
          <w:b/>
          <w:color w:val="auto"/>
          <w:sz w:val="24"/>
          <w:szCs w:val="24"/>
          <w:highlight w:val="none"/>
          <w:lang w:bidi="ar"/>
        </w:rPr>
      </w:pPr>
    </w:p>
    <w:p w14:paraId="3E0B28B4">
      <w:pPr>
        <w:spacing w:line="360" w:lineRule="auto"/>
        <w:jc w:val="center"/>
        <w:rPr>
          <w:rFonts w:hint="eastAsia" w:ascii="宋体" w:hAnsi="宋体" w:eastAsia="宋体" w:cs="宋体"/>
          <w:b/>
          <w:color w:val="auto"/>
          <w:sz w:val="24"/>
          <w:szCs w:val="24"/>
          <w:highlight w:val="none"/>
          <w:lang w:bidi="ar"/>
        </w:rPr>
      </w:pPr>
    </w:p>
    <w:p w14:paraId="1AE7240D">
      <w:pPr>
        <w:spacing w:line="360" w:lineRule="auto"/>
        <w:jc w:val="center"/>
        <w:rPr>
          <w:rFonts w:hint="eastAsia" w:ascii="宋体" w:hAnsi="宋体" w:eastAsia="宋体" w:cs="宋体"/>
          <w:b/>
          <w:color w:val="auto"/>
          <w:sz w:val="24"/>
          <w:szCs w:val="24"/>
          <w:highlight w:val="none"/>
          <w:lang w:bidi="ar"/>
        </w:rPr>
      </w:pPr>
    </w:p>
    <w:p w14:paraId="31E2B331">
      <w:pPr>
        <w:pStyle w:val="41"/>
        <w:rPr>
          <w:rFonts w:hint="eastAsia" w:ascii="宋体" w:hAnsi="宋体" w:eastAsia="宋体" w:cs="宋体"/>
          <w:b/>
          <w:color w:val="auto"/>
          <w:sz w:val="24"/>
          <w:szCs w:val="24"/>
          <w:highlight w:val="none"/>
          <w:lang w:bidi="ar"/>
        </w:rPr>
      </w:pPr>
    </w:p>
    <w:p w14:paraId="7F5F80B6">
      <w:pPr>
        <w:pStyle w:val="41"/>
        <w:rPr>
          <w:rFonts w:hint="eastAsia" w:ascii="宋体" w:hAnsi="宋体" w:eastAsia="宋体" w:cs="宋体"/>
          <w:b/>
          <w:color w:val="auto"/>
          <w:sz w:val="24"/>
          <w:szCs w:val="24"/>
          <w:highlight w:val="none"/>
          <w:lang w:bidi="ar"/>
        </w:rPr>
      </w:pPr>
    </w:p>
    <w:p w14:paraId="086AE8E6">
      <w:pPr>
        <w:spacing w:line="360" w:lineRule="auto"/>
        <w:jc w:val="center"/>
        <w:rPr>
          <w:rFonts w:hint="eastAsia" w:ascii="宋体" w:hAnsi="宋体" w:eastAsia="宋体" w:cs="宋体"/>
          <w:b/>
          <w:color w:val="auto"/>
          <w:sz w:val="24"/>
          <w:szCs w:val="24"/>
          <w:highlight w:val="none"/>
          <w:lang w:bidi="ar"/>
        </w:rPr>
      </w:pPr>
    </w:p>
    <w:p w14:paraId="1923E08D">
      <w:pPr>
        <w:spacing w:line="360" w:lineRule="auto"/>
        <w:jc w:val="center"/>
        <w:rPr>
          <w:rFonts w:hint="eastAsia" w:ascii="宋体" w:hAnsi="宋体" w:eastAsia="宋体" w:cs="宋体"/>
          <w:b/>
          <w:color w:val="auto"/>
          <w:sz w:val="24"/>
          <w:szCs w:val="24"/>
          <w:highlight w:val="none"/>
          <w:lang w:bidi="ar"/>
        </w:rPr>
      </w:pPr>
    </w:p>
    <w:p w14:paraId="2D9D26E9">
      <w:pPr>
        <w:pStyle w:val="25"/>
        <w:rPr>
          <w:rFonts w:hint="eastAsia" w:ascii="宋体" w:hAnsi="宋体" w:eastAsia="宋体" w:cs="宋体"/>
          <w:b/>
          <w:color w:val="auto"/>
          <w:sz w:val="24"/>
          <w:szCs w:val="24"/>
          <w:highlight w:val="none"/>
          <w:lang w:bidi="ar"/>
        </w:rPr>
      </w:pPr>
    </w:p>
    <w:p w14:paraId="60BDF0AB">
      <w:pPr>
        <w:pStyle w:val="25"/>
        <w:rPr>
          <w:rFonts w:hint="eastAsia" w:ascii="宋体" w:hAnsi="宋体" w:eastAsia="宋体" w:cs="宋体"/>
          <w:b/>
          <w:color w:val="auto"/>
          <w:sz w:val="24"/>
          <w:szCs w:val="24"/>
          <w:highlight w:val="none"/>
          <w:lang w:bidi="ar"/>
        </w:rPr>
      </w:pPr>
    </w:p>
    <w:p w14:paraId="67F43E94">
      <w:pPr>
        <w:pStyle w:val="25"/>
        <w:rPr>
          <w:rFonts w:hint="eastAsia"/>
          <w:color w:val="auto"/>
          <w:highlight w:val="none"/>
        </w:rPr>
      </w:pPr>
    </w:p>
    <w:p w14:paraId="106A4B08">
      <w:pPr>
        <w:spacing w:line="360" w:lineRule="auto"/>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六、投标响应表</w:t>
      </w:r>
    </w:p>
    <w:p w14:paraId="58CD2229">
      <w:pPr>
        <w:spacing w:line="360" w:lineRule="auto"/>
        <w:ind w:firstLine="435"/>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1.商务响应表</w:t>
      </w:r>
    </w:p>
    <w:tbl>
      <w:tblPr>
        <w:tblStyle w:val="26"/>
        <w:tblW w:w="58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2077"/>
        <w:gridCol w:w="2946"/>
        <w:gridCol w:w="2752"/>
        <w:gridCol w:w="1351"/>
      </w:tblGrid>
      <w:tr w14:paraId="5DA90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391" w:type="pct"/>
            <w:tcBorders>
              <w:top w:val="single" w:color="auto" w:sz="4" w:space="0"/>
              <w:left w:val="single" w:color="auto" w:sz="4" w:space="0"/>
              <w:bottom w:val="single" w:color="auto" w:sz="4" w:space="0"/>
              <w:right w:val="single" w:color="auto" w:sz="4" w:space="0"/>
            </w:tcBorders>
            <w:shd w:val="clear" w:color="auto" w:fill="auto"/>
            <w:vAlign w:val="center"/>
          </w:tcPr>
          <w:p w14:paraId="50A457D5">
            <w:pPr>
              <w:pStyle w:val="21"/>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序号</w:t>
            </w:r>
          </w:p>
        </w:tc>
        <w:tc>
          <w:tcPr>
            <w:tcW w:w="1048" w:type="pct"/>
            <w:tcBorders>
              <w:top w:val="single" w:color="auto" w:sz="4" w:space="0"/>
              <w:left w:val="nil"/>
              <w:bottom w:val="single" w:color="auto" w:sz="4" w:space="0"/>
              <w:right w:val="single" w:color="auto" w:sz="4" w:space="0"/>
            </w:tcBorders>
            <w:shd w:val="clear" w:color="auto" w:fill="auto"/>
            <w:vAlign w:val="center"/>
          </w:tcPr>
          <w:p w14:paraId="4BCA7785">
            <w:pPr>
              <w:pStyle w:val="21"/>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bCs/>
                <w:color w:val="auto"/>
                <w:kern w:val="2"/>
                <w:szCs w:val="24"/>
                <w:highlight w:val="none"/>
                <w:lang w:bidi="ar"/>
              </w:rPr>
              <w:t>商务条款</w:t>
            </w:r>
          </w:p>
        </w:tc>
        <w:tc>
          <w:tcPr>
            <w:tcW w:w="1487" w:type="pct"/>
            <w:tcBorders>
              <w:top w:val="single" w:color="auto" w:sz="4" w:space="0"/>
              <w:left w:val="nil"/>
              <w:bottom w:val="single" w:color="auto" w:sz="4" w:space="0"/>
              <w:right w:val="single" w:color="auto" w:sz="4" w:space="0"/>
            </w:tcBorders>
            <w:shd w:val="clear" w:color="auto" w:fill="auto"/>
            <w:vAlign w:val="center"/>
          </w:tcPr>
          <w:p w14:paraId="31580DCC">
            <w:pPr>
              <w:pStyle w:val="21"/>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招标文件要求</w:t>
            </w:r>
          </w:p>
        </w:tc>
        <w:tc>
          <w:tcPr>
            <w:tcW w:w="1389" w:type="pct"/>
            <w:tcBorders>
              <w:top w:val="single" w:color="auto" w:sz="4" w:space="0"/>
              <w:left w:val="nil"/>
              <w:bottom w:val="single" w:color="auto" w:sz="4" w:space="0"/>
              <w:right w:val="single" w:color="auto" w:sz="4" w:space="0"/>
            </w:tcBorders>
            <w:shd w:val="clear" w:color="auto" w:fill="auto"/>
            <w:vAlign w:val="center"/>
          </w:tcPr>
          <w:p w14:paraId="1A1614D7">
            <w:pPr>
              <w:pStyle w:val="21"/>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投标人承诺</w:t>
            </w:r>
          </w:p>
        </w:tc>
        <w:tc>
          <w:tcPr>
            <w:tcW w:w="682" w:type="pct"/>
            <w:tcBorders>
              <w:top w:val="single" w:color="auto" w:sz="4" w:space="0"/>
              <w:left w:val="nil"/>
              <w:bottom w:val="single" w:color="auto" w:sz="4" w:space="0"/>
              <w:right w:val="single" w:color="auto" w:sz="4" w:space="0"/>
            </w:tcBorders>
            <w:shd w:val="clear" w:color="auto" w:fill="auto"/>
            <w:vAlign w:val="center"/>
          </w:tcPr>
          <w:p w14:paraId="5C2A4BC1">
            <w:pPr>
              <w:pStyle w:val="21"/>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偏离说明</w:t>
            </w:r>
          </w:p>
        </w:tc>
      </w:tr>
      <w:tr w14:paraId="549B0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391" w:type="pct"/>
            <w:tcBorders>
              <w:top w:val="single" w:color="auto" w:sz="4" w:space="0"/>
              <w:left w:val="single" w:color="auto" w:sz="4" w:space="0"/>
              <w:bottom w:val="single" w:color="auto" w:sz="4" w:space="0"/>
              <w:right w:val="single" w:color="auto" w:sz="4" w:space="0"/>
            </w:tcBorders>
            <w:shd w:val="clear" w:color="auto" w:fill="auto"/>
            <w:vAlign w:val="center"/>
          </w:tcPr>
          <w:p w14:paraId="38AB70C1">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w:t>
            </w:r>
          </w:p>
        </w:tc>
        <w:tc>
          <w:tcPr>
            <w:tcW w:w="1048" w:type="pct"/>
            <w:tcBorders>
              <w:top w:val="single" w:color="auto" w:sz="4" w:space="0"/>
              <w:left w:val="nil"/>
              <w:bottom w:val="single" w:color="auto" w:sz="4" w:space="0"/>
              <w:right w:val="single" w:color="auto" w:sz="4" w:space="0"/>
            </w:tcBorders>
            <w:shd w:val="clear" w:color="auto" w:fill="auto"/>
            <w:vAlign w:val="center"/>
          </w:tcPr>
          <w:p w14:paraId="24115DC1">
            <w:pPr>
              <w:pStyle w:val="44"/>
              <w:widowControl w:val="0"/>
              <w:spacing w:before="0" w:beforeAutospacing="0" w:after="0" w:afterAutospacing="0"/>
              <w:ind w:firstLine="43" w:firstLineChars="0"/>
              <w:rPr>
                <w:rFonts w:hint="eastAsia" w:ascii="宋体" w:hAnsi="宋体" w:eastAsia="宋体"/>
                <w:color w:val="auto"/>
                <w:sz w:val="24"/>
                <w:szCs w:val="24"/>
                <w:highlight w:val="none"/>
              </w:rPr>
            </w:pPr>
            <w:r>
              <w:rPr>
                <w:rFonts w:hint="eastAsia" w:ascii="宋体" w:hAnsi="宋体" w:eastAsia="宋体"/>
                <w:b w:val="0"/>
                <w:color w:val="auto"/>
                <w:sz w:val="24"/>
                <w:highlight w:val="none"/>
              </w:rPr>
              <w:t>付款方式</w:t>
            </w:r>
          </w:p>
        </w:tc>
        <w:tc>
          <w:tcPr>
            <w:tcW w:w="1487" w:type="pct"/>
            <w:tcBorders>
              <w:top w:val="single" w:color="auto" w:sz="4" w:space="0"/>
              <w:left w:val="nil"/>
              <w:bottom w:val="single" w:color="auto" w:sz="4" w:space="0"/>
              <w:right w:val="single" w:color="auto" w:sz="4" w:space="0"/>
            </w:tcBorders>
            <w:shd w:val="clear" w:color="auto" w:fill="auto"/>
            <w:vAlign w:val="center"/>
          </w:tcPr>
          <w:p w14:paraId="49466D16">
            <w:pPr>
              <w:jc w:val="center"/>
              <w:rPr>
                <w:rFonts w:hint="eastAsia" w:ascii="宋体" w:hAnsi="宋体" w:eastAsia="宋体"/>
                <w:color w:val="auto"/>
                <w:sz w:val="24"/>
                <w:szCs w:val="24"/>
                <w:highlight w:val="none"/>
              </w:rPr>
            </w:pPr>
          </w:p>
        </w:tc>
        <w:tc>
          <w:tcPr>
            <w:tcW w:w="1389" w:type="pct"/>
            <w:tcBorders>
              <w:top w:val="single" w:color="auto" w:sz="4" w:space="0"/>
              <w:left w:val="nil"/>
              <w:bottom w:val="single" w:color="auto" w:sz="4" w:space="0"/>
              <w:right w:val="single" w:color="auto" w:sz="4" w:space="0"/>
            </w:tcBorders>
            <w:shd w:val="clear" w:color="auto" w:fill="auto"/>
            <w:vAlign w:val="center"/>
          </w:tcPr>
          <w:p w14:paraId="2DD3B2C5">
            <w:pPr>
              <w:jc w:val="center"/>
              <w:rPr>
                <w:rFonts w:hint="eastAsia" w:ascii="宋体" w:hAnsi="宋体" w:eastAsia="宋体"/>
                <w:color w:val="auto"/>
                <w:sz w:val="24"/>
                <w:szCs w:val="24"/>
                <w:highlight w:val="none"/>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2D7DF7E0">
            <w:pPr>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是/否</w:t>
            </w:r>
          </w:p>
        </w:tc>
      </w:tr>
      <w:tr w14:paraId="39D9F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391" w:type="pct"/>
            <w:tcBorders>
              <w:top w:val="single" w:color="auto" w:sz="4" w:space="0"/>
              <w:left w:val="single" w:color="auto" w:sz="4" w:space="0"/>
              <w:bottom w:val="single" w:color="auto" w:sz="4" w:space="0"/>
              <w:right w:val="single" w:color="auto" w:sz="4" w:space="0"/>
            </w:tcBorders>
            <w:shd w:val="clear" w:color="auto" w:fill="auto"/>
            <w:vAlign w:val="center"/>
          </w:tcPr>
          <w:p w14:paraId="5AF6ED1D">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2</w:t>
            </w:r>
          </w:p>
        </w:tc>
        <w:tc>
          <w:tcPr>
            <w:tcW w:w="1048" w:type="pct"/>
            <w:tcBorders>
              <w:top w:val="single" w:color="auto" w:sz="4" w:space="0"/>
              <w:left w:val="nil"/>
              <w:bottom w:val="single" w:color="auto" w:sz="4" w:space="0"/>
              <w:right w:val="single" w:color="auto" w:sz="4" w:space="0"/>
            </w:tcBorders>
            <w:shd w:val="clear" w:color="auto" w:fill="auto"/>
            <w:vAlign w:val="center"/>
          </w:tcPr>
          <w:p w14:paraId="4DF35B2F">
            <w:pPr>
              <w:pStyle w:val="44"/>
              <w:widowControl w:val="0"/>
              <w:spacing w:before="0" w:beforeAutospacing="0" w:after="0" w:afterAutospacing="0"/>
              <w:ind w:firstLine="43" w:firstLineChars="0"/>
              <w:rPr>
                <w:rFonts w:hint="eastAsia" w:ascii="宋体" w:hAnsi="宋体" w:eastAsia="宋体"/>
                <w:color w:val="auto"/>
                <w:sz w:val="24"/>
                <w:szCs w:val="24"/>
                <w:highlight w:val="none"/>
              </w:rPr>
            </w:pPr>
            <w:r>
              <w:rPr>
                <w:rFonts w:hint="eastAsia" w:ascii="宋体" w:hAnsi="宋体" w:eastAsia="宋体"/>
                <w:b w:val="0"/>
                <w:color w:val="auto"/>
                <w:sz w:val="24"/>
                <w:highlight w:val="none"/>
                <w:lang w:val="en-US" w:eastAsia="zh-CN"/>
              </w:rPr>
              <w:t>供货</w:t>
            </w:r>
            <w:r>
              <w:rPr>
                <w:rFonts w:hint="eastAsia" w:ascii="宋体" w:hAnsi="宋体" w:eastAsia="宋体"/>
                <w:b w:val="0"/>
                <w:color w:val="auto"/>
                <w:sz w:val="24"/>
                <w:highlight w:val="none"/>
              </w:rPr>
              <w:t>地点</w:t>
            </w:r>
          </w:p>
        </w:tc>
        <w:tc>
          <w:tcPr>
            <w:tcW w:w="1487" w:type="pct"/>
            <w:tcBorders>
              <w:top w:val="single" w:color="auto" w:sz="4" w:space="0"/>
              <w:left w:val="nil"/>
              <w:bottom w:val="single" w:color="auto" w:sz="4" w:space="0"/>
              <w:right w:val="single" w:color="auto" w:sz="4" w:space="0"/>
            </w:tcBorders>
            <w:shd w:val="clear" w:color="auto" w:fill="auto"/>
            <w:vAlign w:val="center"/>
          </w:tcPr>
          <w:p w14:paraId="0BFDF843">
            <w:pPr>
              <w:jc w:val="center"/>
              <w:rPr>
                <w:rFonts w:hint="eastAsia" w:ascii="宋体" w:hAnsi="宋体" w:eastAsia="宋体"/>
                <w:color w:val="auto"/>
                <w:sz w:val="24"/>
                <w:szCs w:val="24"/>
                <w:highlight w:val="none"/>
              </w:rPr>
            </w:pPr>
          </w:p>
        </w:tc>
        <w:tc>
          <w:tcPr>
            <w:tcW w:w="1389" w:type="pct"/>
            <w:tcBorders>
              <w:top w:val="single" w:color="auto" w:sz="4" w:space="0"/>
              <w:left w:val="nil"/>
              <w:bottom w:val="single" w:color="auto" w:sz="4" w:space="0"/>
              <w:right w:val="single" w:color="auto" w:sz="4" w:space="0"/>
            </w:tcBorders>
            <w:shd w:val="clear" w:color="auto" w:fill="auto"/>
            <w:vAlign w:val="center"/>
          </w:tcPr>
          <w:p w14:paraId="2929E22E">
            <w:pPr>
              <w:jc w:val="center"/>
              <w:rPr>
                <w:rFonts w:hint="eastAsia" w:ascii="宋体" w:hAnsi="宋体" w:eastAsia="宋体"/>
                <w:color w:val="auto"/>
                <w:sz w:val="24"/>
                <w:szCs w:val="24"/>
                <w:highlight w:val="none"/>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46D6CF42">
            <w:pPr>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是/否</w:t>
            </w:r>
          </w:p>
        </w:tc>
      </w:tr>
      <w:tr w14:paraId="764BB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391" w:type="pct"/>
            <w:tcBorders>
              <w:top w:val="single" w:color="auto" w:sz="4" w:space="0"/>
              <w:left w:val="single" w:color="auto" w:sz="4" w:space="0"/>
              <w:bottom w:val="single" w:color="auto" w:sz="4" w:space="0"/>
              <w:right w:val="single" w:color="auto" w:sz="4" w:space="0"/>
            </w:tcBorders>
            <w:shd w:val="clear" w:color="auto" w:fill="auto"/>
            <w:vAlign w:val="center"/>
          </w:tcPr>
          <w:p w14:paraId="7A7C6223">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3</w:t>
            </w:r>
          </w:p>
        </w:tc>
        <w:tc>
          <w:tcPr>
            <w:tcW w:w="1048" w:type="pct"/>
            <w:tcBorders>
              <w:top w:val="single" w:color="auto" w:sz="4" w:space="0"/>
              <w:left w:val="nil"/>
              <w:bottom w:val="single" w:color="auto" w:sz="4" w:space="0"/>
              <w:right w:val="single" w:color="auto" w:sz="4" w:space="0"/>
            </w:tcBorders>
            <w:shd w:val="clear" w:color="auto" w:fill="auto"/>
            <w:vAlign w:val="center"/>
          </w:tcPr>
          <w:p w14:paraId="10CDC537">
            <w:pPr>
              <w:pStyle w:val="44"/>
              <w:widowControl w:val="0"/>
              <w:spacing w:before="0" w:beforeAutospacing="0" w:after="0" w:afterAutospacing="0"/>
              <w:ind w:firstLine="43" w:firstLineChars="0"/>
              <w:rPr>
                <w:rFonts w:hint="eastAsia" w:ascii="宋体" w:hAnsi="宋体" w:eastAsia="宋体"/>
                <w:color w:val="auto"/>
                <w:sz w:val="24"/>
                <w:szCs w:val="24"/>
                <w:highlight w:val="none"/>
              </w:rPr>
            </w:pPr>
            <w:r>
              <w:rPr>
                <w:rFonts w:hint="eastAsia" w:ascii="宋体" w:hAnsi="宋体" w:eastAsia="宋体"/>
                <w:b w:val="0"/>
                <w:color w:val="auto"/>
                <w:sz w:val="24"/>
                <w:highlight w:val="none"/>
                <w:lang w:val="en-US" w:eastAsia="zh-CN"/>
              </w:rPr>
              <w:t>供货</w:t>
            </w:r>
            <w:r>
              <w:rPr>
                <w:rFonts w:hint="eastAsia" w:ascii="宋体" w:hAnsi="宋体" w:eastAsia="宋体"/>
                <w:b w:val="0"/>
                <w:color w:val="auto"/>
                <w:sz w:val="24"/>
                <w:highlight w:val="none"/>
              </w:rPr>
              <w:t>期限</w:t>
            </w:r>
          </w:p>
        </w:tc>
        <w:tc>
          <w:tcPr>
            <w:tcW w:w="1487" w:type="pct"/>
            <w:tcBorders>
              <w:top w:val="single" w:color="auto" w:sz="4" w:space="0"/>
              <w:left w:val="nil"/>
              <w:bottom w:val="single" w:color="auto" w:sz="4" w:space="0"/>
              <w:right w:val="single" w:color="auto" w:sz="4" w:space="0"/>
            </w:tcBorders>
            <w:shd w:val="clear" w:color="auto" w:fill="auto"/>
            <w:vAlign w:val="center"/>
          </w:tcPr>
          <w:p w14:paraId="4113830E">
            <w:pPr>
              <w:jc w:val="center"/>
              <w:rPr>
                <w:rFonts w:hint="eastAsia" w:ascii="宋体" w:hAnsi="宋体" w:eastAsia="宋体"/>
                <w:color w:val="auto"/>
                <w:sz w:val="24"/>
                <w:szCs w:val="24"/>
                <w:highlight w:val="none"/>
              </w:rPr>
            </w:pPr>
          </w:p>
        </w:tc>
        <w:tc>
          <w:tcPr>
            <w:tcW w:w="1389" w:type="pct"/>
            <w:tcBorders>
              <w:top w:val="single" w:color="auto" w:sz="4" w:space="0"/>
              <w:left w:val="nil"/>
              <w:bottom w:val="single" w:color="auto" w:sz="4" w:space="0"/>
              <w:right w:val="single" w:color="auto" w:sz="4" w:space="0"/>
            </w:tcBorders>
            <w:shd w:val="clear" w:color="auto" w:fill="auto"/>
            <w:vAlign w:val="center"/>
          </w:tcPr>
          <w:p w14:paraId="24979325">
            <w:pPr>
              <w:pStyle w:val="21"/>
              <w:spacing w:before="0" w:beforeAutospacing="0" w:after="0" w:afterAutospacing="0"/>
              <w:jc w:val="center"/>
              <w:rPr>
                <w:rFonts w:hint="eastAsia" w:ascii="宋体" w:hAnsi="宋体" w:eastAsia="宋体" w:cs="Arial"/>
                <w:color w:val="auto"/>
                <w:kern w:val="2"/>
                <w:szCs w:val="24"/>
                <w:highlight w:val="none"/>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65F4AADC">
            <w:pPr>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是/否</w:t>
            </w:r>
          </w:p>
        </w:tc>
      </w:tr>
    </w:tbl>
    <w:p w14:paraId="76DDC33E">
      <w:pPr>
        <w:spacing w:line="360" w:lineRule="auto"/>
        <w:ind w:firstLine="435"/>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2.</w:t>
      </w:r>
      <w:r>
        <w:rPr>
          <w:rFonts w:hint="eastAsia" w:ascii="宋体" w:hAnsi="宋体" w:eastAsia="宋体" w:cs="宋体"/>
          <w:b/>
          <w:color w:val="auto"/>
          <w:sz w:val="24"/>
          <w:szCs w:val="24"/>
          <w:highlight w:val="none"/>
          <w:lang w:val="en-US" w:eastAsia="zh-CN" w:bidi="ar"/>
        </w:rPr>
        <w:t>服务</w:t>
      </w:r>
      <w:r>
        <w:rPr>
          <w:rFonts w:hint="eastAsia" w:ascii="宋体" w:hAnsi="宋体" w:eastAsia="宋体" w:cs="宋体"/>
          <w:b/>
          <w:color w:val="auto"/>
          <w:sz w:val="24"/>
          <w:szCs w:val="24"/>
          <w:highlight w:val="none"/>
          <w:lang w:bidi="ar"/>
        </w:rPr>
        <w:t>响应表</w:t>
      </w:r>
    </w:p>
    <w:tbl>
      <w:tblPr>
        <w:tblStyle w:val="26"/>
        <w:tblW w:w="61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
        <w:gridCol w:w="1169"/>
        <w:gridCol w:w="4645"/>
        <w:gridCol w:w="3360"/>
        <w:gridCol w:w="885"/>
      </w:tblGrid>
      <w:tr w14:paraId="05B96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224" w:type="pct"/>
            <w:tcBorders>
              <w:top w:val="single" w:color="auto" w:sz="4" w:space="0"/>
              <w:left w:val="single" w:color="auto" w:sz="4" w:space="0"/>
              <w:bottom w:val="single" w:color="auto" w:sz="4" w:space="0"/>
              <w:right w:val="single" w:color="auto" w:sz="4" w:space="0"/>
            </w:tcBorders>
            <w:shd w:val="clear" w:color="auto" w:fill="auto"/>
            <w:vAlign w:val="center"/>
          </w:tcPr>
          <w:p w14:paraId="3498130A">
            <w:pPr>
              <w:pStyle w:val="21"/>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序号</w:t>
            </w:r>
          </w:p>
        </w:tc>
        <w:tc>
          <w:tcPr>
            <w:tcW w:w="555" w:type="pct"/>
            <w:tcBorders>
              <w:top w:val="single" w:color="auto" w:sz="4" w:space="0"/>
              <w:left w:val="nil"/>
              <w:bottom w:val="single" w:color="auto" w:sz="4" w:space="0"/>
              <w:right w:val="single" w:color="auto" w:sz="4" w:space="0"/>
            </w:tcBorders>
            <w:shd w:val="clear" w:color="auto" w:fill="auto"/>
            <w:vAlign w:val="center"/>
          </w:tcPr>
          <w:p w14:paraId="491F47AA">
            <w:pPr>
              <w:pStyle w:val="21"/>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bCs/>
                <w:color w:val="auto"/>
                <w:kern w:val="2"/>
                <w:szCs w:val="24"/>
                <w:highlight w:val="none"/>
                <w:lang w:bidi="ar"/>
              </w:rPr>
              <w:t>名称</w:t>
            </w:r>
          </w:p>
        </w:tc>
        <w:tc>
          <w:tcPr>
            <w:tcW w:w="2205" w:type="pct"/>
            <w:tcBorders>
              <w:top w:val="single" w:color="auto" w:sz="4" w:space="0"/>
              <w:left w:val="nil"/>
              <w:bottom w:val="single" w:color="auto" w:sz="4" w:space="0"/>
              <w:right w:val="single" w:color="auto" w:sz="4" w:space="0"/>
            </w:tcBorders>
            <w:shd w:val="clear" w:color="auto" w:fill="auto"/>
            <w:vAlign w:val="center"/>
          </w:tcPr>
          <w:p w14:paraId="500D2737">
            <w:pPr>
              <w:pStyle w:val="21"/>
              <w:spacing w:before="0" w:beforeAutospacing="0" w:after="0" w:afterAutospacing="0"/>
              <w:jc w:val="center"/>
              <w:rPr>
                <w:rFonts w:hint="default" w:ascii="宋体" w:hAnsi="宋体" w:eastAsia="宋体" w:cs="Wingdings"/>
                <w:b/>
                <w:color w:val="auto"/>
                <w:kern w:val="2"/>
                <w:szCs w:val="24"/>
                <w:highlight w:val="none"/>
                <w:lang w:val="en-US" w:eastAsia="zh-CN"/>
              </w:rPr>
            </w:pPr>
            <w:r>
              <w:rPr>
                <w:rFonts w:hint="eastAsia" w:ascii="宋体" w:hAnsi="宋体" w:eastAsia="宋体" w:cs="宋体"/>
                <w:b/>
                <w:color w:val="auto"/>
                <w:kern w:val="2"/>
                <w:szCs w:val="24"/>
                <w:highlight w:val="none"/>
                <w:lang w:bidi="ar"/>
              </w:rPr>
              <w:t>招标文件规定</w:t>
            </w:r>
            <w:r>
              <w:rPr>
                <w:rFonts w:hint="eastAsia" w:ascii="宋体" w:hAnsi="宋体" w:eastAsia="宋体" w:cs="宋体"/>
                <w:b/>
                <w:color w:val="auto"/>
                <w:kern w:val="2"/>
                <w:szCs w:val="24"/>
                <w:highlight w:val="none"/>
                <w:lang w:val="en-US" w:eastAsia="zh-CN" w:bidi="ar"/>
              </w:rPr>
              <w:t>服务（技术）要求</w:t>
            </w:r>
          </w:p>
        </w:tc>
        <w:tc>
          <w:tcPr>
            <w:tcW w:w="1595" w:type="pct"/>
            <w:tcBorders>
              <w:top w:val="single" w:color="auto" w:sz="4" w:space="0"/>
              <w:left w:val="nil"/>
              <w:bottom w:val="single" w:color="auto" w:sz="4" w:space="0"/>
              <w:right w:val="single" w:color="auto" w:sz="4" w:space="0"/>
            </w:tcBorders>
            <w:shd w:val="clear" w:color="auto" w:fill="auto"/>
            <w:vAlign w:val="center"/>
          </w:tcPr>
          <w:p w14:paraId="23A63662">
            <w:pPr>
              <w:pStyle w:val="21"/>
              <w:spacing w:before="0" w:beforeAutospacing="0" w:after="0" w:afterAutospacing="0"/>
              <w:jc w:val="center"/>
              <w:rPr>
                <w:rFonts w:hint="default" w:ascii="宋体" w:hAnsi="宋体" w:eastAsia="宋体" w:cs="Wingdings"/>
                <w:b/>
                <w:color w:val="auto"/>
                <w:kern w:val="2"/>
                <w:szCs w:val="24"/>
                <w:highlight w:val="none"/>
                <w:lang w:val="en-US" w:eastAsia="zh-CN"/>
              </w:rPr>
            </w:pPr>
            <w:r>
              <w:rPr>
                <w:rFonts w:hint="eastAsia" w:ascii="宋体" w:hAnsi="宋体" w:eastAsia="宋体" w:cs="宋体"/>
                <w:b/>
                <w:color w:val="auto"/>
                <w:kern w:val="2"/>
                <w:szCs w:val="24"/>
                <w:highlight w:val="none"/>
                <w:lang w:bidi="ar"/>
              </w:rPr>
              <w:t>所投</w:t>
            </w:r>
            <w:r>
              <w:rPr>
                <w:rFonts w:hint="eastAsia" w:ascii="宋体" w:hAnsi="宋体" w:eastAsia="宋体" w:cs="宋体"/>
                <w:b/>
                <w:color w:val="auto"/>
                <w:kern w:val="2"/>
                <w:szCs w:val="24"/>
                <w:highlight w:val="none"/>
                <w:lang w:val="en-US" w:eastAsia="zh-CN" w:bidi="ar"/>
              </w:rPr>
              <w:t>服务（或产品）对招标文件服务（或产品）要求的响应</w:t>
            </w:r>
          </w:p>
        </w:tc>
        <w:tc>
          <w:tcPr>
            <w:tcW w:w="420" w:type="pct"/>
            <w:tcBorders>
              <w:top w:val="single" w:color="auto" w:sz="4" w:space="0"/>
              <w:left w:val="nil"/>
              <w:bottom w:val="single" w:color="auto" w:sz="4" w:space="0"/>
              <w:right w:val="single" w:color="auto" w:sz="4" w:space="0"/>
            </w:tcBorders>
            <w:shd w:val="clear" w:color="auto" w:fill="auto"/>
            <w:vAlign w:val="center"/>
          </w:tcPr>
          <w:p w14:paraId="3A81196E">
            <w:pPr>
              <w:pStyle w:val="21"/>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偏离说明</w:t>
            </w:r>
          </w:p>
        </w:tc>
      </w:tr>
      <w:tr w14:paraId="7EC0F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5" w:hRule="atLeast"/>
          <w:jc w:val="center"/>
        </w:trPr>
        <w:tc>
          <w:tcPr>
            <w:tcW w:w="224" w:type="pct"/>
            <w:tcBorders>
              <w:top w:val="single" w:color="auto" w:sz="4" w:space="0"/>
              <w:left w:val="single" w:color="auto" w:sz="4" w:space="0"/>
              <w:bottom w:val="single" w:color="auto" w:sz="4" w:space="0"/>
              <w:right w:val="single" w:color="auto" w:sz="4" w:space="0"/>
            </w:tcBorders>
            <w:shd w:val="clear" w:color="auto" w:fill="auto"/>
            <w:vAlign w:val="center"/>
          </w:tcPr>
          <w:p w14:paraId="343A980B">
            <w:pPr>
              <w:keepNext w:val="0"/>
              <w:keepLines w:val="0"/>
              <w:pageBreakBefore w:val="0"/>
              <w:widowControl w:val="0"/>
              <w:kinsoku/>
              <w:wordWrap/>
              <w:overflowPunct/>
              <w:topLinePunct w:val="0"/>
              <w:autoSpaceDE/>
              <w:autoSpaceDN/>
              <w:bidi w:val="0"/>
              <w:adjustRightInd/>
              <w:snapToGrid/>
              <w:spacing w:line="320" w:lineRule="exact"/>
              <w:ind w:right="-92" w:rightChars="-44"/>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555" w:type="pct"/>
            <w:tcBorders>
              <w:top w:val="single" w:color="auto" w:sz="4" w:space="0"/>
              <w:left w:val="nil"/>
              <w:bottom w:val="single" w:color="auto" w:sz="4" w:space="0"/>
              <w:right w:val="single" w:color="auto" w:sz="4" w:space="0"/>
            </w:tcBorders>
            <w:shd w:val="clear" w:color="auto" w:fill="auto"/>
            <w:vAlign w:val="center"/>
          </w:tcPr>
          <w:p w14:paraId="46E7B2E4">
            <w:pPr>
              <w:keepNext w:val="0"/>
              <w:keepLines w:val="0"/>
              <w:pageBreakBefore w:val="0"/>
              <w:widowControl w:val="0"/>
              <w:kinsoku/>
              <w:wordWrap/>
              <w:overflowPunct/>
              <w:topLinePunct w:val="0"/>
              <w:autoSpaceDE/>
              <w:autoSpaceDN/>
              <w:bidi w:val="0"/>
              <w:adjustRightInd/>
              <w:snapToGrid/>
              <w:spacing w:line="320" w:lineRule="exact"/>
              <w:ind w:right="-92" w:rightChars="-44"/>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水处理消毒服务</w:t>
            </w:r>
          </w:p>
        </w:tc>
        <w:tc>
          <w:tcPr>
            <w:tcW w:w="2205" w:type="pct"/>
            <w:tcBorders>
              <w:top w:val="single" w:color="auto" w:sz="4" w:space="0"/>
              <w:left w:val="nil"/>
              <w:bottom w:val="single" w:color="auto" w:sz="4" w:space="0"/>
              <w:right w:val="single" w:color="auto" w:sz="4" w:space="0"/>
            </w:tcBorders>
            <w:shd w:val="clear" w:color="auto" w:fill="auto"/>
            <w:vAlign w:val="center"/>
          </w:tcPr>
          <w:p w14:paraId="2B5E6BAC">
            <w:pPr>
              <w:keepNext w:val="0"/>
              <w:keepLines w:val="0"/>
              <w:pageBreakBefore w:val="0"/>
              <w:widowControl w:val="0"/>
              <w:kinsoku/>
              <w:wordWrap/>
              <w:overflowPunct/>
              <w:topLinePunct w:val="0"/>
              <w:autoSpaceDE/>
              <w:autoSpaceDN/>
              <w:bidi w:val="0"/>
              <w:adjustRightInd/>
              <w:snapToGrid/>
              <w:spacing w:line="320" w:lineRule="exact"/>
              <w:ind w:right="-92" w:rightChars="-44"/>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1.根据南、北区血透室，南、北区内镜中心，北区和儿童医院口腔科对水处理设备的消毒需求和院感的检查要求，进行水处理消毒服务。</w:t>
            </w:r>
          </w:p>
          <w:p w14:paraId="3EBDC985">
            <w:pPr>
              <w:keepNext w:val="0"/>
              <w:keepLines w:val="0"/>
              <w:pageBreakBefore w:val="0"/>
              <w:widowControl w:val="0"/>
              <w:kinsoku/>
              <w:wordWrap/>
              <w:overflowPunct/>
              <w:topLinePunct w:val="0"/>
              <w:autoSpaceDE/>
              <w:autoSpaceDN/>
              <w:bidi w:val="0"/>
              <w:adjustRightInd/>
              <w:snapToGrid/>
              <w:spacing w:line="320" w:lineRule="exact"/>
              <w:ind w:right="-92" w:rightChars="-44"/>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所有科室均为每三月消毒一次，合计24次/年。</w:t>
            </w:r>
          </w:p>
          <w:p w14:paraId="6AEDC67C">
            <w:pPr>
              <w:keepNext w:val="0"/>
              <w:keepLines w:val="0"/>
              <w:pageBreakBefore w:val="0"/>
              <w:widowControl w:val="0"/>
              <w:kinsoku/>
              <w:wordWrap/>
              <w:overflowPunct/>
              <w:topLinePunct w:val="0"/>
              <w:autoSpaceDE/>
              <w:autoSpaceDN/>
              <w:bidi w:val="0"/>
              <w:adjustRightInd/>
              <w:snapToGrid/>
              <w:spacing w:line="320" w:lineRule="exact"/>
              <w:ind w:right="-92" w:rightChars="-44"/>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3.对于水路盲端，即供水管路出口和透析机之间的连接管路部分，需每半年一次按《血液净化标准操作规程 2021版》要求，在透析用水的供水管路进行消毒时，用含有消毒剂的水或者热水来回冲洗</w:t>
            </w:r>
            <w:r>
              <w:rPr>
                <w:rFonts w:hint="default" w:ascii="宋体" w:hAnsi="宋体" w:eastAsia="宋体" w:cs="宋体"/>
                <w:color w:val="auto"/>
                <w:sz w:val="21"/>
                <w:szCs w:val="21"/>
                <w:highlight w:val="none"/>
                <w:lang w:val="en-US" w:eastAsia="zh-CN"/>
              </w:rPr>
              <w:t>透析机</w:t>
            </w:r>
            <w:r>
              <w:rPr>
                <w:rFonts w:hint="eastAsia" w:ascii="宋体" w:hAnsi="宋体" w:eastAsia="宋体" w:cs="宋体"/>
                <w:color w:val="auto"/>
                <w:sz w:val="21"/>
                <w:szCs w:val="21"/>
                <w:highlight w:val="none"/>
                <w:lang w:val="en-US" w:eastAsia="zh-CN"/>
              </w:rPr>
              <w:t>。</w:t>
            </w:r>
          </w:p>
          <w:p w14:paraId="7AE3D86C">
            <w:pPr>
              <w:keepNext w:val="0"/>
              <w:keepLines w:val="0"/>
              <w:pageBreakBefore w:val="0"/>
              <w:widowControl w:val="0"/>
              <w:kinsoku/>
              <w:wordWrap/>
              <w:overflowPunct/>
              <w:topLinePunct w:val="0"/>
              <w:autoSpaceDE/>
              <w:autoSpaceDN/>
              <w:bidi w:val="0"/>
              <w:adjustRightInd/>
              <w:snapToGrid/>
              <w:spacing w:line="320" w:lineRule="exact"/>
              <w:ind w:right="-92" w:rightChars="-44"/>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4.中标方每年需提供2盒左右，100片/盒装过氧乙酸检测试纸，该费用包含在消毒服务内，采购人不再为此支付额外费用。</w:t>
            </w:r>
          </w:p>
          <w:p w14:paraId="446FBE97">
            <w:pPr>
              <w:keepNext w:val="0"/>
              <w:keepLines w:val="0"/>
              <w:pageBreakBefore w:val="0"/>
              <w:widowControl w:val="0"/>
              <w:kinsoku/>
              <w:wordWrap/>
              <w:overflowPunct/>
              <w:topLinePunct w:val="0"/>
              <w:autoSpaceDE/>
              <w:autoSpaceDN/>
              <w:bidi w:val="0"/>
              <w:adjustRightInd/>
              <w:snapToGrid/>
              <w:spacing w:line="320" w:lineRule="exact"/>
              <w:ind w:right="-92" w:rightChars="-44"/>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5、根据采购人科室具体需求安排消毒时间，收到通知后48小时内到场；</w:t>
            </w:r>
          </w:p>
          <w:p w14:paraId="289229BF">
            <w:pPr>
              <w:keepNext w:val="0"/>
              <w:keepLines w:val="0"/>
              <w:pageBreakBefore w:val="0"/>
              <w:widowControl w:val="0"/>
              <w:kinsoku/>
              <w:wordWrap/>
              <w:overflowPunct/>
              <w:topLinePunct w:val="0"/>
              <w:autoSpaceDE/>
              <w:autoSpaceDN/>
              <w:bidi w:val="0"/>
              <w:adjustRightInd/>
              <w:snapToGrid/>
              <w:spacing w:line="320" w:lineRule="exact"/>
              <w:ind w:right="-92" w:rightChars="-44"/>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6、拟派到场消毒人员需有水处理厂家培训证书；（到场后提交核验后方可进行消毒工作）</w:t>
            </w:r>
          </w:p>
          <w:p w14:paraId="45BE23C5">
            <w:pPr>
              <w:keepNext w:val="0"/>
              <w:keepLines w:val="0"/>
              <w:pageBreakBefore w:val="0"/>
              <w:widowControl w:val="0"/>
              <w:kinsoku/>
              <w:wordWrap/>
              <w:overflowPunct/>
              <w:topLinePunct w:val="0"/>
              <w:autoSpaceDE/>
              <w:autoSpaceDN/>
              <w:bidi w:val="0"/>
              <w:adjustRightInd/>
              <w:snapToGrid/>
              <w:spacing w:line="320" w:lineRule="exact"/>
              <w:ind w:right="-92" w:rightChars="-44"/>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7、根据水处理消毒服务和过氧乙酸消毒液报单价。根据水处理消毒服务和过氧乙酸消毒液实际发生数合计结算。如采购人需临时加消的，金额按单次水处理消毒服务和实际发生过氧乙酸消毒液桶数结算。</w:t>
            </w:r>
          </w:p>
          <w:p w14:paraId="16068CBD">
            <w:pPr>
              <w:keepNext w:val="0"/>
              <w:keepLines w:val="0"/>
              <w:pageBreakBefore w:val="0"/>
              <w:widowControl w:val="0"/>
              <w:kinsoku/>
              <w:wordWrap/>
              <w:overflowPunct/>
              <w:topLinePunct w:val="0"/>
              <w:autoSpaceDE/>
              <w:autoSpaceDN/>
              <w:bidi w:val="0"/>
              <w:adjustRightInd/>
              <w:snapToGrid/>
              <w:spacing w:line="320" w:lineRule="exact"/>
              <w:ind w:right="-92" w:rightChars="-44"/>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消毒工作完成后，由采购人自行负责采样及检测事宜。采购人采样后培养7个自然日，内镜中心合格标准为细菌总数≤10CFU/100mL，其他为≤50CFU/ml。双方确认，须确保自消毒完成之日起十日内，检测结果符合约定标准；</w:t>
            </w:r>
          </w:p>
          <w:p w14:paraId="28FDEA4A">
            <w:pPr>
              <w:keepNext w:val="0"/>
              <w:keepLines w:val="0"/>
              <w:pageBreakBefore w:val="0"/>
              <w:widowControl w:val="0"/>
              <w:kinsoku/>
              <w:wordWrap/>
              <w:overflowPunct/>
              <w:topLinePunct w:val="0"/>
              <w:autoSpaceDE/>
              <w:autoSpaceDN/>
              <w:bidi w:val="0"/>
              <w:adjustRightInd/>
              <w:snapToGrid/>
              <w:spacing w:line="320" w:lineRule="exact"/>
              <w:ind w:right="-92" w:rightChars="-44"/>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9、若检测结果未达标的，提供消毒服务的一方应对消毒措施进行改进，无偿进行补充消毒，如二次消毒完成后经检测确认仍未达到合格标准的，采购人有权解除本合同。</w:t>
            </w:r>
          </w:p>
        </w:tc>
        <w:tc>
          <w:tcPr>
            <w:tcW w:w="1595" w:type="pct"/>
            <w:tcBorders>
              <w:top w:val="single" w:color="auto" w:sz="4" w:space="0"/>
              <w:left w:val="nil"/>
              <w:bottom w:val="single" w:color="auto" w:sz="4" w:space="0"/>
              <w:right w:val="single" w:color="auto" w:sz="4" w:space="0"/>
            </w:tcBorders>
            <w:shd w:val="clear" w:color="auto" w:fill="auto"/>
            <w:vAlign w:val="center"/>
          </w:tcPr>
          <w:p w14:paraId="7CFF951C">
            <w:pPr>
              <w:jc w:val="center"/>
              <w:rPr>
                <w:rFonts w:hint="eastAsia" w:ascii="宋体" w:hAnsi="宋体" w:eastAsia="宋体"/>
                <w:color w:val="auto"/>
                <w:sz w:val="24"/>
                <w:szCs w:val="24"/>
                <w:highlight w:val="none"/>
              </w:rPr>
            </w:pPr>
          </w:p>
        </w:tc>
        <w:tc>
          <w:tcPr>
            <w:tcW w:w="420" w:type="pct"/>
            <w:tcBorders>
              <w:top w:val="single" w:color="auto" w:sz="4" w:space="0"/>
              <w:left w:val="nil"/>
              <w:bottom w:val="single" w:color="auto" w:sz="4" w:space="0"/>
              <w:right w:val="single" w:color="auto" w:sz="4" w:space="0"/>
            </w:tcBorders>
            <w:shd w:val="clear" w:color="auto" w:fill="auto"/>
            <w:vAlign w:val="center"/>
          </w:tcPr>
          <w:p w14:paraId="74085565">
            <w:pPr>
              <w:jc w:val="center"/>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是/否</w:t>
            </w:r>
          </w:p>
        </w:tc>
      </w:tr>
      <w:tr w14:paraId="30345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24" w:type="pct"/>
            <w:tcBorders>
              <w:top w:val="single" w:color="auto" w:sz="4" w:space="0"/>
              <w:left w:val="single" w:color="auto" w:sz="4" w:space="0"/>
              <w:bottom w:val="single" w:color="auto" w:sz="4" w:space="0"/>
              <w:right w:val="single" w:color="auto" w:sz="4" w:space="0"/>
            </w:tcBorders>
            <w:shd w:val="clear" w:color="auto" w:fill="auto"/>
            <w:vAlign w:val="center"/>
          </w:tcPr>
          <w:p w14:paraId="4BFECE1D">
            <w:pPr>
              <w:keepNext w:val="0"/>
              <w:keepLines w:val="0"/>
              <w:pageBreakBefore w:val="0"/>
              <w:widowControl w:val="0"/>
              <w:kinsoku/>
              <w:wordWrap/>
              <w:overflowPunct/>
              <w:topLinePunct w:val="0"/>
              <w:autoSpaceDE/>
              <w:autoSpaceDN/>
              <w:bidi w:val="0"/>
              <w:adjustRightInd/>
              <w:snapToGrid/>
              <w:spacing w:line="320" w:lineRule="exact"/>
              <w:ind w:right="-92" w:rightChars="-44"/>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555" w:type="pct"/>
            <w:tcBorders>
              <w:top w:val="single" w:color="auto" w:sz="4" w:space="0"/>
              <w:left w:val="nil"/>
              <w:bottom w:val="single" w:color="auto" w:sz="4" w:space="0"/>
              <w:right w:val="single" w:color="auto" w:sz="4" w:space="0"/>
            </w:tcBorders>
            <w:shd w:val="clear" w:color="auto" w:fill="auto"/>
            <w:vAlign w:val="center"/>
          </w:tcPr>
          <w:p w14:paraId="093605AE">
            <w:pPr>
              <w:keepNext w:val="0"/>
              <w:keepLines w:val="0"/>
              <w:pageBreakBefore w:val="0"/>
              <w:widowControl w:val="0"/>
              <w:kinsoku/>
              <w:wordWrap/>
              <w:overflowPunct/>
              <w:topLinePunct w:val="0"/>
              <w:autoSpaceDE/>
              <w:autoSpaceDN/>
              <w:bidi w:val="0"/>
              <w:adjustRightInd/>
              <w:snapToGrid/>
              <w:spacing w:line="320" w:lineRule="exact"/>
              <w:ind w:right="-92" w:rightChars="-44"/>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过氧乙酸消毒液</w:t>
            </w:r>
          </w:p>
        </w:tc>
        <w:tc>
          <w:tcPr>
            <w:tcW w:w="2205" w:type="pct"/>
            <w:tcBorders>
              <w:top w:val="single" w:color="auto" w:sz="4" w:space="0"/>
              <w:left w:val="nil"/>
              <w:bottom w:val="single" w:color="auto" w:sz="4" w:space="0"/>
              <w:right w:val="single" w:color="auto" w:sz="4" w:space="0"/>
            </w:tcBorders>
            <w:shd w:val="clear" w:color="auto" w:fill="auto"/>
            <w:vAlign w:val="center"/>
          </w:tcPr>
          <w:p w14:paraId="7884A133">
            <w:pPr>
              <w:keepNext w:val="0"/>
              <w:keepLines w:val="0"/>
              <w:pageBreakBefore w:val="0"/>
              <w:widowControl w:val="0"/>
              <w:kinsoku/>
              <w:wordWrap/>
              <w:overflowPunct/>
              <w:topLinePunct w:val="0"/>
              <w:autoSpaceDE/>
              <w:autoSpaceDN/>
              <w:bidi w:val="0"/>
              <w:adjustRightInd/>
              <w:snapToGrid/>
              <w:spacing w:line="320" w:lineRule="exact"/>
              <w:ind w:right="-92" w:rightChars="-44"/>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5L桶装17%-21%过氧乙酸消毒液。</w:t>
            </w:r>
          </w:p>
        </w:tc>
        <w:tc>
          <w:tcPr>
            <w:tcW w:w="1595" w:type="pct"/>
            <w:tcBorders>
              <w:top w:val="single" w:color="auto" w:sz="4" w:space="0"/>
              <w:left w:val="nil"/>
              <w:bottom w:val="single" w:color="auto" w:sz="4" w:space="0"/>
              <w:right w:val="single" w:color="auto" w:sz="4" w:space="0"/>
            </w:tcBorders>
            <w:shd w:val="clear" w:color="auto" w:fill="auto"/>
            <w:vAlign w:val="center"/>
          </w:tcPr>
          <w:p w14:paraId="13291C30">
            <w:pPr>
              <w:jc w:val="center"/>
              <w:rPr>
                <w:rFonts w:hint="eastAsia" w:ascii="宋体" w:hAnsi="宋体" w:eastAsia="宋体"/>
                <w:color w:val="auto"/>
                <w:sz w:val="24"/>
                <w:szCs w:val="24"/>
                <w:highlight w:val="none"/>
              </w:rPr>
            </w:pPr>
          </w:p>
        </w:tc>
        <w:tc>
          <w:tcPr>
            <w:tcW w:w="420" w:type="pct"/>
            <w:tcBorders>
              <w:top w:val="single" w:color="auto" w:sz="4" w:space="0"/>
              <w:left w:val="nil"/>
              <w:bottom w:val="single" w:color="auto" w:sz="4" w:space="0"/>
              <w:right w:val="single" w:color="auto" w:sz="4" w:space="0"/>
            </w:tcBorders>
            <w:shd w:val="clear" w:color="auto" w:fill="auto"/>
            <w:vAlign w:val="center"/>
          </w:tcPr>
          <w:p w14:paraId="2B2B1E41">
            <w:pPr>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是/否</w:t>
            </w:r>
          </w:p>
        </w:tc>
      </w:tr>
    </w:tbl>
    <w:p w14:paraId="5888BC24">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投标人盖章：</w:t>
      </w:r>
      <w:r>
        <w:rPr>
          <w:rFonts w:hint="eastAsia" w:ascii="宋体" w:hAnsi="宋体" w:eastAsia="宋体"/>
          <w:color w:val="auto"/>
          <w:sz w:val="24"/>
          <w:szCs w:val="24"/>
          <w:highlight w:val="none"/>
          <w:u w:val="single"/>
          <w:lang w:bidi="ar"/>
        </w:rPr>
        <w:t xml:space="preserve">             </w:t>
      </w:r>
    </w:p>
    <w:p w14:paraId="10A68899">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日</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期：</w:t>
      </w:r>
      <w:r>
        <w:rPr>
          <w:rFonts w:hint="eastAsia" w:ascii="宋体" w:hAnsi="宋体" w:eastAsia="宋体"/>
          <w:color w:val="auto"/>
          <w:sz w:val="24"/>
          <w:szCs w:val="24"/>
          <w:highlight w:val="none"/>
          <w:u w:val="single"/>
          <w:lang w:bidi="ar"/>
        </w:rPr>
        <w:t xml:space="preserve">             </w:t>
      </w:r>
    </w:p>
    <w:p w14:paraId="5FD30F0D">
      <w:pPr>
        <w:pStyle w:val="21"/>
        <w:spacing w:before="0" w:beforeAutospacing="0" w:after="0" w:afterAutospacing="0" w:line="360" w:lineRule="auto"/>
        <w:jc w:val="both"/>
        <w:rPr>
          <w:rFonts w:hint="eastAsia" w:ascii="宋体" w:hAnsi="宋体" w:eastAsia="宋体" w:cs="Arial"/>
          <w:color w:val="auto"/>
          <w:kern w:val="2"/>
          <w:szCs w:val="24"/>
          <w:highlight w:val="none"/>
          <w:lang w:bidi="ar"/>
        </w:rPr>
      </w:pPr>
      <w:r>
        <w:rPr>
          <w:rFonts w:hint="eastAsia" w:ascii="宋体" w:hAnsi="宋体" w:eastAsia="宋体" w:cs="Arial"/>
          <w:color w:val="auto"/>
          <w:kern w:val="2"/>
          <w:szCs w:val="24"/>
          <w:highlight w:val="none"/>
          <w:lang w:bidi="ar"/>
        </w:rPr>
        <w:br w:type="page"/>
      </w:r>
    </w:p>
    <w:p w14:paraId="5319D043">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val="en-US" w:eastAsia="zh-CN" w:bidi="ar"/>
        </w:rPr>
        <w:t>七</w:t>
      </w:r>
      <w:r>
        <w:rPr>
          <w:rFonts w:hint="eastAsia" w:ascii="宋体" w:hAnsi="宋体" w:eastAsia="宋体" w:cs="宋体"/>
          <w:b/>
          <w:color w:val="auto"/>
          <w:sz w:val="24"/>
          <w:szCs w:val="24"/>
          <w:highlight w:val="none"/>
          <w:lang w:bidi="ar"/>
        </w:rPr>
        <w:t>、诚信履约承诺函</w:t>
      </w:r>
    </w:p>
    <w:p w14:paraId="20578258">
      <w:pPr>
        <w:spacing w:line="360" w:lineRule="auto"/>
        <w:rPr>
          <w:rFonts w:hint="eastAsia" w:ascii="宋体" w:hAnsi="宋体" w:eastAsia="宋体"/>
          <w:b/>
          <w:bCs/>
          <w:color w:val="auto"/>
          <w:sz w:val="24"/>
          <w:szCs w:val="24"/>
          <w:highlight w:val="none"/>
          <w:u w:val="single"/>
        </w:rPr>
      </w:pPr>
      <w:r>
        <w:rPr>
          <w:rFonts w:hint="eastAsia" w:ascii="宋体" w:hAnsi="宋体" w:eastAsia="宋体" w:cs="宋体"/>
          <w:b/>
          <w:bCs/>
          <w:color w:val="auto"/>
          <w:sz w:val="24"/>
          <w:szCs w:val="24"/>
          <w:highlight w:val="none"/>
          <w:lang w:bidi="ar"/>
        </w:rPr>
        <w:t>致：采购人</w:t>
      </w:r>
    </w:p>
    <w:p w14:paraId="583021F0">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4992E853">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（1）中标或者成交后无正当理由拒不与采购人签订政府采购合同；</w:t>
      </w:r>
    </w:p>
    <w:p w14:paraId="23E7A6D3">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（2）未按照采购文件确定的事项签订政府采购合同；</w:t>
      </w:r>
    </w:p>
    <w:p w14:paraId="08F7AAFF">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（3）将政府采购合同转包；</w:t>
      </w:r>
    </w:p>
    <w:p w14:paraId="2067B0E9">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（4）提供假冒伪劣产品；</w:t>
      </w:r>
    </w:p>
    <w:p w14:paraId="44FA9DEE">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（5）擅自变更、中止或者终止政府采购合同。</w:t>
      </w:r>
    </w:p>
    <w:p w14:paraId="5D8991A5">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1A54D26">
      <w:pPr>
        <w:spacing w:line="360" w:lineRule="auto"/>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lang w:bidi="ar"/>
        </w:rPr>
        <w:t xml:space="preserve">   </w:t>
      </w:r>
      <w:r>
        <w:rPr>
          <w:rFonts w:hint="eastAsia" w:ascii="宋体" w:hAnsi="宋体" w:eastAsia="宋体" w:cs="宋体"/>
          <w:bCs/>
          <w:color w:val="auto"/>
          <w:sz w:val="24"/>
          <w:szCs w:val="24"/>
          <w:highlight w:val="none"/>
          <w:lang w:bidi="ar"/>
        </w:rPr>
        <w:t>本承诺声明：</w:t>
      </w:r>
      <w:r>
        <w:rPr>
          <w:rFonts w:hint="eastAsia" w:ascii="宋体" w:hAnsi="宋体" w:eastAsia="宋体"/>
          <w:bCs/>
          <w:color w:val="auto"/>
          <w:sz w:val="24"/>
          <w:szCs w:val="24"/>
          <w:highlight w:val="none"/>
          <w:u w:val="single"/>
          <w:lang w:bidi="ar"/>
        </w:rPr>
        <w:t xml:space="preserve"> </w:t>
      </w:r>
      <w:r>
        <w:rPr>
          <w:rFonts w:hint="eastAsia" w:ascii="宋体" w:hAnsi="宋体" w:eastAsia="宋体" w:cs="宋体"/>
          <w:bCs/>
          <w:color w:val="auto"/>
          <w:sz w:val="24"/>
          <w:szCs w:val="24"/>
          <w:highlight w:val="none"/>
          <w:u w:val="single"/>
          <w:lang w:bidi="ar"/>
        </w:rPr>
        <w:t>（投标人名称）</w:t>
      </w:r>
      <w:r>
        <w:rPr>
          <w:rFonts w:hint="eastAsia" w:ascii="宋体" w:hAnsi="宋体" w:eastAsia="宋体"/>
          <w:bCs/>
          <w:color w:val="auto"/>
          <w:sz w:val="24"/>
          <w:szCs w:val="24"/>
          <w:highlight w:val="none"/>
          <w:u w:val="single"/>
          <w:lang w:bidi="ar"/>
        </w:rPr>
        <w:t xml:space="preserve">  </w:t>
      </w:r>
      <w:r>
        <w:rPr>
          <w:rFonts w:hint="eastAsia" w:ascii="宋体" w:hAnsi="宋体" w:eastAsia="宋体" w:cs="宋体"/>
          <w:bCs/>
          <w:color w:val="auto"/>
          <w:sz w:val="24"/>
          <w:szCs w:val="24"/>
          <w:highlight w:val="none"/>
          <w:lang w:bidi="ar"/>
        </w:rPr>
        <w:t>对本招标文件的相关要求完全响应。若有幸中标将严格按照以上承诺进行供货和服务。</w:t>
      </w:r>
    </w:p>
    <w:p w14:paraId="3D8D54FD">
      <w:pPr>
        <w:spacing w:line="360" w:lineRule="auto"/>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lang w:bidi="ar"/>
        </w:rPr>
        <w:t xml:space="preserve"> </w:t>
      </w:r>
    </w:p>
    <w:p w14:paraId="720251DD">
      <w:pPr>
        <w:spacing w:line="360" w:lineRule="auto"/>
        <w:ind w:firstLine="4320" w:firstLineChars="1800"/>
        <w:rPr>
          <w:rFonts w:hint="eastAsia" w:ascii="宋体" w:hAnsi="宋体" w:eastAsia="宋体"/>
          <w:bCs/>
          <w:color w:val="auto"/>
          <w:sz w:val="24"/>
          <w:szCs w:val="24"/>
          <w:highlight w:val="none"/>
          <w:u w:val="single"/>
        </w:rPr>
      </w:pPr>
      <w:r>
        <w:rPr>
          <w:rFonts w:hint="eastAsia" w:ascii="宋体" w:hAnsi="宋体" w:eastAsia="宋体" w:cs="宋体"/>
          <w:bCs/>
          <w:color w:val="auto"/>
          <w:sz w:val="24"/>
          <w:szCs w:val="24"/>
          <w:highlight w:val="none"/>
          <w:lang w:bidi="ar"/>
        </w:rPr>
        <w:t>投标人盖章：</w:t>
      </w:r>
      <w:r>
        <w:rPr>
          <w:rFonts w:hint="eastAsia" w:ascii="宋体" w:hAnsi="宋体" w:eastAsia="宋体"/>
          <w:bCs/>
          <w:color w:val="auto"/>
          <w:sz w:val="24"/>
          <w:szCs w:val="24"/>
          <w:highlight w:val="none"/>
          <w:u w:val="single"/>
          <w:lang w:bidi="ar"/>
        </w:rPr>
        <w:t xml:space="preserve">             </w:t>
      </w:r>
    </w:p>
    <w:p w14:paraId="5E0B7C6D">
      <w:pPr>
        <w:spacing w:line="360" w:lineRule="auto"/>
        <w:ind w:firstLine="4320" w:firstLineChars="18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日</w:t>
      </w:r>
      <w:r>
        <w:rPr>
          <w:rFonts w:hint="eastAsia" w:ascii="宋体" w:hAnsi="宋体" w:eastAsia="宋体"/>
          <w:bCs/>
          <w:color w:val="auto"/>
          <w:sz w:val="24"/>
          <w:szCs w:val="24"/>
          <w:highlight w:val="none"/>
          <w:lang w:bidi="ar"/>
        </w:rPr>
        <w:t xml:space="preserve">      </w:t>
      </w:r>
      <w:r>
        <w:rPr>
          <w:rFonts w:hint="eastAsia" w:ascii="宋体" w:hAnsi="宋体" w:eastAsia="宋体" w:cs="宋体"/>
          <w:bCs/>
          <w:color w:val="auto"/>
          <w:sz w:val="24"/>
          <w:szCs w:val="24"/>
          <w:highlight w:val="none"/>
          <w:lang w:bidi="ar"/>
        </w:rPr>
        <w:t>期：</w:t>
      </w:r>
      <w:r>
        <w:rPr>
          <w:rFonts w:hint="eastAsia" w:ascii="宋体" w:hAnsi="宋体" w:eastAsia="宋体"/>
          <w:bCs/>
          <w:color w:val="auto"/>
          <w:sz w:val="24"/>
          <w:szCs w:val="24"/>
          <w:highlight w:val="none"/>
          <w:u w:val="single"/>
          <w:lang w:bidi="ar"/>
        </w:rPr>
        <w:t xml:space="preserve">             </w:t>
      </w:r>
    </w:p>
    <w:p w14:paraId="79B14639">
      <w:pPr>
        <w:widowControl/>
        <w:jc w:val="left"/>
        <w:rPr>
          <w:rFonts w:hint="eastAsia" w:ascii="宋体" w:hAnsi="宋体" w:eastAsia="宋体" w:cs="Arial"/>
          <w:color w:val="auto"/>
          <w:sz w:val="24"/>
          <w:szCs w:val="24"/>
          <w:highlight w:val="none"/>
        </w:rPr>
      </w:pPr>
      <w:r>
        <w:rPr>
          <w:rFonts w:hint="eastAsia" w:ascii="宋体" w:hAnsi="宋体" w:eastAsia="宋体" w:cs="Arial"/>
          <w:color w:val="auto"/>
          <w:sz w:val="24"/>
          <w:szCs w:val="24"/>
          <w:highlight w:val="none"/>
          <w:lang w:bidi="ar"/>
        </w:rPr>
        <w:br w:type="page"/>
      </w:r>
    </w:p>
    <w:p w14:paraId="20DFF6BD">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val="en-US" w:eastAsia="zh-CN" w:bidi="ar"/>
        </w:rPr>
        <w:t>八</w:t>
      </w:r>
      <w:r>
        <w:rPr>
          <w:rFonts w:hint="eastAsia" w:ascii="宋体" w:hAnsi="宋体" w:eastAsia="宋体" w:cs="宋体"/>
          <w:b/>
          <w:color w:val="auto"/>
          <w:sz w:val="24"/>
          <w:szCs w:val="24"/>
          <w:highlight w:val="none"/>
          <w:lang w:bidi="ar"/>
        </w:rPr>
        <w:t>、诚信投标承诺书</w:t>
      </w:r>
    </w:p>
    <w:p w14:paraId="4B097837">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本人以企业法定代表人的身份郑重承诺：</w:t>
      </w:r>
    </w:p>
    <w:p w14:paraId="4555C1BA">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一、将遵循公开、公正和诚实信用的原则自愿参加</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项目的投标，所提供的一切材料都是真实、有效、合法的；</w:t>
      </w:r>
    </w:p>
    <w:p w14:paraId="05F5DE0E">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44547EA0">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三、不出借、转让资质证书，不让他人挂靠投标，不以他人名义投标或者以其他方式弄虚作假，骗取中标；</w:t>
      </w:r>
    </w:p>
    <w:p w14:paraId="788A9B29">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四、不与其他投标人相互串通投标报价，不排挤其他投标人的公平竞争、损害招标人的合法权益；</w:t>
      </w:r>
    </w:p>
    <w:p w14:paraId="786F6854">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五、不与招标人、招标代理机构或其他投标人串通投标，损害国家利益、社会公共利益或者他人的合法权益；</w:t>
      </w:r>
    </w:p>
    <w:p w14:paraId="65026935">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六、我公司没有下列情形：1、被人民法院列入失信被执行人的；2、我公司及其法定代表人、拟派项目经理（项目负责人）前三年有行贿犯罪行为的；3、被市场监督管理部门列入经营异常名录或者严重违法企业名单，且未被移除的；4、被税收部门列入重大税收违法案件当事人的；5、被政府采购监管部门列入政府采购严重违法失信行为记录名单的；6、在“信用中国”网站上披露仍在公示期的严重失信行为的；7、参与政府采购活动前3年在经营活动中有重大违法记录的。（若招标文件对投标人所属分公司、办事处等分支机构有上述1-7项信誉要求，在此一并承诺我公司所属分公司、办事处等分支机构没有上述1-7项情形）</w:t>
      </w:r>
    </w:p>
    <w:p w14:paraId="288AF87D">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七、我公司没有下列情形：被滁州市县两级公管部门记入不良行为记录且在披露期内。</w:t>
      </w:r>
    </w:p>
    <w:p w14:paraId="766B8BE7">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八、严格遵守开标现场纪律，服从监管人员管理；</w:t>
      </w:r>
    </w:p>
    <w:p w14:paraId="16E31B7A">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九、保证中标后不转包，若有分包征得招标人同意；</w:t>
      </w:r>
    </w:p>
    <w:p w14:paraId="21A1C2DB">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十、保证中标之后，按照投标文件要求提供相关后续服务；</w:t>
      </w:r>
    </w:p>
    <w:p w14:paraId="55BD137D">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十一、保证企业及所属相关人员在本次投标中无行贿等犯罪行为；</w:t>
      </w:r>
    </w:p>
    <w:p w14:paraId="51A18AA2">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二、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3D505C17">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以上内容我已仔细阅读，本公司若有违反承诺内容的行为，自愿接受取消投标或者中标资格、记入不良行为记录等有关处理，愿意承担法律责任，给招标人造成损失的，依法承担赔偿责任。</w:t>
      </w:r>
    </w:p>
    <w:p w14:paraId="4EE9C621">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7962CFC7">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开户银行：                      基本账户：</w:t>
      </w:r>
    </w:p>
    <w:p w14:paraId="5ECA05CB">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投标单位（盖章）：              法定代表人（签字或盖章）：</w:t>
      </w:r>
    </w:p>
    <w:p w14:paraId="074D2A5F">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365F2806">
      <w:pPr>
        <w:spacing w:line="560" w:lineRule="exact"/>
        <w:jc w:val="right"/>
        <w:rPr>
          <w:rFonts w:hint="eastAsia" w:ascii="仿宋_GB2312" w:eastAsia="仿宋_GB2312" w:cs="仿宋_GB2312"/>
          <w:color w:val="auto"/>
          <w:sz w:val="24"/>
          <w:szCs w:val="24"/>
          <w:highlight w:val="none"/>
        </w:rPr>
      </w:pPr>
      <w:r>
        <w:rPr>
          <w:rFonts w:hint="eastAsia" w:ascii="宋体" w:hAnsi="宋体" w:eastAsia="宋体" w:cs="宋体"/>
          <w:color w:val="auto"/>
          <w:sz w:val="24"/>
          <w:szCs w:val="24"/>
          <w:highlight w:val="none"/>
          <w:lang w:bidi="ar"/>
        </w:rPr>
        <w:t>日期：</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年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月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日</w:t>
      </w:r>
    </w:p>
    <w:p w14:paraId="7B8F39C7">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t xml:space="preserve"> </w:t>
      </w:r>
    </w:p>
    <w:p w14:paraId="40A8920F">
      <w:pPr>
        <w:spacing w:line="360" w:lineRule="auto"/>
        <w:jc w:val="center"/>
        <w:outlineLvl w:val="1"/>
        <w:rPr>
          <w:rFonts w:hint="eastAsia" w:asciiTheme="minorEastAsia" w:hAnsiTheme="minorEastAsia" w:eastAsiaTheme="minorEastAsia"/>
          <w:b/>
          <w:color w:val="auto"/>
          <w:sz w:val="24"/>
          <w:highlight w:val="none"/>
        </w:rPr>
      </w:pPr>
      <w:bookmarkStart w:id="68" w:name="_Toc32633"/>
      <w:bookmarkStart w:id="69" w:name="_Toc2683"/>
    </w:p>
    <w:p w14:paraId="1DF83293">
      <w:pPr>
        <w:spacing w:line="360" w:lineRule="auto"/>
        <w:jc w:val="center"/>
        <w:outlineLvl w:val="1"/>
        <w:rPr>
          <w:rFonts w:hint="eastAsia" w:asciiTheme="minorEastAsia" w:hAnsiTheme="minorEastAsia" w:eastAsiaTheme="minorEastAsia"/>
          <w:b/>
          <w:color w:val="auto"/>
          <w:sz w:val="24"/>
          <w:highlight w:val="none"/>
        </w:rPr>
      </w:pPr>
    </w:p>
    <w:p w14:paraId="55B9052C">
      <w:pPr>
        <w:spacing w:line="360" w:lineRule="auto"/>
        <w:jc w:val="center"/>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九</w:t>
      </w:r>
      <w:r>
        <w:rPr>
          <w:rFonts w:hint="eastAsia" w:asciiTheme="minorEastAsia" w:hAnsiTheme="minorEastAsia" w:eastAsiaTheme="minorEastAsia"/>
          <w:b/>
          <w:color w:val="auto"/>
          <w:sz w:val="24"/>
          <w:highlight w:val="none"/>
        </w:rPr>
        <w:t>、其他相关证明材料</w:t>
      </w:r>
      <w:bookmarkEnd w:id="68"/>
      <w:bookmarkEnd w:id="69"/>
    </w:p>
    <w:p w14:paraId="360845A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提供符合投标邀请、采购需求及评标方法和标准规定的相关证明文件。</w:t>
      </w:r>
    </w:p>
    <w:p w14:paraId="7665A568">
      <w:pPr>
        <w:spacing w:line="360" w:lineRule="auto"/>
        <w:ind w:firstLine="480" w:firstLineChars="200"/>
        <w:rPr>
          <w:rFonts w:hint="eastAsia" w:asciiTheme="minorEastAsia" w:hAnsiTheme="minorEastAsia" w:eastAsiaTheme="minorEastAsia"/>
          <w:color w:val="auto"/>
          <w:sz w:val="24"/>
          <w:highlight w:val="none"/>
        </w:rPr>
      </w:pPr>
    </w:p>
    <w:p w14:paraId="34878363">
      <w:pPr>
        <w:widowControl/>
        <w:jc w:val="left"/>
        <w:rPr>
          <w:rFonts w:hint="eastAsia" w:asciiTheme="minorEastAsia" w:hAnsiTheme="minorEastAsia" w:eastAsiaTheme="minorEastAsia"/>
          <w:color w:val="auto"/>
          <w:sz w:val="24"/>
          <w:highlight w:val="none"/>
        </w:rPr>
      </w:pPr>
    </w:p>
    <w:bookmarkEnd w:id="62"/>
    <w:bookmarkEnd w:id="63"/>
    <w:p w14:paraId="4DC84980">
      <w:pPr>
        <w:widowControl/>
        <w:jc w:val="center"/>
        <w:rPr>
          <w:rFonts w:hint="eastAsia" w:ascii="宋体" w:hAnsi="宋体" w:eastAsia="宋体" w:cs="宋体"/>
          <w:b/>
          <w:color w:val="auto"/>
          <w:sz w:val="24"/>
          <w:szCs w:val="24"/>
          <w:highlight w:val="none"/>
          <w:lang w:bidi="ar"/>
        </w:rPr>
      </w:pPr>
      <w:bookmarkStart w:id="70" w:name="_Toc18131"/>
      <w:bookmarkStart w:id="71" w:name="_Toc6435"/>
    </w:p>
    <w:p w14:paraId="17B899DB">
      <w:pPr>
        <w:widowControl/>
        <w:jc w:val="center"/>
        <w:rPr>
          <w:rFonts w:hint="eastAsia" w:ascii="宋体" w:hAnsi="宋体" w:eastAsia="宋体" w:cs="宋体"/>
          <w:b/>
          <w:color w:val="auto"/>
          <w:sz w:val="24"/>
          <w:szCs w:val="24"/>
          <w:highlight w:val="none"/>
          <w:lang w:bidi="ar"/>
        </w:rPr>
      </w:pPr>
    </w:p>
    <w:p w14:paraId="1FF31EAF">
      <w:pPr>
        <w:widowControl/>
        <w:jc w:val="center"/>
        <w:rPr>
          <w:rFonts w:hint="eastAsia" w:ascii="宋体" w:hAnsi="宋体" w:eastAsia="宋体" w:cs="宋体"/>
          <w:b/>
          <w:color w:val="auto"/>
          <w:sz w:val="24"/>
          <w:szCs w:val="24"/>
          <w:highlight w:val="none"/>
          <w:lang w:bidi="ar"/>
        </w:rPr>
      </w:pPr>
    </w:p>
    <w:p w14:paraId="4CECD4EC">
      <w:pPr>
        <w:widowControl/>
        <w:jc w:val="center"/>
        <w:rPr>
          <w:rFonts w:hint="eastAsia" w:ascii="宋体" w:hAnsi="宋体" w:eastAsia="宋体" w:cs="宋体"/>
          <w:b/>
          <w:color w:val="auto"/>
          <w:sz w:val="24"/>
          <w:szCs w:val="24"/>
          <w:highlight w:val="none"/>
          <w:lang w:bidi="ar"/>
        </w:rPr>
      </w:pPr>
    </w:p>
    <w:p w14:paraId="34B1482A">
      <w:pPr>
        <w:widowControl/>
        <w:jc w:val="center"/>
        <w:rPr>
          <w:rFonts w:hint="eastAsia" w:ascii="宋体" w:hAnsi="宋体" w:eastAsia="宋体" w:cs="宋体"/>
          <w:b/>
          <w:color w:val="auto"/>
          <w:sz w:val="24"/>
          <w:szCs w:val="24"/>
          <w:highlight w:val="none"/>
          <w:lang w:bidi="ar"/>
        </w:rPr>
      </w:pPr>
    </w:p>
    <w:p w14:paraId="102A325A">
      <w:pPr>
        <w:widowControl/>
        <w:jc w:val="center"/>
        <w:rPr>
          <w:rFonts w:hint="eastAsia" w:ascii="宋体" w:hAnsi="宋体" w:eastAsia="宋体" w:cs="宋体"/>
          <w:b/>
          <w:color w:val="auto"/>
          <w:sz w:val="24"/>
          <w:szCs w:val="24"/>
          <w:highlight w:val="none"/>
          <w:lang w:bidi="ar"/>
        </w:rPr>
      </w:pPr>
    </w:p>
    <w:p w14:paraId="3DDA57EC">
      <w:pPr>
        <w:widowControl/>
        <w:jc w:val="center"/>
        <w:rPr>
          <w:rFonts w:hint="eastAsia" w:ascii="宋体" w:hAnsi="宋体" w:eastAsia="宋体" w:cs="宋体"/>
          <w:b/>
          <w:color w:val="auto"/>
          <w:sz w:val="24"/>
          <w:szCs w:val="24"/>
          <w:highlight w:val="none"/>
          <w:lang w:bidi="ar"/>
        </w:rPr>
      </w:pPr>
    </w:p>
    <w:p w14:paraId="7C6BDF88">
      <w:pPr>
        <w:widowControl/>
        <w:jc w:val="center"/>
        <w:rPr>
          <w:rFonts w:hint="eastAsia" w:ascii="宋体" w:hAnsi="宋体" w:eastAsia="宋体" w:cs="宋体"/>
          <w:b/>
          <w:color w:val="auto"/>
          <w:sz w:val="24"/>
          <w:szCs w:val="24"/>
          <w:highlight w:val="none"/>
          <w:lang w:bidi="ar"/>
        </w:rPr>
      </w:pPr>
    </w:p>
    <w:p w14:paraId="516B6CB3">
      <w:pPr>
        <w:widowControl/>
        <w:jc w:val="center"/>
        <w:rPr>
          <w:rFonts w:hint="eastAsia" w:ascii="宋体" w:hAnsi="宋体" w:eastAsia="宋体" w:cs="宋体"/>
          <w:b/>
          <w:color w:val="auto"/>
          <w:sz w:val="24"/>
          <w:szCs w:val="24"/>
          <w:highlight w:val="none"/>
          <w:lang w:bidi="ar"/>
        </w:rPr>
      </w:pPr>
    </w:p>
    <w:p w14:paraId="2135F874">
      <w:pPr>
        <w:widowControl/>
        <w:jc w:val="center"/>
        <w:rPr>
          <w:rFonts w:hint="eastAsia" w:ascii="宋体" w:hAnsi="宋体" w:eastAsia="宋体" w:cs="宋体"/>
          <w:b/>
          <w:color w:val="auto"/>
          <w:sz w:val="24"/>
          <w:szCs w:val="24"/>
          <w:highlight w:val="none"/>
          <w:lang w:bidi="ar"/>
        </w:rPr>
      </w:pPr>
    </w:p>
    <w:p w14:paraId="2E89436C">
      <w:pPr>
        <w:widowControl/>
        <w:jc w:val="center"/>
        <w:rPr>
          <w:rFonts w:hint="eastAsia" w:ascii="宋体" w:hAnsi="宋体" w:eastAsia="宋体" w:cs="宋体"/>
          <w:b/>
          <w:color w:val="auto"/>
          <w:sz w:val="24"/>
          <w:szCs w:val="24"/>
          <w:highlight w:val="none"/>
          <w:lang w:bidi="ar"/>
        </w:rPr>
      </w:pPr>
    </w:p>
    <w:p w14:paraId="62EC526F">
      <w:pPr>
        <w:spacing w:line="360" w:lineRule="auto"/>
        <w:jc w:val="center"/>
        <w:outlineLvl w:val="0"/>
        <w:rPr>
          <w:rFonts w:hint="eastAsia" w:ascii="宋体" w:hAnsi="宋体" w:eastAsia="宋体"/>
          <w:b/>
          <w:bCs/>
          <w:color w:val="auto"/>
          <w:sz w:val="28"/>
          <w:highlight w:val="none"/>
        </w:rPr>
      </w:pPr>
      <w:r>
        <w:rPr>
          <w:rFonts w:hint="eastAsia" w:asciiTheme="minorEastAsia" w:hAnsiTheme="minorEastAsia" w:eastAsiaTheme="minorEastAsia"/>
          <w:b/>
          <w:color w:val="auto"/>
          <w:sz w:val="28"/>
          <w:highlight w:val="none"/>
        </w:rPr>
        <w:t>第七章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70"/>
      <w:bookmarkEnd w:id="71"/>
    </w:p>
    <w:p w14:paraId="1F23621D">
      <w:pPr>
        <w:spacing w:line="360" w:lineRule="auto"/>
        <w:jc w:val="center"/>
        <w:outlineLvl w:val="1"/>
        <w:rPr>
          <w:rFonts w:hint="eastAsia" w:ascii="仿宋" w:hAnsi="仿宋" w:eastAsia="仿宋" w:cs="仿宋"/>
          <w:b/>
          <w:bCs/>
          <w:color w:val="auto"/>
          <w:sz w:val="32"/>
          <w:szCs w:val="44"/>
          <w:highlight w:val="none"/>
        </w:rPr>
      </w:pPr>
      <w:bookmarkStart w:id="72" w:name="_Toc27159"/>
      <w:bookmarkStart w:id="73" w:name="_Toc27489"/>
      <w:r>
        <w:rPr>
          <w:rFonts w:hint="eastAsia" w:ascii="仿宋" w:hAnsi="仿宋" w:eastAsia="仿宋" w:cs="仿宋"/>
          <w:b/>
          <w:bCs/>
          <w:color w:val="auto"/>
          <w:sz w:val="32"/>
          <w:szCs w:val="44"/>
          <w:highlight w:val="none"/>
        </w:rPr>
        <w:t>询问函范本</w:t>
      </w:r>
      <w:bookmarkEnd w:id="72"/>
      <w:bookmarkEnd w:id="73"/>
    </w:p>
    <w:p w14:paraId="2B77BAB1">
      <w:pPr>
        <w:adjustRightInd w:val="0"/>
        <w:snapToGrid w:val="0"/>
        <w:spacing w:line="360" w:lineRule="auto"/>
        <w:rPr>
          <w:rFonts w:hint="eastAsia"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（如为对采购文件或采购程序的询问或疑问，请按询问函范本格式进行提交）</w:t>
      </w:r>
    </w:p>
    <w:p w14:paraId="2B41EF12">
      <w:pPr>
        <w:adjustRightInd w:val="0"/>
        <w:snapToGrid w:val="0"/>
        <w:spacing w:line="360" w:lineRule="auto"/>
        <w:rPr>
          <w:rFonts w:hint="eastAsia" w:cs="仿宋" w:asciiTheme="minorEastAsia" w:hAnsiTheme="minorEastAsia" w:eastAsiaTheme="minorEastAsia"/>
          <w:b/>
          <w:bCs/>
          <w:color w:val="auto"/>
          <w:sz w:val="24"/>
          <w:szCs w:val="24"/>
          <w:highlight w:val="none"/>
          <w:u w:val="single"/>
        </w:rPr>
      </w:pPr>
      <w:r>
        <w:rPr>
          <w:rFonts w:hint="eastAsia" w:cs="仿宋" w:asciiTheme="minorEastAsia" w:hAnsiTheme="minorEastAsia" w:eastAsiaTheme="minorEastAsia"/>
          <w:b/>
          <w:bCs/>
          <w:color w:val="auto"/>
          <w:sz w:val="24"/>
          <w:szCs w:val="24"/>
          <w:highlight w:val="none"/>
        </w:rPr>
        <w:t>致：采购人</w:t>
      </w:r>
    </w:p>
    <w:p w14:paraId="1B7D460E">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rPr>
        <w:t xml:space="preserve">           </w:t>
      </w:r>
      <w:r>
        <w:rPr>
          <w:rFonts w:hint="eastAsia" w:cs="仿宋" w:asciiTheme="minorEastAsia" w:hAnsiTheme="minorEastAsia" w:eastAsiaTheme="minorEastAsia"/>
          <w:color w:val="auto"/>
          <w:sz w:val="24"/>
          <w:szCs w:val="24"/>
          <w:highlight w:val="none"/>
        </w:rPr>
        <w:t>（</w:t>
      </w:r>
      <w:r>
        <w:rPr>
          <w:rFonts w:hint="eastAsia" w:cs="仿宋" w:asciiTheme="minorEastAsia" w:hAnsiTheme="minorEastAsia" w:eastAsiaTheme="minorEastAsia"/>
          <w:i/>
          <w:iCs/>
          <w:color w:val="auto"/>
          <w:sz w:val="24"/>
          <w:szCs w:val="24"/>
          <w:highlight w:val="none"/>
        </w:rPr>
        <w:t>项目名称、编号</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2FF549A0">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bookmarkStart w:id="74" w:name="_Toc13899"/>
      <w:r>
        <w:rPr>
          <w:rFonts w:hint="eastAsia" w:cs="仿宋" w:asciiTheme="minorEastAsia" w:hAnsiTheme="minorEastAsia" w:eastAsiaTheme="minorEastAsia"/>
          <w:color w:val="auto"/>
          <w:sz w:val="24"/>
          <w:szCs w:val="24"/>
          <w:highlight w:val="none"/>
        </w:rPr>
        <w:t>一、(事项一)</w:t>
      </w:r>
      <w:bookmarkEnd w:id="74"/>
    </w:p>
    <w:p w14:paraId="70163DFD">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2054FBF6">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7752D951">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4067E72C">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bookmarkStart w:id="75" w:name="_Toc3352"/>
      <w:r>
        <w:rPr>
          <w:rFonts w:hint="eastAsia" w:cs="仿宋" w:asciiTheme="minorEastAsia" w:hAnsiTheme="minorEastAsia" w:eastAsiaTheme="minorEastAsia"/>
          <w:color w:val="auto"/>
          <w:sz w:val="24"/>
          <w:szCs w:val="24"/>
          <w:highlight w:val="none"/>
        </w:rPr>
        <w:t>二、(事项二)</w:t>
      </w:r>
      <w:bookmarkEnd w:id="75"/>
    </w:p>
    <w:p w14:paraId="6D1C4871">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7113FF80">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273DB36F">
      <w:pPr>
        <w:spacing w:line="360" w:lineRule="auto"/>
        <w:ind w:firstLine="4228" w:firstLineChars="1762"/>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05196C64">
      <w:pPr>
        <w:spacing w:line="360" w:lineRule="auto"/>
        <w:ind w:firstLine="4228" w:firstLineChars="1762"/>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3B5FDB3F">
      <w:pPr>
        <w:tabs>
          <w:tab w:val="left" w:pos="630"/>
        </w:tabs>
        <w:spacing w:line="360" w:lineRule="auto"/>
        <w:ind w:firstLine="4228" w:firstLineChars="1762"/>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676ACC16">
      <w:pPr>
        <w:rPr>
          <w:rFonts w:hint="eastAsia"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07245DC9">
      <w:pPr>
        <w:jc w:val="center"/>
        <w:outlineLvl w:val="1"/>
        <w:rPr>
          <w:rFonts w:hint="eastAsia" w:ascii="仿宋" w:hAnsi="仿宋" w:eastAsia="仿宋" w:cs="仿宋"/>
          <w:b/>
          <w:bCs/>
          <w:color w:val="auto"/>
          <w:sz w:val="32"/>
          <w:szCs w:val="44"/>
          <w:highlight w:val="none"/>
        </w:rPr>
      </w:pPr>
      <w:bookmarkStart w:id="76" w:name="_Toc3245"/>
      <w:bookmarkStart w:id="77" w:name="_Toc1575"/>
      <w:r>
        <w:rPr>
          <w:rFonts w:hint="eastAsia" w:ascii="仿宋" w:hAnsi="仿宋" w:eastAsia="仿宋" w:cs="仿宋"/>
          <w:b/>
          <w:bCs/>
          <w:color w:val="auto"/>
          <w:sz w:val="32"/>
          <w:szCs w:val="44"/>
          <w:highlight w:val="none"/>
        </w:rPr>
        <w:t>质疑函范本</w:t>
      </w:r>
      <w:bookmarkEnd w:id="76"/>
      <w:bookmarkEnd w:id="77"/>
    </w:p>
    <w:p w14:paraId="192E89D1">
      <w:pPr>
        <w:adjustRightInd w:val="0"/>
        <w:snapToGrid w:val="0"/>
        <w:spacing w:before="312" w:beforeLines="100" w:line="360" w:lineRule="auto"/>
        <w:rPr>
          <w:rFonts w:hint="eastAsia" w:cs="仿宋" w:asciiTheme="minorEastAsia" w:hAnsiTheme="minorEastAsia" w:eastAsiaTheme="minorEastAsia"/>
          <w:b/>
          <w:bCs/>
          <w:color w:val="auto"/>
          <w:sz w:val="24"/>
          <w:szCs w:val="24"/>
          <w:highlight w:val="none"/>
        </w:rPr>
      </w:pPr>
      <w:bookmarkStart w:id="78" w:name="_Toc21381"/>
      <w:r>
        <w:rPr>
          <w:rFonts w:hint="eastAsia" w:cs="仿宋" w:asciiTheme="minorEastAsia" w:hAnsiTheme="minorEastAsia" w:eastAsiaTheme="minorEastAsia"/>
          <w:b/>
          <w:bCs/>
          <w:color w:val="auto"/>
          <w:sz w:val="24"/>
          <w:szCs w:val="24"/>
          <w:highlight w:val="none"/>
        </w:rPr>
        <w:t>一、质疑供应商基本信息</w:t>
      </w:r>
      <w:bookmarkEnd w:id="78"/>
    </w:p>
    <w:p w14:paraId="2969C755">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5A10C864">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50E48D3A">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6B0ACF4C">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18BF7FA9">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0591435A">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30D175B7">
      <w:pPr>
        <w:adjustRightInd w:val="0"/>
        <w:snapToGrid w:val="0"/>
        <w:spacing w:line="360" w:lineRule="auto"/>
        <w:rPr>
          <w:rFonts w:hint="eastAsia" w:cs="仿宋" w:asciiTheme="minorEastAsia" w:hAnsiTheme="minorEastAsia" w:eastAsiaTheme="minorEastAsia"/>
          <w:b/>
          <w:bCs/>
          <w:color w:val="auto"/>
          <w:sz w:val="24"/>
          <w:szCs w:val="24"/>
          <w:highlight w:val="none"/>
        </w:rPr>
      </w:pPr>
      <w:bookmarkStart w:id="79" w:name="_Toc28415"/>
      <w:r>
        <w:rPr>
          <w:rFonts w:hint="eastAsia" w:cs="仿宋" w:asciiTheme="minorEastAsia" w:hAnsiTheme="minorEastAsia" w:eastAsiaTheme="minorEastAsia"/>
          <w:b/>
          <w:bCs/>
          <w:color w:val="auto"/>
          <w:sz w:val="24"/>
          <w:szCs w:val="24"/>
          <w:highlight w:val="none"/>
        </w:rPr>
        <w:t>二、质疑项目基本情况</w:t>
      </w:r>
      <w:bookmarkEnd w:id="79"/>
    </w:p>
    <w:p w14:paraId="6E9DB2C9">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32E0C9E6">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74AE4036">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5BE258A4">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156F83B1">
      <w:pPr>
        <w:adjustRightInd w:val="0"/>
        <w:snapToGrid w:val="0"/>
        <w:spacing w:line="360" w:lineRule="auto"/>
        <w:rPr>
          <w:rFonts w:hint="eastAsia" w:cs="仿宋" w:asciiTheme="minorEastAsia" w:hAnsiTheme="minorEastAsia" w:eastAsiaTheme="minorEastAsia"/>
          <w:b/>
          <w:bCs/>
          <w:color w:val="auto"/>
          <w:sz w:val="24"/>
          <w:szCs w:val="24"/>
          <w:highlight w:val="none"/>
        </w:rPr>
      </w:pPr>
      <w:bookmarkStart w:id="80" w:name="_Toc19014"/>
      <w:r>
        <w:rPr>
          <w:rFonts w:hint="eastAsia" w:cs="仿宋" w:asciiTheme="minorEastAsia" w:hAnsiTheme="minorEastAsia" w:eastAsiaTheme="minorEastAsia"/>
          <w:b/>
          <w:bCs/>
          <w:color w:val="auto"/>
          <w:sz w:val="24"/>
          <w:szCs w:val="24"/>
          <w:highlight w:val="none"/>
        </w:rPr>
        <w:t>三、质疑事项具体内容</w:t>
      </w:r>
      <w:bookmarkEnd w:id="80"/>
    </w:p>
    <w:p w14:paraId="721BD74B">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311F48B7">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183560AF">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52CAE8FF">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4D596D28">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7ABD6E4C">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503D407C">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58DFBE05">
      <w:pPr>
        <w:adjustRightInd w:val="0"/>
        <w:snapToGrid w:val="0"/>
        <w:spacing w:line="360" w:lineRule="auto"/>
        <w:rPr>
          <w:rFonts w:hint="eastAsia" w:cs="仿宋" w:asciiTheme="minorEastAsia" w:hAnsiTheme="minorEastAsia" w:eastAsiaTheme="minorEastAsia"/>
          <w:b/>
          <w:bCs/>
          <w:color w:val="auto"/>
          <w:sz w:val="24"/>
          <w:szCs w:val="24"/>
          <w:highlight w:val="none"/>
        </w:rPr>
      </w:pPr>
      <w:bookmarkStart w:id="81" w:name="_Toc17919"/>
      <w:r>
        <w:rPr>
          <w:rFonts w:hint="eastAsia" w:cs="仿宋" w:asciiTheme="minorEastAsia" w:hAnsiTheme="minorEastAsia" w:eastAsiaTheme="minorEastAsia"/>
          <w:b/>
          <w:bCs/>
          <w:color w:val="auto"/>
          <w:sz w:val="24"/>
          <w:szCs w:val="24"/>
          <w:highlight w:val="none"/>
        </w:rPr>
        <w:t>四、与质疑事项相关的质疑请求</w:t>
      </w:r>
      <w:bookmarkEnd w:id="81"/>
    </w:p>
    <w:p w14:paraId="1A89B204">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2F7F0205">
      <w:pPr>
        <w:spacing w:line="360"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签字(签字或盖章)：                   公章：                      </w:t>
      </w:r>
    </w:p>
    <w:p w14:paraId="367D46FE">
      <w:pPr>
        <w:spacing w:line="360"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7F195B8E">
      <w:pPr>
        <w:widowControl/>
        <w:jc w:val="left"/>
        <w:rPr>
          <w:rFonts w:hint="eastAsia"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0ADA5C43">
      <w:pPr>
        <w:outlineLvl w:val="0"/>
        <w:rPr>
          <w:rFonts w:hint="eastAsia" w:asciiTheme="minorEastAsia" w:hAnsiTheme="minorEastAsia" w:eastAsiaTheme="minorEastAsia"/>
          <w:b/>
          <w:color w:val="auto"/>
          <w:sz w:val="28"/>
          <w:szCs w:val="32"/>
          <w:highlight w:val="none"/>
        </w:rPr>
      </w:pPr>
      <w:bookmarkStart w:id="82" w:name="_Toc9754"/>
      <w:bookmarkStart w:id="83" w:name="_Toc26836"/>
      <w:r>
        <w:rPr>
          <w:rFonts w:hint="eastAsia" w:asciiTheme="minorEastAsia" w:hAnsiTheme="minorEastAsia" w:eastAsiaTheme="minorEastAsia"/>
          <w:b/>
          <w:color w:val="auto"/>
          <w:sz w:val="28"/>
          <w:szCs w:val="32"/>
          <w:highlight w:val="none"/>
        </w:rPr>
        <w:t>质疑函制作说明：</w:t>
      </w:r>
      <w:bookmarkEnd w:id="82"/>
      <w:bookmarkEnd w:id="83"/>
    </w:p>
    <w:p w14:paraId="76122B9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3220057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17F9C8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67A3994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0A3C8DF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501F0DA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525BA01A">
      <w:pPr>
        <w:spacing w:line="360" w:lineRule="auto"/>
        <w:ind w:firstLine="435"/>
        <w:rPr>
          <w:rFonts w:hint="eastAsia" w:asciiTheme="minorEastAsia" w:hAnsiTheme="minorEastAsia" w:eastAsiaTheme="minorEastAsia"/>
          <w:color w:val="auto"/>
          <w:sz w:val="24"/>
          <w:highlight w:val="none"/>
        </w:rPr>
      </w:pPr>
    </w:p>
    <w:p w14:paraId="2019D685">
      <w:pPr>
        <w:spacing w:line="360" w:lineRule="auto"/>
        <w:ind w:firstLine="435"/>
        <w:rPr>
          <w:rFonts w:hint="eastAsia" w:asciiTheme="minorEastAsia" w:hAnsiTheme="minorEastAsia" w:eastAsiaTheme="minorEastAsia"/>
          <w:color w:val="auto"/>
          <w:sz w:val="24"/>
          <w:highlight w:val="none"/>
        </w:rPr>
      </w:pPr>
    </w:p>
    <w:p w14:paraId="1A477453">
      <w:pPr>
        <w:spacing w:line="360" w:lineRule="auto"/>
        <w:ind w:firstLine="435"/>
        <w:rPr>
          <w:rFonts w:hint="eastAsia" w:asciiTheme="minorEastAsia" w:hAnsiTheme="minorEastAsia" w:eastAsiaTheme="minorEastAsia"/>
          <w:color w:val="auto"/>
          <w:sz w:val="24"/>
          <w:highlight w:val="none"/>
        </w:rPr>
      </w:pPr>
    </w:p>
    <w:p w14:paraId="42465CFC">
      <w:pPr>
        <w:spacing w:line="360" w:lineRule="auto"/>
        <w:ind w:firstLine="435"/>
        <w:rPr>
          <w:rFonts w:hint="eastAsia" w:asciiTheme="minorEastAsia" w:hAnsiTheme="minorEastAsia" w:eastAsiaTheme="minorEastAsia"/>
          <w:color w:val="auto"/>
          <w:sz w:val="24"/>
          <w:highlight w:val="none"/>
        </w:rPr>
      </w:pPr>
    </w:p>
    <w:p w14:paraId="2069F84E">
      <w:pPr>
        <w:spacing w:line="360" w:lineRule="auto"/>
        <w:ind w:firstLine="435"/>
        <w:rPr>
          <w:rFonts w:hint="eastAsia" w:asciiTheme="minorEastAsia" w:hAnsiTheme="minorEastAsia" w:eastAsiaTheme="minorEastAsia"/>
          <w:color w:val="auto"/>
          <w:sz w:val="24"/>
          <w:highlight w:val="none"/>
        </w:rPr>
      </w:pPr>
    </w:p>
    <w:p w14:paraId="1C678A20">
      <w:pPr>
        <w:spacing w:line="360" w:lineRule="auto"/>
        <w:ind w:firstLine="435"/>
        <w:rPr>
          <w:rFonts w:hint="eastAsia" w:asciiTheme="minorEastAsia" w:hAnsiTheme="minorEastAsia" w:eastAsiaTheme="minorEastAsia"/>
          <w:color w:val="auto"/>
          <w:sz w:val="24"/>
          <w:highlight w:val="none"/>
        </w:rPr>
      </w:pPr>
    </w:p>
    <w:p w14:paraId="4B2AB388">
      <w:pPr>
        <w:spacing w:line="360" w:lineRule="auto"/>
        <w:ind w:firstLine="435"/>
        <w:rPr>
          <w:rFonts w:hint="eastAsia" w:asciiTheme="minorEastAsia" w:hAnsiTheme="minorEastAsia" w:eastAsiaTheme="minorEastAsia"/>
          <w:color w:val="auto"/>
          <w:sz w:val="24"/>
          <w:highlight w:val="none"/>
        </w:rPr>
      </w:pPr>
    </w:p>
    <w:p w14:paraId="4036544E">
      <w:pPr>
        <w:spacing w:line="360" w:lineRule="auto"/>
        <w:ind w:firstLine="435"/>
        <w:rPr>
          <w:rFonts w:hint="eastAsia" w:asciiTheme="minorEastAsia" w:hAnsiTheme="minorEastAsia" w:eastAsiaTheme="minorEastAsia"/>
          <w:color w:val="auto"/>
          <w:sz w:val="24"/>
          <w:highlight w:val="none"/>
        </w:rPr>
      </w:pPr>
    </w:p>
    <w:p w14:paraId="7F4CFD63">
      <w:pPr>
        <w:spacing w:line="360" w:lineRule="auto"/>
        <w:ind w:firstLine="435"/>
        <w:rPr>
          <w:rFonts w:hint="eastAsia" w:asciiTheme="minorEastAsia" w:hAnsiTheme="minorEastAsia" w:eastAsiaTheme="minorEastAsia"/>
          <w:color w:val="auto"/>
          <w:sz w:val="24"/>
          <w:highlight w:val="none"/>
        </w:rPr>
      </w:pPr>
    </w:p>
    <w:p w14:paraId="47A1C2FD">
      <w:pPr>
        <w:spacing w:line="360" w:lineRule="auto"/>
        <w:ind w:firstLine="435"/>
        <w:rPr>
          <w:rFonts w:hint="eastAsia" w:asciiTheme="minorEastAsia" w:hAnsiTheme="minorEastAsia" w:eastAsiaTheme="minorEastAsia"/>
          <w:color w:val="auto"/>
          <w:sz w:val="24"/>
          <w:highlight w:val="none"/>
        </w:rPr>
      </w:pPr>
    </w:p>
    <w:p w14:paraId="23C23FD9">
      <w:pPr>
        <w:spacing w:line="360" w:lineRule="auto"/>
        <w:ind w:firstLine="435"/>
        <w:rPr>
          <w:rFonts w:hint="eastAsia" w:asciiTheme="minorEastAsia" w:hAnsiTheme="minorEastAsia" w:eastAsiaTheme="minorEastAsia"/>
          <w:color w:val="auto"/>
          <w:sz w:val="24"/>
          <w:highlight w:val="none"/>
        </w:rPr>
      </w:pPr>
    </w:p>
    <w:p w14:paraId="6E183CCC">
      <w:pPr>
        <w:spacing w:line="360" w:lineRule="auto"/>
        <w:ind w:firstLine="435"/>
        <w:rPr>
          <w:rFonts w:hint="eastAsia" w:asciiTheme="minorEastAsia" w:hAnsiTheme="minorEastAsia" w:eastAsiaTheme="minorEastAsia"/>
          <w:color w:val="auto"/>
          <w:sz w:val="24"/>
          <w:highlight w:val="none"/>
        </w:rPr>
      </w:pPr>
    </w:p>
    <w:p w14:paraId="32E15D90">
      <w:pPr>
        <w:spacing w:line="360" w:lineRule="auto"/>
        <w:ind w:firstLine="435"/>
        <w:rPr>
          <w:rFonts w:hint="eastAsia" w:asciiTheme="minorEastAsia" w:hAnsiTheme="minorEastAsia" w:eastAsiaTheme="minorEastAsia"/>
          <w:color w:val="auto"/>
          <w:sz w:val="24"/>
          <w:highlight w:val="none"/>
        </w:rPr>
      </w:pPr>
    </w:p>
    <w:p w14:paraId="0ACF361B">
      <w:pPr>
        <w:spacing w:line="360" w:lineRule="auto"/>
        <w:ind w:firstLine="435"/>
        <w:rPr>
          <w:rFonts w:hint="eastAsia" w:asciiTheme="minorEastAsia" w:hAnsiTheme="minorEastAsia" w:eastAsiaTheme="minorEastAsia"/>
          <w:color w:val="auto"/>
          <w:sz w:val="24"/>
          <w:highlight w:val="none"/>
        </w:rPr>
      </w:pPr>
    </w:p>
    <w:p w14:paraId="4A5B66A6">
      <w:pPr>
        <w:spacing w:line="360" w:lineRule="auto"/>
        <w:ind w:firstLine="435"/>
        <w:rPr>
          <w:rFonts w:hint="eastAsia" w:asciiTheme="minorEastAsia" w:hAnsiTheme="minorEastAsia" w:eastAsiaTheme="minorEastAsia"/>
          <w:color w:val="auto"/>
          <w:sz w:val="24"/>
          <w:highlight w:val="none"/>
        </w:rPr>
      </w:pPr>
    </w:p>
    <w:p w14:paraId="2F7DDB07">
      <w:pPr>
        <w:spacing w:line="360" w:lineRule="auto"/>
        <w:ind w:firstLine="435"/>
        <w:rPr>
          <w:rFonts w:hint="eastAsia" w:asciiTheme="minorEastAsia" w:hAnsiTheme="minorEastAsia" w:eastAsiaTheme="minorEastAsia"/>
          <w:color w:val="auto"/>
          <w:sz w:val="24"/>
          <w:highlight w:val="none"/>
        </w:rPr>
      </w:pPr>
    </w:p>
    <w:p w14:paraId="0A486487">
      <w:pPr>
        <w:spacing w:line="360" w:lineRule="auto"/>
        <w:ind w:firstLine="435"/>
        <w:rPr>
          <w:rFonts w:hint="eastAsia" w:asciiTheme="minorEastAsia" w:hAnsiTheme="minorEastAsia" w:eastAsiaTheme="minorEastAsia"/>
          <w:color w:val="auto"/>
          <w:sz w:val="24"/>
          <w:highlight w:val="none"/>
        </w:rPr>
      </w:pPr>
    </w:p>
    <w:p w14:paraId="16453F60">
      <w:pPr>
        <w:spacing w:line="360" w:lineRule="auto"/>
        <w:ind w:firstLine="435"/>
        <w:rPr>
          <w:rFonts w:hint="eastAsia" w:asciiTheme="minorEastAsia" w:hAnsiTheme="minorEastAsia" w:eastAsiaTheme="minorEastAsia"/>
          <w:color w:val="auto"/>
          <w:sz w:val="24"/>
          <w:highlight w:val="none"/>
        </w:rPr>
      </w:pPr>
    </w:p>
    <w:p w14:paraId="799CFF6B">
      <w:pPr>
        <w:spacing w:line="38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附件1</w:t>
      </w:r>
    </w:p>
    <w:p w14:paraId="16FF98E5">
      <w:pPr>
        <w:spacing w:line="3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关于联合惩戒失信行为 加强信用查询管理的通知</w:t>
      </w:r>
    </w:p>
    <w:p w14:paraId="669947C1">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一、失信行为联合惩戒的范围和查询渠道</w:t>
      </w:r>
    </w:p>
    <w:p w14:paraId="2162AAA8">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在我市公共资源交易活动中对存在下列失信行为的投标人、法定代表人及其项目负责人实施联合惩戒，禁止参与我市公共资源交易活动。</w:t>
      </w:r>
    </w:p>
    <w:p w14:paraId="6139A5F4">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（一）工程建设项目</w:t>
      </w:r>
    </w:p>
    <w:p w14:paraId="7BA060F2">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1、“信用中国”网站（www.creditchina.gov.cn）查询以下失信行为：</w:t>
      </w:r>
    </w:p>
    <w:p w14:paraId="52B425EA">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①投标人被人民法院列入失信被执行人的；</w:t>
      </w:r>
    </w:p>
    <w:p w14:paraId="641F618A">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②投标人被税务部门列入重大税收违法案件当事人的；</w:t>
      </w:r>
    </w:p>
    <w:p w14:paraId="22EDDBAD">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③投标人被人力资源社会保障行政部门列入拖欠农民工工资“黑名单”的；</w:t>
      </w:r>
    </w:p>
    <w:p w14:paraId="1A114EF2">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④在“信用中国”网站上披露的仍在公示期的严重失信行为的。</w:t>
      </w:r>
    </w:p>
    <w:p w14:paraId="250E5E40">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2、国家企业信用信息公示系统网站（www.gsxt.gov.cn）查询以下失信行为：</w:t>
      </w:r>
    </w:p>
    <w:p w14:paraId="334289E7">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①被市场监督管理部门列入经营异常名录或者严重违法企业名单，且未被移除的。</w:t>
      </w:r>
    </w:p>
    <w:p w14:paraId="1AB135CB">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3、</w:t>
      </w:r>
      <w:r>
        <w:rPr>
          <w:rFonts w:hint="eastAsia" w:ascii="宋体" w:hAnsi="宋体" w:eastAsia="宋体" w:cs="宋体"/>
          <w:b/>
          <w:color w:val="auto"/>
          <w:sz w:val="24"/>
          <w:szCs w:val="24"/>
          <w:highlight w:val="none"/>
          <w:lang w:eastAsia="zh-CN" w:bidi="ar"/>
        </w:rPr>
        <w:t>滁州市公共资源交易中心网</w:t>
      </w:r>
      <w:r>
        <w:rPr>
          <w:rFonts w:hint="eastAsia" w:ascii="宋体" w:hAnsi="宋体" w:eastAsia="宋体" w:cs="宋体"/>
          <w:b/>
          <w:color w:val="auto"/>
          <w:sz w:val="24"/>
          <w:szCs w:val="24"/>
          <w:highlight w:val="none"/>
          <w:lang w:bidi="ar"/>
        </w:rPr>
        <w:t>（http://ggzy.chuzhou.gov.cn/）查询以下失信行为：</w:t>
      </w:r>
    </w:p>
    <w:p w14:paraId="1B695C2E">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①被滁州市县两级公管部门取消在一定期限内的投标资格且在取消期限内的；</w:t>
      </w:r>
    </w:p>
    <w:p w14:paraId="3402035D">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②被滁州市县两级公管部门记入不良行为记录或者信用信息记录，且在披露期内的。</w:t>
      </w:r>
    </w:p>
    <w:p w14:paraId="4C47D888">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4、由竞争主体进行承诺，不进行现场网上信用查询的失信行为：</w:t>
      </w:r>
    </w:p>
    <w:p w14:paraId="7B4AB9C3">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①前三年列入行贿犯罪档案的单位和个人；</w:t>
      </w:r>
    </w:p>
    <w:p w14:paraId="7CC55E4E">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②被滁州市县两级各行业主管部门取消在一定期限内的投标资格且在取消期限内的；</w:t>
      </w:r>
    </w:p>
    <w:p w14:paraId="3ABFC8E7">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③因拖欠农民工工资被县级及以上有关行政主管部门限制投标资格且在限制期限内的。</w:t>
      </w:r>
    </w:p>
    <w:p w14:paraId="6A8B156A">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（二）政府采购项目</w:t>
      </w:r>
    </w:p>
    <w:p w14:paraId="74C178FE">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1、“信用中国”网站（www.creditchina.gov.cn）查询以下失信行为：</w:t>
      </w:r>
    </w:p>
    <w:p w14:paraId="3D4BA148">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①投标人被人民法院列入失信被执行人的；</w:t>
      </w:r>
    </w:p>
    <w:p w14:paraId="19772E7C">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②投标人被税务部门列入重大税收违法案件当事人的；</w:t>
      </w:r>
    </w:p>
    <w:p w14:paraId="0C3F1109">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③在“信用中国”网站上披露的仍在公示期的严重失信行为的。</w:t>
      </w:r>
    </w:p>
    <w:p w14:paraId="6A7D2C68">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2、国家企业信用信息公示系统网站（www.gsxt.gov.cn）查询以下失信行为：</w:t>
      </w:r>
    </w:p>
    <w:p w14:paraId="5F1D7D14">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①被市场监督管理部门列入经营异常名录或者严重违法企业名单，且未被移除的。</w:t>
      </w:r>
    </w:p>
    <w:p w14:paraId="0954464E">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3、中国政府采购网站（www.ccgp.gov.cn）查询以下失信行为：</w:t>
      </w:r>
    </w:p>
    <w:p w14:paraId="0119D03E">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①政府采购严重违法失信行为</w:t>
      </w:r>
    </w:p>
    <w:p w14:paraId="56568CF3">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4、由竞争主体进行承诺，不进行现场网上信用查询的失信行为：</w:t>
      </w:r>
    </w:p>
    <w:p w14:paraId="516A297C">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①前三年列入行贿犯罪档案的单位和个人。</w:t>
      </w:r>
    </w:p>
    <w:p w14:paraId="70C64BDE">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二、在开评标活动中的查询程序</w:t>
      </w:r>
    </w:p>
    <w:p w14:paraId="02596AFB">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1、实行有限数量制资格审查的项目，由项目单位（代理机构）对入围的投标人、法定代表人及其项目负责人是否存在上述要求查询的失信行为进行网上核查；若核查结果与投标人承诺不一致，则提交评标委员会取消其入围资格，依次进行替补，并对替补单位进行核查。评审结论以核查后入围的结果重新计算最终评标基准值。</w:t>
      </w:r>
    </w:p>
    <w:p w14:paraId="3B69BEE1">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2、不实行有限数量制资格审查的项目，由项目单位（代理机构）对评审最终得分排序前3名（含）的预中标候选人、法定代表人及其项目负责人是否存在上述要求查询的失信行为进行网上核查。若核查结果与投标人承诺不一致，则提交评标委员会取消其预中标候选人资格，依次替补，并再次对替补单位进行核查。核查结果不改变原评标基准值。</w:t>
      </w:r>
    </w:p>
    <w:p w14:paraId="62CC9135">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3、项目单位及其委托的代理机构应当做好信用查询结果截图和记录留存。</w:t>
      </w:r>
    </w:p>
    <w:p w14:paraId="5CEB9C6F">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4、交易中心见证人员对预中标候选人信用查询结果进行复查，发现问题及时纠正，并按规定程序追究相关单位和人员责任。</w:t>
      </w:r>
    </w:p>
    <w:p w14:paraId="55DD23AB">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5、结果公告须提供有评标委员会、代理机构及交易中心现场见证人员查询记录三方签字表方可发布。</w:t>
      </w:r>
    </w:p>
    <w:p w14:paraId="1FAE2CB1">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三、相关要求</w:t>
      </w:r>
    </w:p>
    <w:p w14:paraId="77F54668">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1、参与公共资源交易活动的竞争主体根据上述范围查询的内容进行自查并承诺，出具《诚信投标承诺书》（诚信投标承诺书包括但不限于上述自查并承诺内容）并注明承诺日期（投标截止时间前5日内）。</w:t>
      </w:r>
    </w:p>
    <w:p w14:paraId="179B0842">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319884D9">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2、“信用中国”查询的严重失信行为判定依据为各行业主管部门下发的联合惩戒文件中规定的行为（按附件2执行）。</w:t>
      </w:r>
    </w:p>
    <w:p w14:paraId="432D4D80">
      <w:pPr>
        <w:spacing w:line="38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bidi="ar"/>
        </w:rPr>
        <w:t>3、资格预审的项目以递交资格预审申请文件截止时间查询为准；资格后审的项目以递交投标文件截止时间查询为准。</w:t>
      </w:r>
    </w:p>
    <w:p w14:paraId="3C030B15">
      <w:pPr>
        <w:spacing w:line="38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附件2</w:t>
      </w:r>
    </w:p>
    <w:p w14:paraId="5BCCE777">
      <w:pPr>
        <w:spacing w:line="3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“信用中国”查询的严重失信行为类别及判定依据</w:t>
      </w:r>
    </w:p>
    <w:p w14:paraId="5ED89AF8">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“信用中国”查询的严重失信行为判定依据为各行业主管部门下发的联合惩戒文件中规定的行为。下面将部分类别的严重失信行为列举如下：</w:t>
      </w:r>
    </w:p>
    <w:p w14:paraId="36BDF4A9">
      <w:pPr>
        <w:spacing w:line="380" w:lineRule="exact"/>
        <w:ind w:firstLine="645"/>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一、安全生产领域严重失信行为：</w:t>
      </w:r>
    </w:p>
    <w:p w14:paraId="305FC5B2">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（一）发生较大及以上生产安全责任事故，或1年内累计发生3起及以上造成人员死亡的一般生产安全责任事故的；</w:t>
      </w:r>
    </w:p>
    <w:p w14:paraId="65301062">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（二）未按规定取得安全生产许可，擅自开展生产经营建设活动的；</w:t>
      </w:r>
    </w:p>
    <w:p w14:paraId="7FF16DD1">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（三）发现重大生产安全事故隐患，或职业病危害严重超标，不及时整改，仍组织从业人员冒险作业的；</w:t>
      </w:r>
    </w:p>
    <w:p w14:paraId="6C0EF28B">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（四）采取隐蔽、欺骗或阻碍等方式逃避、对抗安全监管监察的;</w:t>
      </w:r>
    </w:p>
    <w:p w14:paraId="147BB602">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（五）被责令停产停业整顿，仍然从事生产经营建设活动的；</w:t>
      </w:r>
    </w:p>
    <w:p w14:paraId="690239C6">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（六）瞒报、谎报、迟报生产安全事故的；</w:t>
      </w:r>
    </w:p>
    <w:p w14:paraId="156F52F9">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（七）矿山、危险化学品、金属冶炼等高危行业建设项目安全设施未经验收合格即投入生产和使用的；</w:t>
      </w:r>
    </w:p>
    <w:p w14:paraId="6ACEDF77">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（八）矿山生产经营单位存在超层越界开采、以探代采行为的；</w:t>
      </w:r>
    </w:p>
    <w:p w14:paraId="1D5FBD3C">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（九）发生事故后，故意破坏事故现场，伪造有关证据资料，妨碍、对抗事故调查，或主要负责人逃逸的；</w:t>
      </w:r>
    </w:p>
    <w:p w14:paraId="7CEB7AF0">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（十）安全生产和职业健康技术服务机构出具虚假报告或证明，违规转让或出借资质的。</w:t>
      </w:r>
    </w:p>
    <w:p w14:paraId="70D848B6">
      <w:pPr>
        <w:spacing w:line="380" w:lineRule="exact"/>
        <w:ind w:firstLine="645"/>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依据：《对安全生产领域失信行为开展联合惩戒的实施办法》（安监总办〔2017〕49号）第二条</w:t>
      </w:r>
    </w:p>
    <w:p w14:paraId="346A7451">
      <w:pPr>
        <w:spacing w:line="380" w:lineRule="exact"/>
        <w:ind w:firstLine="645"/>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二、环境保护领域严重失信行为：</w:t>
      </w:r>
    </w:p>
    <w:p w14:paraId="72FD0730">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（一）因为环境违法构成</w:t>
      </w:r>
      <w:r>
        <w:rPr>
          <w:color w:val="auto"/>
          <w:highlight w:val="none"/>
        </w:rPr>
        <w:fldChar w:fldCharType="begin"/>
      </w:r>
      <w:r>
        <w:rPr>
          <w:color w:val="auto"/>
          <w:highlight w:val="none"/>
        </w:rPr>
        <w:instrText xml:space="preserve"> HYPERLINK "https://baike.sogou.com/m/fullLemma?lid=10403954&amp;g_ut=3" </w:instrText>
      </w:r>
      <w:r>
        <w:rPr>
          <w:color w:val="auto"/>
          <w:highlight w:val="none"/>
        </w:rPr>
        <w:fldChar w:fldCharType="separate"/>
      </w:r>
      <w:r>
        <w:rPr>
          <w:rStyle w:val="35"/>
          <w:rFonts w:hint="eastAsia" w:ascii="宋体" w:hAnsi="宋体" w:eastAsia="宋体" w:cs="宋体"/>
          <w:color w:val="auto"/>
          <w:sz w:val="24"/>
          <w:szCs w:val="24"/>
          <w:highlight w:val="none"/>
        </w:rPr>
        <w:t>环境犯罪</w:t>
      </w:r>
      <w:r>
        <w:rPr>
          <w:rStyle w:val="35"/>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的；</w:t>
      </w:r>
    </w:p>
    <w:p w14:paraId="7009AC61">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w:t>
      </w:r>
      <w:r>
        <w:rPr>
          <w:color w:val="auto"/>
          <w:highlight w:val="none"/>
        </w:rPr>
        <w:fldChar w:fldCharType="begin"/>
      </w:r>
      <w:r>
        <w:rPr>
          <w:color w:val="auto"/>
          <w:highlight w:val="none"/>
        </w:rPr>
        <w:instrText xml:space="preserve"> HYPERLINK "https://baike.sogou.com/m/fullLemma?lid=76033123&amp;g_ut=3" </w:instrText>
      </w:r>
      <w:r>
        <w:rPr>
          <w:color w:val="auto"/>
          <w:highlight w:val="none"/>
        </w:rPr>
        <w:fldChar w:fldCharType="separate"/>
      </w:r>
      <w:r>
        <w:rPr>
          <w:rStyle w:val="35"/>
          <w:rFonts w:hint="eastAsia" w:ascii="宋体" w:hAnsi="宋体" w:eastAsia="宋体" w:cs="宋体"/>
          <w:color w:val="auto"/>
          <w:sz w:val="24"/>
          <w:szCs w:val="24"/>
          <w:highlight w:val="none"/>
        </w:rPr>
        <w:t>建设项目环境影响评价</w:t>
      </w:r>
      <w:r>
        <w:rPr>
          <w:rStyle w:val="35"/>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文件未按规定通过审批，擅自开工建设的；</w:t>
      </w:r>
    </w:p>
    <w:p w14:paraId="3E26ED77">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（三）建设项目环保设施未建成、环保措施未落实、未通过</w:t>
      </w:r>
      <w:r>
        <w:rPr>
          <w:color w:val="auto"/>
          <w:highlight w:val="none"/>
        </w:rPr>
        <w:fldChar w:fldCharType="begin"/>
      </w:r>
      <w:r>
        <w:rPr>
          <w:color w:val="auto"/>
          <w:highlight w:val="none"/>
        </w:rPr>
        <w:instrText xml:space="preserve"> HYPERLINK "https://baike.sogou.com/m/fullLemma?lid=6470550&amp;g_ut=3" </w:instrText>
      </w:r>
      <w:r>
        <w:rPr>
          <w:color w:val="auto"/>
          <w:highlight w:val="none"/>
        </w:rPr>
        <w:fldChar w:fldCharType="separate"/>
      </w:r>
      <w:r>
        <w:rPr>
          <w:rStyle w:val="35"/>
          <w:rFonts w:hint="eastAsia" w:ascii="宋体" w:hAnsi="宋体" w:eastAsia="宋体" w:cs="宋体"/>
          <w:color w:val="auto"/>
          <w:sz w:val="24"/>
          <w:szCs w:val="24"/>
          <w:highlight w:val="none"/>
        </w:rPr>
        <w:t>竣工环保验收</w:t>
      </w:r>
      <w:r>
        <w:rPr>
          <w:rStyle w:val="35"/>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或者验收不合格，主体工程正式投入生产或者使用的；</w:t>
      </w:r>
    </w:p>
    <w:p w14:paraId="7670BB2E">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（四）建设项目性质、规模、地点、采用的生产工艺或者防治污染、防止生态破坏的措施发生重大变动，未重新报批环境影响评价文件，擅自投入生产或者使用的；</w:t>
      </w:r>
    </w:p>
    <w:p w14:paraId="5DC9C274">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（五）主要污染物排放总量超过控制指标的；</w:t>
      </w:r>
    </w:p>
    <w:p w14:paraId="2035C7F7">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（六）私设暗管或者利用</w:t>
      </w:r>
      <w:r>
        <w:rPr>
          <w:color w:val="auto"/>
          <w:highlight w:val="none"/>
        </w:rPr>
        <w:fldChar w:fldCharType="begin"/>
      </w:r>
      <w:r>
        <w:rPr>
          <w:color w:val="auto"/>
          <w:highlight w:val="none"/>
        </w:rPr>
        <w:instrText xml:space="preserve"> HYPERLINK "https://baike.sogou.com/m/fullLemma?lid=41657319&amp;g_ut=3" </w:instrText>
      </w:r>
      <w:r>
        <w:rPr>
          <w:color w:val="auto"/>
          <w:highlight w:val="none"/>
        </w:rPr>
        <w:fldChar w:fldCharType="separate"/>
      </w:r>
      <w:r>
        <w:rPr>
          <w:rStyle w:val="35"/>
          <w:rFonts w:hint="eastAsia" w:ascii="宋体" w:hAnsi="宋体" w:eastAsia="宋体" w:cs="宋体"/>
          <w:color w:val="auto"/>
          <w:sz w:val="24"/>
          <w:szCs w:val="24"/>
          <w:highlight w:val="none"/>
        </w:rPr>
        <w:t>渗井</w:t>
      </w:r>
      <w:r>
        <w:rPr>
          <w:rStyle w:val="35"/>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、渗坑、裂隙、溶洞等排放、倾倒、处置水污染物，或者通过私设旁路排放</w:t>
      </w:r>
      <w:r>
        <w:rPr>
          <w:color w:val="auto"/>
          <w:highlight w:val="none"/>
        </w:rPr>
        <w:fldChar w:fldCharType="begin"/>
      </w:r>
      <w:r>
        <w:rPr>
          <w:color w:val="auto"/>
          <w:highlight w:val="none"/>
        </w:rPr>
        <w:instrText xml:space="preserve"> HYPERLINK "https://baike.sogou.com/m/fullLemma?lid=7758328&amp;g_ut=3" </w:instrText>
      </w:r>
      <w:r>
        <w:rPr>
          <w:color w:val="auto"/>
          <w:highlight w:val="none"/>
        </w:rPr>
        <w:fldChar w:fldCharType="separate"/>
      </w:r>
      <w:r>
        <w:rPr>
          <w:rStyle w:val="35"/>
          <w:rFonts w:hint="eastAsia" w:ascii="宋体" w:hAnsi="宋体" w:eastAsia="宋体" w:cs="宋体"/>
          <w:color w:val="auto"/>
          <w:sz w:val="24"/>
          <w:szCs w:val="24"/>
          <w:highlight w:val="none"/>
        </w:rPr>
        <w:t>大气污染物</w:t>
      </w:r>
      <w:r>
        <w:rPr>
          <w:rStyle w:val="35"/>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的；</w:t>
      </w:r>
    </w:p>
    <w:p w14:paraId="4A4510D1">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（七）非法排放、倾倒、处置危险废物，或者向无</w:t>
      </w:r>
      <w:r>
        <w:rPr>
          <w:color w:val="auto"/>
          <w:highlight w:val="none"/>
        </w:rPr>
        <w:fldChar w:fldCharType="begin"/>
      </w:r>
      <w:r>
        <w:rPr>
          <w:color w:val="auto"/>
          <w:highlight w:val="none"/>
        </w:rPr>
        <w:instrText xml:space="preserve"> HYPERLINK "https://baike.sogou.com/m/fullLemma?lid=5923292&amp;g_ut=3" </w:instrText>
      </w:r>
      <w:r>
        <w:rPr>
          <w:color w:val="auto"/>
          <w:highlight w:val="none"/>
        </w:rPr>
        <w:fldChar w:fldCharType="separate"/>
      </w:r>
      <w:r>
        <w:rPr>
          <w:rStyle w:val="35"/>
          <w:rFonts w:hint="eastAsia" w:ascii="宋体" w:hAnsi="宋体" w:eastAsia="宋体" w:cs="宋体"/>
          <w:color w:val="auto"/>
          <w:sz w:val="24"/>
          <w:szCs w:val="24"/>
          <w:highlight w:val="none"/>
        </w:rPr>
        <w:t>经营许可证</w:t>
      </w:r>
      <w:r>
        <w:rPr>
          <w:rStyle w:val="35"/>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或者超出经营许可范围的单位或个人提供或者委托其收集、贮存、利用、处置危险废物的；</w:t>
      </w:r>
    </w:p>
    <w:p w14:paraId="56A303B5">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（八）</w:t>
      </w:r>
      <w:r>
        <w:rPr>
          <w:color w:val="auto"/>
          <w:highlight w:val="none"/>
        </w:rPr>
        <w:fldChar w:fldCharType="begin"/>
      </w:r>
      <w:r>
        <w:rPr>
          <w:color w:val="auto"/>
          <w:highlight w:val="none"/>
        </w:rPr>
        <w:instrText xml:space="preserve"> HYPERLINK "https://baike.sogou.com/m/fullLemma?lid=167759803&amp;g_ut=3" </w:instrText>
      </w:r>
      <w:r>
        <w:rPr>
          <w:color w:val="auto"/>
          <w:highlight w:val="none"/>
        </w:rPr>
        <w:fldChar w:fldCharType="separate"/>
      </w:r>
      <w:r>
        <w:rPr>
          <w:rStyle w:val="35"/>
          <w:rFonts w:hint="eastAsia" w:ascii="宋体" w:hAnsi="宋体" w:eastAsia="宋体" w:cs="宋体"/>
          <w:color w:val="auto"/>
          <w:sz w:val="24"/>
          <w:szCs w:val="24"/>
          <w:highlight w:val="none"/>
        </w:rPr>
        <w:t>环境违法行为</w:t>
      </w:r>
      <w:r>
        <w:rPr>
          <w:rStyle w:val="35"/>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造成集中式生活饮用水水源取水中断的；</w:t>
      </w:r>
    </w:p>
    <w:p w14:paraId="46D2122B">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（九）环境违法行为对生活饮用水水源保护区、自然保护区、</w:t>
      </w:r>
      <w:r>
        <w:rPr>
          <w:color w:val="auto"/>
          <w:highlight w:val="none"/>
        </w:rPr>
        <w:fldChar w:fldCharType="begin"/>
      </w:r>
      <w:r>
        <w:rPr>
          <w:color w:val="auto"/>
          <w:highlight w:val="none"/>
        </w:rPr>
        <w:instrText xml:space="preserve"> HYPERLINK "https://baike.sogou.com/m/fullLemma?lid=155199213&amp;g_ut=3" </w:instrText>
      </w:r>
      <w:r>
        <w:rPr>
          <w:color w:val="auto"/>
          <w:highlight w:val="none"/>
        </w:rPr>
        <w:fldChar w:fldCharType="separate"/>
      </w:r>
      <w:r>
        <w:rPr>
          <w:rStyle w:val="35"/>
          <w:rFonts w:hint="eastAsia" w:ascii="宋体" w:hAnsi="宋体" w:eastAsia="宋体" w:cs="宋体"/>
          <w:color w:val="auto"/>
          <w:sz w:val="24"/>
          <w:szCs w:val="24"/>
          <w:highlight w:val="none"/>
        </w:rPr>
        <w:t>国家重点生态功能区</w:t>
      </w:r>
      <w:r>
        <w:rPr>
          <w:rStyle w:val="35"/>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、风景名胜区、居住功能区、</w:t>
      </w:r>
      <w:r>
        <w:rPr>
          <w:color w:val="auto"/>
          <w:highlight w:val="none"/>
        </w:rPr>
        <w:fldChar w:fldCharType="begin"/>
      </w:r>
      <w:r>
        <w:rPr>
          <w:color w:val="auto"/>
          <w:highlight w:val="none"/>
        </w:rPr>
        <w:instrText xml:space="preserve"> HYPERLINK "https://baike.sogou.com/m/fullLemma?lid=7757164&amp;g_ut=3" </w:instrText>
      </w:r>
      <w:r>
        <w:rPr>
          <w:color w:val="auto"/>
          <w:highlight w:val="none"/>
        </w:rPr>
        <w:fldChar w:fldCharType="separate"/>
      </w:r>
      <w:r>
        <w:rPr>
          <w:rStyle w:val="35"/>
          <w:rFonts w:hint="eastAsia" w:ascii="宋体" w:hAnsi="宋体" w:eastAsia="宋体" w:cs="宋体"/>
          <w:color w:val="auto"/>
          <w:sz w:val="24"/>
          <w:szCs w:val="24"/>
          <w:highlight w:val="none"/>
        </w:rPr>
        <w:t>基本农田保护区</w:t>
      </w:r>
      <w:r>
        <w:rPr>
          <w:rStyle w:val="35"/>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等环境敏感区造成重大不利影响的；</w:t>
      </w:r>
    </w:p>
    <w:p w14:paraId="040FC62E">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（十）违法从事自然资源开发、交通基础设施建设，以及其他开发建设活动，造成严重生态破坏的；</w:t>
      </w:r>
    </w:p>
    <w:p w14:paraId="6C327BEB">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（十一）发生较大及以上突发环境事件的；</w:t>
      </w:r>
    </w:p>
    <w:p w14:paraId="67C8E2D3">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（十二）被环保部门挂牌督办，整改逾期未完成的；</w:t>
      </w:r>
    </w:p>
    <w:p w14:paraId="20B2AD9E">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（十三）以暴力、威胁等方式拒绝、阻挠环保部门工作人员现场检查的；</w:t>
      </w:r>
    </w:p>
    <w:p w14:paraId="01BB4EA2">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（十四）违反重污染天气应急预案有关规定，对重污染天气响应不力的。</w:t>
      </w:r>
    </w:p>
    <w:p w14:paraId="09C4543A">
      <w:pPr>
        <w:spacing w:line="380" w:lineRule="exact"/>
        <w:ind w:firstLine="645"/>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依据：《关于对环境保护领域失信生产经营单位及其有关人员开展联合惩戒的合作备忘录》、《企业环境信用评价办法（试行）》（环发〔2013〕150号）</w:t>
      </w:r>
    </w:p>
    <w:p w14:paraId="4BDFF177">
      <w:pPr>
        <w:spacing w:line="380" w:lineRule="exact"/>
        <w:ind w:firstLine="645"/>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三、</w:t>
      </w:r>
      <w:r>
        <w:rPr>
          <w:rFonts w:hint="eastAsia" w:ascii="宋体" w:hAnsi="宋体" w:eastAsia="宋体" w:cs="宋体"/>
          <w:b/>
          <w:bCs/>
          <w:color w:val="auto"/>
          <w:sz w:val="24"/>
          <w:szCs w:val="24"/>
          <w:highlight w:val="none"/>
          <w:lang w:bidi="ar"/>
        </w:rPr>
        <w:t>公共资源交易领域严重失信行为</w:t>
      </w:r>
    </w:p>
    <w:p w14:paraId="693F3C22">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（一）违反法律规定，必须进行招标的项目而不招标的，将必须进行招标的项目化整为零或者以其他任何方式规避招标的； </w:t>
      </w:r>
    </w:p>
    <w:p w14:paraId="39F2D412">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（二）招标代理机构违反法律规定，泄露应当保密的与招标投标活动有关的情况和资料的，或者与招标人、投标人串通损害国家利益、社会公共利益或者他人合法权益的；</w:t>
      </w:r>
    </w:p>
    <w:p w14:paraId="33BE89B6">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（三）招标人以不合理的条件限制或者排斥潜在投标人的，对潜在投标人实行歧视待遇的，强制要求投标人组成联合体共同投标的，或者限制投标人之间竞争的；</w:t>
      </w:r>
    </w:p>
    <w:p w14:paraId="2FB5D66C">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（四）依法必须进行招标的项目的招标人向他人透露已获取招标文件的潜在投标人的名称、数量或者可能影响公平竞争的有关招标投标的其他情况的，或者泄露标底的；</w:t>
      </w:r>
    </w:p>
    <w:p w14:paraId="6DEFB5C3">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（五）投标人相互串通投标或者与招标人串通投标的，投标人以向招标人或者评标委员会成员行贿的手段谋取中标的； </w:t>
      </w:r>
    </w:p>
    <w:p w14:paraId="201CF373">
      <w:pPr>
        <w:spacing w:line="380" w:lineRule="exact"/>
        <w:ind w:firstLine="763" w:firstLineChars="31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（六）投标人以他人名义投标或者以其他方式弄虚作假，骗取中标的；</w:t>
      </w:r>
    </w:p>
    <w:p w14:paraId="11B45520">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（七）依法必须进行招标的项目，招标人违反法律规定，与投标人就投标价格、投标方案等实质性内容进行谈判的；</w:t>
      </w:r>
    </w:p>
    <w:p w14:paraId="4E327801">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（八）评标委员会成员收受投标人的财物或者其他好处的，评标委员会成员或者参加评标的有关工作人员向他人透露对投标文件的评审和比较、中标候选人的推荐以及与评标有关的其他情况的； </w:t>
      </w:r>
    </w:p>
    <w:p w14:paraId="01328DDE">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（九）招标人在评标委员会依法推荐的中标候选人以外确定中标人的，依法必须进行招标的项目在所有投标被评标委员会否决后自行确定中标人的； </w:t>
      </w:r>
    </w:p>
    <w:p w14:paraId="0B79266A">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（十）中标人将中标项目转让给他人的，将中标项目肢解后分别转让给他人的，违反法律规定将中标项目的部分主体、关键性工作分包给他人的，或者分包人再次分包的； </w:t>
      </w:r>
    </w:p>
    <w:p w14:paraId="41C35CCB">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（十一）招标人与中标人不按照招标文件和中标人的投标文件订立合同的，或者招标人、中标人订立背离合同实质性内容的协议的； </w:t>
      </w:r>
    </w:p>
    <w:p w14:paraId="7ECBA422">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（十二）中标人不按照与招标人订立的合同履行义务，情节严重的； </w:t>
      </w:r>
    </w:p>
    <w:p w14:paraId="6564A057">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三）采购人、采购代理机构存在应当采用公开招标方式而擅自采用其他方式采购，擅自提高采购标准，以不合理的条件对供应商实行差别待遇或者歧视待遇，在招标采购过程中与投标人进行协商谈判，中标、成交通知书发出后不与中标、成交供应商签订采购合同，或者拒绝有关部门依法实施监督检查等情形的；</w:t>
      </w:r>
    </w:p>
    <w:p w14:paraId="60680A56">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十四）采购人、采购代理机构及其工作人员存在与供应商或者采购代理机构恶意串通，在采购过程中接受贿赂或者获取其他不正当利益，在有关部门依法实施的监督检查中提供虚假情况，或者开标前泄露标底等情形的；</w:t>
      </w:r>
    </w:p>
    <w:p w14:paraId="12617231">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（十五）采购人对应当实行集中采购的政府采购项目，不委托集中采购机构实行集中采购的； </w:t>
      </w:r>
    </w:p>
    <w:p w14:paraId="3F667953">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（十六）采购人、采购代理机构违反法律规定隐匿、销毁应当保存的采购文件或者伪造、变造采购文件的； </w:t>
      </w:r>
    </w:p>
    <w:p w14:paraId="59492F7B">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七）供应商存在提供虚假材料谋取中标、成交，采取不正当手段诋毁、排挤其他供应商，与采购人、其他供应商或者采购代理机构恶意串通，向采购人、采购代理机构行贿或者提供其他不正当利益，在招标采购过程中与采购人进行协商谈判，或拒绝有关部门监督检查或者提供虚假情况等情形的； </w:t>
      </w:r>
    </w:p>
    <w:p w14:paraId="67AF62B7">
      <w:pPr>
        <w:spacing w:line="380" w:lineRule="exact"/>
        <w:ind w:left="765" w:leftChars="307" w:hanging="120" w:hangingChars="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（十八）疫苗生产企业向县级疾病预防控制机构以外的单位或者个人销售第二类疫苗的； </w:t>
      </w:r>
    </w:p>
    <w:p w14:paraId="4E6AE8F0">
      <w:pPr>
        <w:spacing w:line="380" w:lineRule="exact"/>
        <w:ind w:left="765" w:leftChars="307" w:hanging="120" w:hangingChars="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（十九）存在其他违反公共资源交易法律法规行为的。</w:t>
      </w:r>
    </w:p>
    <w:p w14:paraId="76770C96">
      <w:pPr>
        <w:spacing w:line="380" w:lineRule="exact"/>
        <w:ind w:firstLine="766" w:firstLineChars="318"/>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依据：《关于对公共资源交易领域严重失信主体开展联合惩戒的备忘录》（发改法规〔2018〕457号）</w:t>
      </w:r>
    </w:p>
    <w:p w14:paraId="502AC8AF">
      <w:pPr>
        <w:spacing w:line="380" w:lineRule="exact"/>
        <w:ind w:firstLine="645"/>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lang w:bidi="ar"/>
        </w:rPr>
        <w:t>四、</w:t>
      </w:r>
      <w:r>
        <w:rPr>
          <w:rFonts w:hint="eastAsia" w:ascii="宋体" w:hAnsi="宋体" w:eastAsia="宋体" w:cs="宋体"/>
          <w:b/>
          <w:bCs/>
          <w:color w:val="auto"/>
          <w:sz w:val="24"/>
          <w:szCs w:val="24"/>
          <w:highlight w:val="none"/>
          <w:lang w:bidi="ar"/>
        </w:rPr>
        <w:t>社会保险领域严重失信行为</w:t>
      </w:r>
    </w:p>
    <w:p w14:paraId="1461B486">
      <w:pPr>
        <w:spacing w:line="380" w:lineRule="exact"/>
        <w:ind w:left="765" w:leftChars="307" w:hanging="120" w:hangingChars="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（一）用人单位未按相关规定参加社会保险且拒不整改的； </w:t>
      </w:r>
    </w:p>
    <w:p w14:paraId="03572F15">
      <w:pPr>
        <w:spacing w:line="380" w:lineRule="exact"/>
        <w:ind w:left="765" w:leftChars="307" w:hanging="120" w:hangingChars="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（二）用人单位未如实申报社会保险缴费基数且拒不整改的； </w:t>
      </w:r>
    </w:p>
    <w:p w14:paraId="42B5E729">
      <w:pPr>
        <w:spacing w:line="380" w:lineRule="exact"/>
        <w:ind w:left="765" w:leftChars="307" w:hanging="120" w:hangingChars="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（三）应缴纳社会保险费却拒不缴纳的； </w:t>
      </w:r>
    </w:p>
    <w:p w14:paraId="5771E204">
      <w:pPr>
        <w:spacing w:line="380" w:lineRule="exact"/>
        <w:ind w:left="765" w:leftChars="307" w:hanging="120" w:hangingChars="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（四）隐匿、转移、侵占、挪用社会保险费款、基金或者违规投资运营的；</w:t>
      </w:r>
    </w:p>
    <w:p w14:paraId="46F8904A">
      <w:pPr>
        <w:spacing w:line="380" w:lineRule="exact"/>
        <w:ind w:left="765" w:leftChars="307" w:hanging="120" w:hangingChars="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（五）以欺诈、伪造证明材料或者其他手段参加、申报社会保险和骗取社会保险基金支出或社会保险待遇的； </w:t>
      </w:r>
    </w:p>
    <w:p w14:paraId="48C442BF">
      <w:pPr>
        <w:spacing w:line="380" w:lineRule="exact"/>
        <w:ind w:left="765" w:leftChars="307" w:hanging="120" w:hangingChars="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（六）非法获取、出售或变相交易社会保险个人权益数据的； </w:t>
      </w:r>
    </w:p>
    <w:p w14:paraId="2C416763">
      <w:pPr>
        <w:spacing w:line="380" w:lineRule="exact"/>
        <w:ind w:left="765" w:leftChars="307" w:hanging="120" w:hangingChars="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（七）社会保险服务机构违反服务协议或相关规定的； </w:t>
      </w:r>
    </w:p>
    <w:p w14:paraId="64281E2C">
      <w:pPr>
        <w:spacing w:line="380" w:lineRule="exact"/>
        <w:ind w:left="765" w:leftChars="307" w:hanging="120" w:hangingChars="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（八）拒绝协助社会保险行政部门、经办机构对事故和问题进 行调查核实的；拒绝接受或协助税务部门对社会保险实施监督检查， 不如实提供与社会保险相关各项资料的； </w:t>
      </w:r>
    </w:p>
    <w:p w14:paraId="721A7CAF">
      <w:pPr>
        <w:spacing w:line="380" w:lineRule="exact"/>
        <w:ind w:left="765" w:leftChars="307" w:hanging="120" w:hangingChars="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（九）其他违反法律法规规定的。</w:t>
      </w:r>
    </w:p>
    <w:p w14:paraId="7D2E4BB1">
      <w:pPr>
        <w:spacing w:line="380" w:lineRule="exact"/>
        <w:ind w:left="1200" w:leftChars="342" w:hanging="482" w:hanging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依据：《关于对社会保险领域严重失信企业及其有关人员实施联合惩戒的合作备忘录》（发改财金〔2018〕1704号）</w:t>
      </w:r>
    </w:p>
    <w:p w14:paraId="741ACAE5">
      <w:pPr>
        <w:spacing w:line="380" w:lineRule="exact"/>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bidi="ar"/>
        </w:rPr>
        <w:t xml:space="preserve">     </w:t>
      </w:r>
      <w:r>
        <w:rPr>
          <w:rFonts w:hint="eastAsia" w:ascii="宋体" w:hAnsi="宋体" w:eastAsia="宋体" w:cs="宋体"/>
          <w:b/>
          <w:color w:val="auto"/>
          <w:sz w:val="24"/>
          <w:szCs w:val="24"/>
          <w:highlight w:val="none"/>
          <w:lang w:bidi="ar"/>
        </w:rPr>
        <w:t>五、建筑市场领域</w:t>
      </w:r>
      <w:r>
        <w:rPr>
          <w:rFonts w:hint="eastAsia" w:ascii="宋体" w:hAnsi="宋体" w:eastAsia="宋体" w:cs="宋体"/>
          <w:b/>
          <w:bCs/>
          <w:color w:val="auto"/>
          <w:sz w:val="24"/>
          <w:szCs w:val="24"/>
          <w:highlight w:val="none"/>
          <w:lang w:bidi="ar"/>
        </w:rPr>
        <w:t>严重失信行为</w:t>
      </w:r>
    </w:p>
    <w:p w14:paraId="42E6AE4C">
      <w:pPr>
        <w:spacing w:line="3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（一）利用虚假材料、以欺骗手段取得企业资质的；</w:t>
      </w:r>
    </w:p>
    <w:p w14:paraId="26B9843C">
      <w:pPr>
        <w:spacing w:line="3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（二）发生转包、出借资质，受到行政处罚的；</w:t>
      </w:r>
    </w:p>
    <w:p w14:paraId="3612B77B">
      <w:pPr>
        <w:spacing w:line="3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（三）发生重大及以上工程质量安全事故，或1年内累计发生2次及以上较大工程质量安全事故，或发生性质恶劣、危害性严重、社会影响大的较大工程质量安全事故，受到行政处罚的；</w:t>
      </w:r>
    </w:p>
    <w:p w14:paraId="0715C0AE">
      <w:pPr>
        <w:spacing w:line="3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（四）经法院判决或仲裁机构裁决，认定为拖欠工程款,且拒不履行生效法律文书确定的义务的。</w:t>
      </w:r>
    </w:p>
    <w:p w14:paraId="688D8244">
      <w:pPr>
        <w:spacing w:line="3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各级住房城乡建设主管部门应当参照建筑市场主体“黑名单”，对被人力资源社会保障主管部门列入拖欠农民工工资“黑名单”的建筑市场各方主体加强监管。</w:t>
      </w:r>
    </w:p>
    <w:p w14:paraId="17CB473E">
      <w:pPr>
        <w:spacing w:line="380" w:lineRule="exact"/>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bidi="ar"/>
        </w:rPr>
        <w:t>依据：《建筑市场信用管理暂行办法》（建市〔2017〕241号）</w:t>
      </w:r>
    </w:p>
    <w:p w14:paraId="6C78D583">
      <w:pPr>
        <w:spacing w:line="38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bidi="ar"/>
        </w:rPr>
        <w:t>六、政府采购严重失信行为</w:t>
      </w:r>
    </w:p>
    <w:p w14:paraId="72A3E112">
      <w:pPr>
        <w:spacing w:line="380" w:lineRule="exact"/>
        <w:ind w:firstLine="6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供应商、采购代理机构在三年内受到财政部门作出下列情形之一的行政处罚，列入政府采购严重违法失信行为记录名单。</w:t>
      </w:r>
    </w:p>
    <w:p w14:paraId="13FE71B1">
      <w:pPr>
        <w:spacing w:line="380" w:lineRule="exact"/>
        <w:ind w:firstLine="6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（一）三万元以上罚款；</w:t>
      </w:r>
    </w:p>
    <w:p w14:paraId="235C5A69">
      <w:pPr>
        <w:spacing w:line="380" w:lineRule="exact"/>
        <w:ind w:firstLine="6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（二）在一至三年内禁止参加政府采购活动（处罚期限届满的除外）；</w:t>
      </w:r>
    </w:p>
    <w:p w14:paraId="29053015">
      <w:pPr>
        <w:spacing w:line="380" w:lineRule="exact"/>
        <w:ind w:firstLine="6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（三）在一至三年内禁止代理政府采购业务（处罚期限届满的除外）；</w:t>
      </w:r>
    </w:p>
    <w:p w14:paraId="47126979">
      <w:pPr>
        <w:spacing w:line="380" w:lineRule="exact"/>
        <w:ind w:firstLine="6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（四）撤销政府采购代理机构资格（仅针对《政府采购法》第78条修改前作出的处罚决定）。</w:t>
      </w:r>
    </w:p>
    <w:p w14:paraId="28652A9D">
      <w:pPr>
        <w:spacing w:line="380" w:lineRule="exact"/>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bidi="ar"/>
        </w:rPr>
        <w:t>依据：《关于报送政府采购严重违法失信行为信息记录的通知》</w:t>
      </w:r>
      <w:r>
        <w:rPr>
          <w:rFonts w:hint="eastAsia" w:ascii="宋体" w:hAnsi="宋体" w:eastAsia="宋体" w:cs="宋体"/>
          <w:b/>
          <w:color w:val="auto"/>
          <w:sz w:val="24"/>
          <w:szCs w:val="24"/>
          <w:highlight w:val="none"/>
          <w:lang w:bidi="ar"/>
        </w:rPr>
        <w:t>（财办库〔2014〕526号）</w:t>
      </w:r>
    </w:p>
    <w:p w14:paraId="4C2092D7">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七、水利建设领域严重失信行为</w:t>
      </w:r>
    </w:p>
    <w:p w14:paraId="18AE18BA">
      <w:pPr>
        <w:pStyle w:val="21"/>
        <w:widowControl/>
        <w:shd w:val="clear" w:color="auto" w:fill="FFFFFF"/>
        <w:spacing w:before="0" w:beforeAutospacing="0" w:after="0" w:afterAutospacing="0" w:line="380" w:lineRule="exact"/>
        <w:ind w:firstLine="480" w:firstLineChars="200"/>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（一）1年内不良行为记录累计扣分达到20分的；</w:t>
      </w:r>
    </w:p>
    <w:p w14:paraId="69F74A25">
      <w:pPr>
        <w:pStyle w:val="21"/>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（二）"重点关注名单"公开期满后仍不整改的；</w:t>
      </w:r>
    </w:p>
    <w:p w14:paraId="4EE45E95">
      <w:pPr>
        <w:pStyle w:val="21"/>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（三）存在以下严重危害人民群众身体健康、生命安全和工程质量，以及特别严重违规行为之一的：</w:t>
      </w:r>
    </w:p>
    <w:p w14:paraId="2A0D5E9C">
      <w:pPr>
        <w:pStyle w:val="21"/>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1.发生重大、特大质量或安全事故，并负有直接责任的；</w:t>
      </w:r>
    </w:p>
    <w:p w14:paraId="5DF35066">
      <w:pPr>
        <w:pStyle w:val="21"/>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2.在单位公开信息、工程相关技术成果和工程建设过程中隐瞒真实情况、弄虚作假，提供虚假材料，谋取不正当利益的；</w:t>
      </w:r>
    </w:p>
    <w:p w14:paraId="5A604F11">
      <w:pPr>
        <w:pStyle w:val="21"/>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3.违反有关法律、法规、规章、政策、技术标准、设计文件、合同等有关规定开展工作造成的工程质量问题，经处理后仍影响工程正常使用或减少工程使用寿命的；</w:t>
      </w:r>
    </w:p>
    <w:p w14:paraId="3BC61C3D">
      <w:pPr>
        <w:pStyle w:val="21"/>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4.违反规定施工，造成生态环境严重破坏且拒不修复的；</w:t>
      </w:r>
    </w:p>
    <w:p w14:paraId="3A361A91">
      <w:pPr>
        <w:pStyle w:val="21"/>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5.被证实恶意制造工程质量缺陷或质量隐患的；</w:t>
      </w:r>
    </w:p>
    <w:p w14:paraId="48A5EE50">
      <w:pPr>
        <w:pStyle w:val="21"/>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6.其他违反法律法规，造成严重后果或社会危害较大的。</w:t>
      </w:r>
    </w:p>
    <w:p w14:paraId="20B45166">
      <w:pPr>
        <w:pStyle w:val="21"/>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（四）存在以下严重破坏市场公平竞争秩序和社会正常秩序行为之一的：</w:t>
      </w:r>
    </w:p>
    <w:p w14:paraId="40A383D5">
      <w:pPr>
        <w:pStyle w:val="21"/>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1.不按合同约定，恶意拖欠承包人项目款的；</w:t>
      </w:r>
    </w:p>
    <w:p w14:paraId="5C054AAF">
      <w:pPr>
        <w:pStyle w:val="21"/>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2.隐瞒有关情况或者提供虚假材料申请资质的，在全国水利建设市场监管服务平台公开虚假信息的，以欺骗、贿赂等不正当手段取得资质等级证书的；</w:t>
      </w:r>
    </w:p>
    <w:p w14:paraId="520F0047">
      <w:pPr>
        <w:pStyle w:val="21"/>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3.出借、借用资质证书,允许他人以本单位名义或借用他人名义等弄虚作假方式承揽业务的；</w:t>
      </w:r>
    </w:p>
    <w:p w14:paraId="248A826E">
      <w:pPr>
        <w:pStyle w:val="21"/>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4.未取得相应资质或超越资质证书核定范围、营业范围承揽业务的；</w:t>
      </w:r>
    </w:p>
    <w:p w14:paraId="70BA793E">
      <w:pPr>
        <w:pStyle w:val="21"/>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5.操纵招标过程，谋取不正当利益的；</w:t>
      </w:r>
    </w:p>
    <w:p w14:paraId="3CCA4412">
      <w:pPr>
        <w:pStyle w:val="21"/>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6.与招标人或投标人串通投标的；</w:t>
      </w:r>
    </w:p>
    <w:p w14:paraId="36A24CD1">
      <w:pPr>
        <w:pStyle w:val="21"/>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7.以向招标人或评标委员会成员行贿的手段谋取中标的；</w:t>
      </w:r>
    </w:p>
    <w:p w14:paraId="0B69C572">
      <w:pPr>
        <w:pStyle w:val="21"/>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8.中标后，无正当理由不签订合同的；</w:t>
      </w:r>
    </w:p>
    <w:p w14:paraId="73C85FE2">
      <w:pPr>
        <w:pStyle w:val="21"/>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9.转包或违法分包所承揽业务的；</w:t>
      </w:r>
    </w:p>
    <w:p w14:paraId="69134727">
      <w:pPr>
        <w:pStyle w:val="21"/>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10.弄虚作假，以欺诈手段降低工程或设备质量的；</w:t>
      </w:r>
    </w:p>
    <w:p w14:paraId="239D8C4B">
      <w:pPr>
        <w:pStyle w:val="21"/>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11.单位行贿、受贿，受到刑事处罚的；</w:t>
      </w:r>
    </w:p>
    <w:p w14:paraId="6E1BED03">
      <w:pPr>
        <w:pStyle w:val="21"/>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12.逃税骗税、恶意逃废债务的；</w:t>
      </w:r>
    </w:p>
    <w:p w14:paraId="40608F24">
      <w:pPr>
        <w:pStyle w:val="21"/>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13.参与非法集资，受到刑事处罚的；</w:t>
      </w:r>
    </w:p>
    <w:p w14:paraId="53602614">
      <w:pPr>
        <w:pStyle w:val="21"/>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14.在签订、履行合同过程中，存在合同欺诈行为，受到刑事处罚的；</w:t>
      </w:r>
    </w:p>
    <w:p w14:paraId="2AA1AA7A">
      <w:pPr>
        <w:pStyle w:val="21"/>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15.虚构工程项目，套取资金的；</w:t>
      </w:r>
    </w:p>
    <w:p w14:paraId="1715E2AA">
      <w:pPr>
        <w:pStyle w:val="21"/>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16.克扣、无故拖欠农民工工资报酬，数额达到认定拒不支付劳动报酬罪数额标准的；</w:t>
      </w:r>
    </w:p>
    <w:p w14:paraId="3DA54D27">
      <w:pPr>
        <w:pStyle w:val="21"/>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17.发生社会公共事件，影响较大，并负有直接责任的。</w:t>
      </w:r>
    </w:p>
    <w:p w14:paraId="098DB041">
      <w:pPr>
        <w:pStyle w:val="21"/>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（五）存在以下拒不履行法定义务，严重影响司法机关、行政机关公信力行为之一的：</w:t>
      </w:r>
    </w:p>
    <w:p w14:paraId="1BAF7459">
      <w:pPr>
        <w:pStyle w:val="21"/>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1.发生事故拒绝接受调查或拒绝提供有关资料的；</w:t>
      </w:r>
    </w:p>
    <w:p w14:paraId="350F3FCB">
      <w:pPr>
        <w:pStyle w:val="21"/>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2.拒不执行生效的行政处罚决定的；</w:t>
      </w:r>
    </w:p>
    <w:p w14:paraId="250F10D6">
      <w:pPr>
        <w:pStyle w:val="21"/>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3.拒不执行仲裁、法院判决结果的。</w:t>
      </w:r>
    </w:p>
    <w:p w14:paraId="4E059D29">
      <w:pPr>
        <w:pStyle w:val="21"/>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（六）被相关联合惩戒部门列入"黑名单"，符合联合惩戒措施的。</w:t>
      </w:r>
    </w:p>
    <w:p w14:paraId="486B094F">
      <w:pPr>
        <w:spacing w:line="380" w:lineRule="exact"/>
        <w:ind w:firstLine="6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生产建设项目水土保持市场主体"黑名单"列入标准见《水利建设市场主体信用信息管理办法》附件。</w:t>
      </w:r>
    </w:p>
    <w:p w14:paraId="4D50E641">
      <w:pPr>
        <w:spacing w:line="380" w:lineRule="exact"/>
        <w:ind w:firstLine="615"/>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依据：《水利建设市场主体信用评价管理办法》水建设〔2019〕307号、《水利建设市场主体信用信息管理办法》水建设〔2019〕306号</w:t>
      </w:r>
    </w:p>
    <w:p w14:paraId="339E1B30">
      <w:pPr>
        <w:spacing w:line="380" w:lineRule="exact"/>
        <w:ind w:firstLine="6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5385D687">
      <w:pPr>
        <w:spacing w:line="380" w:lineRule="exact"/>
        <w:ind w:firstLine="615"/>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未列出的其他类别严重失信行为，由招标人（代理机构）根据各类别行业主管部门下发的联合惩戒文件进行判断。</w:t>
      </w:r>
    </w:p>
    <w:p w14:paraId="5083EDEE">
      <w:pPr>
        <w:spacing w:line="380" w:lineRule="exact"/>
        <w:ind w:firstLine="487" w:firstLineChars="20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 xml:space="preserve"> </w:t>
      </w:r>
    </w:p>
    <w:p w14:paraId="704BAB16">
      <w:pPr>
        <w:spacing w:line="360" w:lineRule="auto"/>
        <w:ind w:firstLine="435"/>
        <w:rPr>
          <w:rFonts w:hint="eastAsia" w:ascii="宋体" w:hAnsi="宋体" w:eastAsia="宋体" w:cs="宋体"/>
          <w:color w:val="auto"/>
          <w:sz w:val="24"/>
          <w:szCs w:val="24"/>
          <w:highlight w:val="none"/>
        </w:rPr>
      </w:pPr>
    </w:p>
    <w:p w14:paraId="1F194A8F">
      <w:pPr>
        <w:spacing w:line="360" w:lineRule="auto"/>
        <w:rPr>
          <w:rFonts w:hint="eastAsia" w:ascii="宋体" w:hAnsi="宋体" w:eastAsia="宋体" w:cs="宋体"/>
          <w:color w:val="auto"/>
          <w:sz w:val="24"/>
          <w:szCs w:val="24"/>
          <w:highlight w:val="none"/>
        </w:rPr>
      </w:pPr>
    </w:p>
    <w:sectPr>
      <w:headerReference r:id="rId6" w:type="default"/>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altName w:val="宋体"/>
    <w:panose1 w:val="02010600040101010101"/>
    <w:charset w:val="86"/>
    <w:family w:val="auto"/>
    <w:pitch w:val="default"/>
    <w:sig w:usb0="00000000" w:usb1="0000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73B34">
    <w:pPr>
      <w:pStyle w:val="16"/>
      <w:jc w:val="center"/>
      <w:rPr>
        <w:rFonts w:hint="eastAsia"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68C13">
    <w:pPr>
      <w:pStyle w:val="16"/>
      <w:rPr>
        <w:rFonts w:hint="eastAsia"/>
      </w:rP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981BB5C">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4981BB5C">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42335">
    <w:pPr>
      <w:pStyle w:val="16"/>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40D24E">
                          <w:pPr>
                            <w:pStyle w:val="16"/>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w:t>
                          </w:r>
                          <w:r>
                            <w:rPr>
                              <w:rFonts w:hint="eastAsia" w:ascii="宋体" w:hAnsi="宋体" w:eastAsia="宋体" w:cs="宋体"/>
                              <w:sz w:val="21"/>
                              <w:szCs w:val="21"/>
                              <w:lang w:val="en-US" w:eastAsia="zh-CN"/>
                            </w:rPr>
                            <w:t>59</w:t>
                          </w:r>
                          <w:r>
                            <w:rPr>
                              <w:rFonts w:hint="eastAsia" w:ascii="宋体" w:hAnsi="宋体" w:eastAsia="宋体" w:cs="宋体"/>
                              <w:sz w:val="21"/>
                              <w:szCs w:val="21"/>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7640D24E">
                    <w:pPr>
                      <w:pStyle w:val="16"/>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w:t>
                    </w:r>
                    <w:r>
                      <w:rPr>
                        <w:rFonts w:hint="eastAsia" w:ascii="宋体" w:hAnsi="宋体" w:eastAsia="宋体" w:cs="宋体"/>
                        <w:sz w:val="21"/>
                        <w:szCs w:val="21"/>
                        <w:lang w:val="en-US" w:eastAsia="zh-CN"/>
                      </w:rPr>
                      <w:t>59</w:t>
                    </w:r>
                    <w:r>
                      <w:rPr>
                        <w:rFonts w:hint="eastAsia" w:ascii="宋体" w:hAnsi="宋体" w:eastAsia="宋体" w:cs="宋体"/>
                        <w:sz w:val="21"/>
                        <w:szCs w:val="21"/>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644C0">
    <w:pPr>
      <w:pStyle w:val="17"/>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35E65">
    <w:pPr>
      <w:pStyle w:val="17"/>
      <w:jc w:val="lef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lvl>
  </w:abstractNum>
  <w:abstractNum w:abstractNumId="1">
    <w:nsid w:val="00000002"/>
    <w:multiLevelType w:val="singleLevel"/>
    <w:tmpl w:val="00000002"/>
    <w:lvl w:ilvl="0" w:tentative="0">
      <w:start w:val="6"/>
      <w:numFmt w:val="decimal"/>
      <w:suff w:val="space"/>
      <w:lvlText w:val="%1."/>
      <w:lvlJc w:val="left"/>
    </w:lvl>
  </w:abstractNum>
  <w:abstractNum w:abstractNumId="2">
    <w:nsid w:val="00000003"/>
    <w:multiLevelType w:val="singleLevel"/>
    <w:tmpl w:val="00000003"/>
    <w:lvl w:ilvl="0" w:tentative="0">
      <w:start w:val="2"/>
      <w:numFmt w:val="decimal"/>
      <w:suff w:val="space"/>
      <w:lvlText w:val="%1."/>
      <w:lvlJc w:val="left"/>
    </w:lvl>
  </w:abstractNum>
  <w:abstractNum w:abstractNumId="3">
    <w:nsid w:val="00000004"/>
    <w:multiLevelType w:val="singleLevel"/>
    <w:tmpl w:val="00000004"/>
    <w:lvl w:ilvl="0" w:tentative="0">
      <w:start w:val="23"/>
      <w:numFmt w:val="decimal"/>
      <w:suff w:val="space"/>
      <w:lvlText w:val="%1."/>
      <w:lvlJc w:val="left"/>
    </w:lvl>
  </w:abstractNum>
  <w:abstractNum w:abstractNumId="4">
    <w:nsid w:val="00000005"/>
    <w:multiLevelType w:val="multilevel"/>
    <w:tmpl w:val="00000005"/>
    <w:lvl w:ilvl="0" w:tentative="0">
      <w:start w:val="1"/>
      <w:numFmt w:val="decimal"/>
      <w:lvlText w:val="%1、"/>
      <w:lvlJc w:val="left"/>
      <w:pPr>
        <w:ind w:left="371" w:hanging="360"/>
      </w:pPr>
      <w:rPr>
        <w:rFonts w:hint="default"/>
      </w:rPr>
    </w:lvl>
    <w:lvl w:ilvl="1" w:tentative="0">
      <w:start w:val="1"/>
      <w:numFmt w:val="lowerLetter"/>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5">
    <w:nsid w:val="00000006"/>
    <w:multiLevelType w:val="singleLevel"/>
    <w:tmpl w:val="00000006"/>
    <w:lvl w:ilvl="0" w:tentative="0">
      <w:start w:val="1"/>
      <w:numFmt w:val="decimal"/>
      <w:suff w:val="space"/>
      <w:lvlText w:val="%1."/>
      <w:lvlJc w:val="left"/>
    </w:lvl>
  </w:abstractNum>
  <w:abstractNum w:abstractNumId="6">
    <w:nsid w:val="0053208E"/>
    <w:multiLevelType w:val="singleLevel"/>
    <w:tmpl w:val="0053208E"/>
    <w:lvl w:ilvl="0" w:tentative="0">
      <w:start w:val="16"/>
      <w:numFmt w:val="decimal"/>
      <w:suff w:val="space"/>
      <w:lvlText w:val="%1."/>
      <w:lvlJc w:val="left"/>
    </w:lvl>
  </w:abstractNum>
  <w:abstractNum w:abstractNumId="7">
    <w:nsid w:val="54D12CC9"/>
    <w:multiLevelType w:val="multilevel"/>
    <w:tmpl w:val="54D12CC9"/>
    <w:lvl w:ilvl="0" w:tentative="0">
      <w:start w:val="2"/>
      <w:numFmt w:val="japaneseCounting"/>
      <w:lvlText w:val="%1、"/>
      <w:lvlJc w:val="left"/>
      <w:pPr>
        <w:ind w:left="982" w:hanging="500"/>
      </w:pPr>
      <w:rPr>
        <w:rFonts w:hint="default"/>
      </w:rPr>
    </w:lvl>
    <w:lvl w:ilvl="1" w:tentative="0">
      <w:start w:val="1"/>
      <w:numFmt w:val="lowerLetter"/>
      <w:lvlText w:val="%2)"/>
      <w:lvlJc w:val="left"/>
      <w:pPr>
        <w:ind w:left="1362" w:hanging="440"/>
      </w:pPr>
    </w:lvl>
    <w:lvl w:ilvl="2" w:tentative="0">
      <w:start w:val="1"/>
      <w:numFmt w:val="lowerRoman"/>
      <w:lvlText w:val="%3."/>
      <w:lvlJc w:val="right"/>
      <w:pPr>
        <w:ind w:left="1802" w:hanging="440"/>
      </w:pPr>
    </w:lvl>
    <w:lvl w:ilvl="3" w:tentative="0">
      <w:start w:val="1"/>
      <w:numFmt w:val="decimal"/>
      <w:lvlText w:val="%4."/>
      <w:lvlJc w:val="left"/>
      <w:pPr>
        <w:ind w:left="2242" w:hanging="440"/>
      </w:pPr>
    </w:lvl>
    <w:lvl w:ilvl="4" w:tentative="0">
      <w:start w:val="1"/>
      <w:numFmt w:val="lowerLetter"/>
      <w:lvlText w:val="%5)"/>
      <w:lvlJc w:val="left"/>
      <w:pPr>
        <w:ind w:left="2682" w:hanging="440"/>
      </w:pPr>
    </w:lvl>
    <w:lvl w:ilvl="5" w:tentative="0">
      <w:start w:val="1"/>
      <w:numFmt w:val="lowerRoman"/>
      <w:lvlText w:val="%6."/>
      <w:lvlJc w:val="right"/>
      <w:pPr>
        <w:ind w:left="3122" w:hanging="440"/>
      </w:pPr>
    </w:lvl>
    <w:lvl w:ilvl="6" w:tentative="0">
      <w:start w:val="1"/>
      <w:numFmt w:val="decimal"/>
      <w:lvlText w:val="%7."/>
      <w:lvlJc w:val="left"/>
      <w:pPr>
        <w:ind w:left="3562" w:hanging="440"/>
      </w:pPr>
    </w:lvl>
    <w:lvl w:ilvl="7" w:tentative="0">
      <w:start w:val="1"/>
      <w:numFmt w:val="lowerLetter"/>
      <w:lvlText w:val="%8)"/>
      <w:lvlJc w:val="left"/>
      <w:pPr>
        <w:ind w:left="4002" w:hanging="440"/>
      </w:pPr>
    </w:lvl>
    <w:lvl w:ilvl="8" w:tentative="0">
      <w:start w:val="1"/>
      <w:numFmt w:val="lowerRoman"/>
      <w:lvlText w:val="%9."/>
      <w:lvlJc w:val="right"/>
      <w:pPr>
        <w:ind w:left="4442" w:hanging="440"/>
      </w:pPr>
    </w:lvl>
  </w:abstractNum>
  <w:num w:numId="1">
    <w:abstractNumId w:val="7"/>
  </w:num>
  <w:num w:numId="2">
    <w:abstractNumId w:val="5"/>
  </w:num>
  <w:num w:numId="3">
    <w:abstractNumId w:val="0"/>
  </w:num>
  <w:num w:numId="4">
    <w:abstractNumId w:val="4"/>
  </w:num>
  <w:num w:numId="5">
    <w:abstractNumId w:val="2"/>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xZTY3N2FlNWMzMGQ4ODJjZjNiMzAzNjYzMGVjZmM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9A"/>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87865"/>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86E85"/>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46E7"/>
    <w:rsid w:val="00796EDE"/>
    <w:rsid w:val="00797A02"/>
    <w:rsid w:val="007A27A9"/>
    <w:rsid w:val="007A5A58"/>
    <w:rsid w:val="007A6740"/>
    <w:rsid w:val="007B19A1"/>
    <w:rsid w:val="007B1C56"/>
    <w:rsid w:val="007B4996"/>
    <w:rsid w:val="007B6F5B"/>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311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773A2"/>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0909"/>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8FD"/>
    <w:rsid w:val="00D30F1B"/>
    <w:rsid w:val="00D30FC0"/>
    <w:rsid w:val="00D34F0D"/>
    <w:rsid w:val="00D3516E"/>
    <w:rsid w:val="00D4064C"/>
    <w:rsid w:val="00D451E5"/>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2C4"/>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36FD"/>
    <w:rsid w:val="00E94E10"/>
    <w:rsid w:val="00E9512E"/>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839A6"/>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361D70"/>
    <w:rsid w:val="014434A8"/>
    <w:rsid w:val="015A4857"/>
    <w:rsid w:val="017B1BF9"/>
    <w:rsid w:val="01E93A1B"/>
    <w:rsid w:val="0214602E"/>
    <w:rsid w:val="021F7DC1"/>
    <w:rsid w:val="025F774E"/>
    <w:rsid w:val="029A6E6A"/>
    <w:rsid w:val="02D435F7"/>
    <w:rsid w:val="03486B27"/>
    <w:rsid w:val="038D038B"/>
    <w:rsid w:val="040A094E"/>
    <w:rsid w:val="049D6812"/>
    <w:rsid w:val="04AA47F1"/>
    <w:rsid w:val="056F201D"/>
    <w:rsid w:val="05940AC6"/>
    <w:rsid w:val="05B664D4"/>
    <w:rsid w:val="064B485A"/>
    <w:rsid w:val="06823FBC"/>
    <w:rsid w:val="068C65C4"/>
    <w:rsid w:val="06C63445"/>
    <w:rsid w:val="07076C01"/>
    <w:rsid w:val="071C12AC"/>
    <w:rsid w:val="075C0367"/>
    <w:rsid w:val="077C7A64"/>
    <w:rsid w:val="07837AFC"/>
    <w:rsid w:val="07A934B3"/>
    <w:rsid w:val="07E87A8D"/>
    <w:rsid w:val="07EB6287"/>
    <w:rsid w:val="0806421B"/>
    <w:rsid w:val="08684CB5"/>
    <w:rsid w:val="09716062"/>
    <w:rsid w:val="09747A74"/>
    <w:rsid w:val="0980662B"/>
    <w:rsid w:val="0980799C"/>
    <w:rsid w:val="09944B8E"/>
    <w:rsid w:val="0A303690"/>
    <w:rsid w:val="0A32077B"/>
    <w:rsid w:val="0A6A18DB"/>
    <w:rsid w:val="0A73514E"/>
    <w:rsid w:val="0A7D1BE8"/>
    <w:rsid w:val="0A97099B"/>
    <w:rsid w:val="0A975B48"/>
    <w:rsid w:val="0AEF3828"/>
    <w:rsid w:val="0AFA761E"/>
    <w:rsid w:val="0B406381"/>
    <w:rsid w:val="0B7D19AF"/>
    <w:rsid w:val="0B835347"/>
    <w:rsid w:val="0B8A60C6"/>
    <w:rsid w:val="0BAF7442"/>
    <w:rsid w:val="0BB452AA"/>
    <w:rsid w:val="0BBB665B"/>
    <w:rsid w:val="0C685EAE"/>
    <w:rsid w:val="0C991A10"/>
    <w:rsid w:val="0CBD6F29"/>
    <w:rsid w:val="0D0E73B0"/>
    <w:rsid w:val="0D5B011C"/>
    <w:rsid w:val="0D7C07BE"/>
    <w:rsid w:val="0D820829"/>
    <w:rsid w:val="0E7F32A9"/>
    <w:rsid w:val="0E810642"/>
    <w:rsid w:val="0EAC50D3"/>
    <w:rsid w:val="0EEA6FC1"/>
    <w:rsid w:val="0F790928"/>
    <w:rsid w:val="0FB30434"/>
    <w:rsid w:val="0FC1695C"/>
    <w:rsid w:val="0FE10DAC"/>
    <w:rsid w:val="102636A0"/>
    <w:rsid w:val="107C607B"/>
    <w:rsid w:val="10CD72BB"/>
    <w:rsid w:val="1125116C"/>
    <w:rsid w:val="115031A6"/>
    <w:rsid w:val="12197477"/>
    <w:rsid w:val="12314985"/>
    <w:rsid w:val="1264785B"/>
    <w:rsid w:val="12DE7825"/>
    <w:rsid w:val="131B5CD3"/>
    <w:rsid w:val="133E02C4"/>
    <w:rsid w:val="13776448"/>
    <w:rsid w:val="137D4A9E"/>
    <w:rsid w:val="1382549E"/>
    <w:rsid w:val="13F82CE7"/>
    <w:rsid w:val="144F070C"/>
    <w:rsid w:val="1466407E"/>
    <w:rsid w:val="14720B92"/>
    <w:rsid w:val="14834E28"/>
    <w:rsid w:val="148E7D65"/>
    <w:rsid w:val="15231BF9"/>
    <w:rsid w:val="15515573"/>
    <w:rsid w:val="15C4546D"/>
    <w:rsid w:val="16881F81"/>
    <w:rsid w:val="16AF4771"/>
    <w:rsid w:val="16EA2C3C"/>
    <w:rsid w:val="17365652"/>
    <w:rsid w:val="17CF1E32"/>
    <w:rsid w:val="180937EB"/>
    <w:rsid w:val="180C032A"/>
    <w:rsid w:val="18F163B1"/>
    <w:rsid w:val="193D1C1D"/>
    <w:rsid w:val="195A07CF"/>
    <w:rsid w:val="196A4832"/>
    <w:rsid w:val="19B45BCA"/>
    <w:rsid w:val="19F73BFF"/>
    <w:rsid w:val="1A064976"/>
    <w:rsid w:val="1A1839A8"/>
    <w:rsid w:val="1A3B68AA"/>
    <w:rsid w:val="1A3E1C1E"/>
    <w:rsid w:val="1AA40CCC"/>
    <w:rsid w:val="1AB65178"/>
    <w:rsid w:val="1AD4308C"/>
    <w:rsid w:val="1B6F4F40"/>
    <w:rsid w:val="1B9879DC"/>
    <w:rsid w:val="1C141836"/>
    <w:rsid w:val="1C33473D"/>
    <w:rsid w:val="1C76537D"/>
    <w:rsid w:val="1CAB1734"/>
    <w:rsid w:val="1CB87339"/>
    <w:rsid w:val="1D104432"/>
    <w:rsid w:val="1D7E40DE"/>
    <w:rsid w:val="1D9C6312"/>
    <w:rsid w:val="1DB005AC"/>
    <w:rsid w:val="1E4449D5"/>
    <w:rsid w:val="1E6B6A14"/>
    <w:rsid w:val="1F370744"/>
    <w:rsid w:val="1F4D401F"/>
    <w:rsid w:val="1FD16A32"/>
    <w:rsid w:val="20284A23"/>
    <w:rsid w:val="20550D9A"/>
    <w:rsid w:val="209D21D0"/>
    <w:rsid w:val="209E05F3"/>
    <w:rsid w:val="211A2370"/>
    <w:rsid w:val="21845C9E"/>
    <w:rsid w:val="218E2416"/>
    <w:rsid w:val="21D40771"/>
    <w:rsid w:val="220B52C2"/>
    <w:rsid w:val="22404767"/>
    <w:rsid w:val="226915FE"/>
    <w:rsid w:val="22702106"/>
    <w:rsid w:val="22773033"/>
    <w:rsid w:val="228B6BA3"/>
    <w:rsid w:val="22A85809"/>
    <w:rsid w:val="231F3F50"/>
    <w:rsid w:val="23354129"/>
    <w:rsid w:val="234F4B80"/>
    <w:rsid w:val="2411199F"/>
    <w:rsid w:val="241804A5"/>
    <w:rsid w:val="245B2E54"/>
    <w:rsid w:val="24894D13"/>
    <w:rsid w:val="24B97929"/>
    <w:rsid w:val="24D632D7"/>
    <w:rsid w:val="25381017"/>
    <w:rsid w:val="2708363F"/>
    <w:rsid w:val="27710810"/>
    <w:rsid w:val="27840543"/>
    <w:rsid w:val="278F17C6"/>
    <w:rsid w:val="27CD5A5E"/>
    <w:rsid w:val="27D65DBA"/>
    <w:rsid w:val="27F033FB"/>
    <w:rsid w:val="28162815"/>
    <w:rsid w:val="284943D4"/>
    <w:rsid w:val="285F40CA"/>
    <w:rsid w:val="289E1AF0"/>
    <w:rsid w:val="28C01ECB"/>
    <w:rsid w:val="29337FB9"/>
    <w:rsid w:val="29500C17"/>
    <w:rsid w:val="29954C89"/>
    <w:rsid w:val="29BF71E3"/>
    <w:rsid w:val="29D6387F"/>
    <w:rsid w:val="29E8216F"/>
    <w:rsid w:val="2A127B63"/>
    <w:rsid w:val="2A451A6C"/>
    <w:rsid w:val="2A97233B"/>
    <w:rsid w:val="2AA809EC"/>
    <w:rsid w:val="2AAA4765"/>
    <w:rsid w:val="2ABF7AE4"/>
    <w:rsid w:val="2AC21606"/>
    <w:rsid w:val="2B365FF8"/>
    <w:rsid w:val="2B45623B"/>
    <w:rsid w:val="2B7E7608"/>
    <w:rsid w:val="2B7F04E9"/>
    <w:rsid w:val="2B8B554A"/>
    <w:rsid w:val="2C932FD6"/>
    <w:rsid w:val="2D496D68"/>
    <w:rsid w:val="2E78485E"/>
    <w:rsid w:val="2E7A48DE"/>
    <w:rsid w:val="2E9C43C4"/>
    <w:rsid w:val="2EBA5177"/>
    <w:rsid w:val="2EDC3ED8"/>
    <w:rsid w:val="2EE40E2C"/>
    <w:rsid w:val="2F104B00"/>
    <w:rsid w:val="2F123F15"/>
    <w:rsid w:val="2F2B399A"/>
    <w:rsid w:val="2F6351B4"/>
    <w:rsid w:val="2F854414"/>
    <w:rsid w:val="2FAC5093"/>
    <w:rsid w:val="2FC86126"/>
    <w:rsid w:val="2FCF199E"/>
    <w:rsid w:val="2FE7130D"/>
    <w:rsid w:val="30133AD1"/>
    <w:rsid w:val="30281C5E"/>
    <w:rsid w:val="30483E83"/>
    <w:rsid w:val="309317F7"/>
    <w:rsid w:val="30983075"/>
    <w:rsid w:val="30A04FAC"/>
    <w:rsid w:val="30AC2E50"/>
    <w:rsid w:val="30BF3991"/>
    <w:rsid w:val="3111619A"/>
    <w:rsid w:val="31B139DC"/>
    <w:rsid w:val="32221E1E"/>
    <w:rsid w:val="32497AF3"/>
    <w:rsid w:val="33F8431A"/>
    <w:rsid w:val="341E788C"/>
    <w:rsid w:val="343C0775"/>
    <w:rsid w:val="345E7431"/>
    <w:rsid w:val="348D47EE"/>
    <w:rsid w:val="34A51AF9"/>
    <w:rsid w:val="34F43D78"/>
    <w:rsid w:val="355F1880"/>
    <w:rsid w:val="356C50EC"/>
    <w:rsid w:val="36137E45"/>
    <w:rsid w:val="36376E0A"/>
    <w:rsid w:val="36484C39"/>
    <w:rsid w:val="364A4C7C"/>
    <w:rsid w:val="36A83A7F"/>
    <w:rsid w:val="36C01346"/>
    <w:rsid w:val="36C02CFA"/>
    <w:rsid w:val="36C51C9C"/>
    <w:rsid w:val="3700166C"/>
    <w:rsid w:val="379A1012"/>
    <w:rsid w:val="37C71CEA"/>
    <w:rsid w:val="38694EE9"/>
    <w:rsid w:val="387B329C"/>
    <w:rsid w:val="38895178"/>
    <w:rsid w:val="39717338"/>
    <w:rsid w:val="39CA5376"/>
    <w:rsid w:val="3A117273"/>
    <w:rsid w:val="3A6818FA"/>
    <w:rsid w:val="3A844CA4"/>
    <w:rsid w:val="3AB344ED"/>
    <w:rsid w:val="3AF03690"/>
    <w:rsid w:val="3B0B7708"/>
    <w:rsid w:val="3B365CC9"/>
    <w:rsid w:val="3B60677A"/>
    <w:rsid w:val="3B697D24"/>
    <w:rsid w:val="3B9A7B88"/>
    <w:rsid w:val="3BD8694B"/>
    <w:rsid w:val="3C126FC3"/>
    <w:rsid w:val="3C456863"/>
    <w:rsid w:val="3C607747"/>
    <w:rsid w:val="3CC52D38"/>
    <w:rsid w:val="3CDF3F9E"/>
    <w:rsid w:val="3D2C7AC8"/>
    <w:rsid w:val="3D536596"/>
    <w:rsid w:val="3D855D12"/>
    <w:rsid w:val="3D8B42FF"/>
    <w:rsid w:val="3DD338D1"/>
    <w:rsid w:val="3DE86C4C"/>
    <w:rsid w:val="3DF36A6E"/>
    <w:rsid w:val="3E307A91"/>
    <w:rsid w:val="3EBA1EE9"/>
    <w:rsid w:val="3EC4042E"/>
    <w:rsid w:val="3F792F1E"/>
    <w:rsid w:val="3FD6525C"/>
    <w:rsid w:val="405F16F6"/>
    <w:rsid w:val="40824826"/>
    <w:rsid w:val="40D3290A"/>
    <w:rsid w:val="40E63923"/>
    <w:rsid w:val="41546D80"/>
    <w:rsid w:val="415643E4"/>
    <w:rsid w:val="41AF1F55"/>
    <w:rsid w:val="41D8350E"/>
    <w:rsid w:val="42971481"/>
    <w:rsid w:val="42B9450F"/>
    <w:rsid w:val="43194544"/>
    <w:rsid w:val="4340580E"/>
    <w:rsid w:val="43A91E5B"/>
    <w:rsid w:val="449851D6"/>
    <w:rsid w:val="449E0D39"/>
    <w:rsid w:val="45336CAD"/>
    <w:rsid w:val="45465823"/>
    <w:rsid w:val="45B222C8"/>
    <w:rsid w:val="45B44292"/>
    <w:rsid w:val="45C73FC5"/>
    <w:rsid w:val="45E32B26"/>
    <w:rsid w:val="45EF5FB8"/>
    <w:rsid w:val="463A3650"/>
    <w:rsid w:val="46461627"/>
    <w:rsid w:val="464D6CE6"/>
    <w:rsid w:val="46647A66"/>
    <w:rsid w:val="469F0116"/>
    <w:rsid w:val="46A76D1C"/>
    <w:rsid w:val="46EA7978"/>
    <w:rsid w:val="47277B83"/>
    <w:rsid w:val="4750522E"/>
    <w:rsid w:val="475259B7"/>
    <w:rsid w:val="47995D18"/>
    <w:rsid w:val="47C307BC"/>
    <w:rsid w:val="484F2050"/>
    <w:rsid w:val="488302AE"/>
    <w:rsid w:val="48831CF9"/>
    <w:rsid w:val="48AC020A"/>
    <w:rsid w:val="48B545A9"/>
    <w:rsid w:val="48CB7AD6"/>
    <w:rsid w:val="48E94A02"/>
    <w:rsid w:val="48F1321F"/>
    <w:rsid w:val="48F6071D"/>
    <w:rsid w:val="49024C9C"/>
    <w:rsid w:val="495871A9"/>
    <w:rsid w:val="496F4D40"/>
    <w:rsid w:val="49B1408D"/>
    <w:rsid w:val="4A027BBB"/>
    <w:rsid w:val="4A323C61"/>
    <w:rsid w:val="4A39249C"/>
    <w:rsid w:val="4A7D4FD2"/>
    <w:rsid w:val="4A913C9A"/>
    <w:rsid w:val="4B051F57"/>
    <w:rsid w:val="4B1F70AC"/>
    <w:rsid w:val="4B2006A7"/>
    <w:rsid w:val="4B240F94"/>
    <w:rsid w:val="4B4D6D1A"/>
    <w:rsid w:val="4B6A27EE"/>
    <w:rsid w:val="4B792520"/>
    <w:rsid w:val="4B856638"/>
    <w:rsid w:val="4C0832E5"/>
    <w:rsid w:val="4C3C565C"/>
    <w:rsid w:val="4CCC79C7"/>
    <w:rsid w:val="4D0B5439"/>
    <w:rsid w:val="4D553CBF"/>
    <w:rsid w:val="4D7555C7"/>
    <w:rsid w:val="4DF07D79"/>
    <w:rsid w:val="4DF65A5C"/>
    <w:rsid w:val="4DFF09CC"/>
    <w:rsid w:val="4E4E3231"/>
    <w:rsid w:val="4EAE6DA0"/>
    <w:rsid w:val="4F0A6CD0"/>
    <w:rsid w:val="4FD73056"/>
    <w:rsid w:val="4FE617D9"/>
    <w:rsid w:val="4FE707F9"/>
    <w:rsid w:val="5016514B"/>
    <w:rsid w:val="504E670A"/>
    <w:rsid w:val="50BD4DF3"/>
    <w:rsid w:val="50CF0EE9"/>
    <w:rsid w:val="50FC1A26"/>
    <w:rsid w:val="513B2CE7"/>
    <w:rsid w:val="51723664"/>
    <w:rsid w:val="51BB7195"/>
    <w:rsid w:val="51CB1C78"/>
    <w:rsid w:val="51FD6A51"/>
    <w:rsid w:val="52224331"/>
    <w:rsid w:val="523918FA"/>
    <w:rsid w:val="526B680A"/>
    <w:rsid w:val="52836F71"/>
    <w:rsid w:val="52953FFA"/>
    <w:rsid w:val="52D26B02"/>
    <w:rsid w:val="53DC5D66"/>
    <w:rsid w:val="53F13BFB"/>
    <w:rsid w:val="54161C73"/>
    <w:rsid w:val="541A5D30"/>
    <w:rsid w:val="5463070C"/>
    <w:rsid w:val="549239F0"/>
    <w:rsid w:val="54AF5038"/>
    <w:rsid w:val="55C1559C"/>
    <w:rsid w:val="55F068CD"/>
    <w:rsid w:val="56257EC5"/>
    <w:rsid w:val="566C3136"/>
    <w:rsid w:val="568455BA"/>
    <w:rsid w:val="568D04F2"/>
    <w:rsid w:val="56C80241"/>
    <w:rsid w:val="578B0CFA"/>
    <w:rsid w:val="57E24C8E"/>
    <w:rsid w:val="5815308E"/>
    <w:rsid w:val="581A6B1B"/>
    <w:rsid w:val="587F6530"/>
    <w:rsid w:val="58A03430"/>
    <w:rsid w:val="58F17C86"/>
    <w:rsid w:val="593C217C"/>
    <w:rsid w:val="59513E7A"/>
    <w:rsid w:val="59DD395F"/>
    <w:rsid w:val="5A0B43C0"/>
    <w:rsid w:val="5A296BA4"/>
    <w:rsid w:val="5A526582"/>
    <w:rsid w:val="5A5F5C77"/>
    <w:rsid w:val="5A711A0D"/>
    <w:rsid w:val="5B1613E4"/>
    <w:rsid w:val="5B1A63D4"/>
    <w:rsid w:val="5B2568B5"/>
    <w:rsid w:val="5B78003B"/>
    <w:rsid w:val="5B9938B6"/>
    <w:rsid w:val="5BC11A60"/>
    <w:rsid w:val="5BFB2E5D"/>
    <w:rsid w:val="5C477A84"/>
    <w:rsid w:val="5C7A4D54"/>
    <w:rsid w:val="5CA00C74"/>
    <w:rsid w:val="5CC86079"/>
    <w:rsid w:val="5CD23B73"/>
    <w:rsid w:val="5CD57954"/>
    <w:rsid w:val="5D3B367A"/>
    <w:rsid w:val="5D5A77C0"/>
    <w:rsid w:val="5DBB5D65"/>
    <w:rsid w:val="5DC14E75"/>
    <w:rsid w:val="5E1C65B7"/>
    <w:rsid w:val="5E231B5D"/>
    <w:rsid w:val="5E5E2CC3"/>
    <w:rsid w:val="5EE52114"/>
    <w:rsid w:val="5F127819"/>
    <w:rsid w:val="5FBA1FBA"/>
    <w:rsid w:val="60350ED3"/>
    <w:rsid w:val="606C3A37"/>
    <w:rsid w:val="609E371C"/>
    <w:rsid w:val="60B72AEE"/>
    <w:rsid w:val="60F872D1"/>
    <w:rsid w:val="61025188"/>
    <w:rsid w:val="61057D5F"/>
    <w:rsid w:val="61271964"/>
    <w:rsid w:val="614D4977"/>
    <w:rsid w:val="61E33ADD"/>
    <w:rsid w:val="623C31ED"/>
    <w:rsid w:val="626D25CE"/>
    <w:rsid w:val="62CE1B77"/>
    <w:rsid w:val="639875DD"/>
    <w:rsid w:val="63C60FC0"/>
    <w:rsid w:val="63E0211F"/>
    <w:rsid w:val="643B4928"/>
    <w:rsid w:val="645027A9"/>
    <w:rsid w:val="64B40B19"/>
    <w:rsid w:val="64BA3D7A"/>
    <w:rsid w:val="64F179BC"/>
    <w:rsid w:val="64F36292"/>
    <w:rsid w:val="65323AFA"/>
    <w:rsid w:val="65387F06"/>
    <w:rsid w:val="654A23E3"/>
    <w:rsid w:val="657557EF"/>
    <w:rsid w:val="658971CF"/>
    <w:rsid w:val="66127E0B"/>
    <w:rsid w:val="662D4693"/>
    <w:rsid w:val="663A217C"/>
    <w:rsid w:val="664A7DA0"/>
    <w:rsid w:val="665704D3"/>
    <w:rsid w:val="669944D9"/>
    <w:rsid w:val="67A140FF"/>
    <w:rsid w:val="67C065A4"/>
    <w:rsid w:val="67C749C6"/>
    <w:rsid w:val="67D359C9"/>
    <w:rsid w:val="68042537"/>
    <w:rsid w:val="68103BDF"/>
    <w:rsid w:val="68662D72"/>
    <w:rsid w:val="6899146A"/>
    <w:rsid w:val="68E2428E"/>
    <w:rsid w:val="68E6311C"/>
    <w:rsid w:val="68F41FC9"/>
    <w:rsid w:val="68FE36DD"/>
    <w:rsid w:val="694E60FC"/>
    <w:rsid w:val="69844BF2"/>
    <w:rsid w:val="6A256904"/>
    <w:rsid w:val="6A2C1D99"/>
    <w:rsid w:val="6A3053E5"/>
    <w:rsid w:val="6A696B49"/>
    <w:rsid w:val="6A70612A"/>
    <w:rsid w:val="6A9D53A6"/>
    <w:rsid w:val="6AA10091"/>
    <w:rsid w:val="6AAA163C"/>
    <w:rsid w:val="6AD42215"/>
    <w:rsid w:val="6B656832"/>
    <w:rsid w:val="6B66417A"/>
    <w:rsid w:val="6BA22313"/>
    <w:rsid w:val="6BC71D79"/>
    <w:rsid w:val="6C675CE6"/>
    <w:rsid w:val="6CDD63F2"/>
    <w:rsid w:val="6D4F4321"/>
    <w:rsid w:val="6DC835B5"/>
    <w:rsid w:val="6DF41B82"/>
    <w:rsid w:val="6DFF7360"/>
    <w:rsid w:val="6E0A7D76"/>
    <w:rsid w:val="6E7A5F73"/>
    <w:rsid w:val="6E946CD9"/>
    <w:rsid w:val="6EE90F9D"/>
    <w:rsid w:val="6F1D7B64"/>
    <w:rsid w:val="6FB6454A"/>
    <w:rsid w:val="6FD74228"/>
    <w:rsid w:val="7021106F"/>
    <w:rsid w:val="70D10596"/>
    <w:rsid w:val="71462F6F"/>
    <w:rsid w:val="71633091"/>
    <w:rsid w:val="722531EF"/>
    <w:rsid w:val="725A270A"/>
    <w:rsid w:val="72C708B1"/>
    <w:rsid w:val="73081CA5"/>
    <w:rsid w:val="73136EFB"/>
    <w:rsid w:val="73275BE6"/>
    <w:rsid w:val="735A5BA1"/>
    <w:rsid w:val="73A86934"/>
    <w:rsid w:val="73E831D5"/>
    <w:rsid w:val="74201F7D"/>
    <w:rsid w:val="742F6FCE"/>
    <w:rsid w:val="74454183"/>
    <w:rsid w:val="745E36D6"/>
    <w:rsid w:val="7487762D"/>
    <w:rsid w:val="74C33AA4"/>
    <w:rsid w:val="751A7C36"/>
    <w:rsid w:val="75210D7A"/>
    <w:rsid w:val="75385498"/>
    <w:rsid w:val="75680129"/>
    <w:rsid w:val="75AE0CEB"/>
    <w:rsid w:val="75F37776"/>
    <w:rsid w:val="75F556AF"/>
    <w:rsid w:val="76BC207F"/>
    <w:rsid w:val="76C646D6"/>
    <w:rsid w:val="76EB4904"/>
    <w:rsid w:val="77645DCD"/>
    <w:rsid w:val="777378F5"/>
    <w:rsid w:val="777A2D3C"/>
    <w:rsid w:val="77B01193"/>
    <w:rsid w:val="78673398"/>
    <w:rsid w:val="78A715E8"/>
    <w:rsid w:val="79074B81"/>
    <w:rsid w:val="794F0939"/>
    <w:rsid w:val="794F7912"/>
    <w:rsid w:val="79703A50"/>
    <w:rsid w:val="79AF0FCA"/>
    <w:rsid w:val="7A37456E"/>
    <w:rsid w:val="7AF9279C"/>
    <w:rsid w:val="7AFF0EAF"/>
    <w:rsid w:val="7B1448AF"/>
    <w:rsid w:val="7B514853"/>
    <w:rsid w:val="7BCA404B"/>
    <w:rsid w:val="7CC51958"/>
    <w:rsid w:val="7CD53DF9"/>
    <w:rsid w:val="7CDC4B3C"/>
    <w:rsid w:val="7D097C86"/>
    <w:rsid w:val="7E2936C3"/>
    <w:rsid w:val="7E6411B9"/>
    <w:rsid w:val="7F5B0819"/>
    <w:rsid w:val="7F5B2D73"/>
    <w:rsid w:val="7FE66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59"/>
    <w:autoRedefine/>
    <w:qFormat/>
    <w:uiPriority w:val="9"/>
    <w:pPr>
      <w:keepNext/>
      <w:keepLines/>
      <w:spacing w:before="340" w:after="330" w:line="578" w:lineRule="auto"/>
      <w:outlineLvl w:val="0"/>
    </w:pPr>
    <w:rPr>
      <w:b/>
      <w:bCs/>
      <w:kern w:val="44"/>
      <w:sz w:val="44"/>
      <w:szCs w:val="44"/>
    </w:rPr>
  </w:style>
  <w:style w:type="paragraph" w:styleId="3">
    <w:name w:val="heading 2"/>
    <w:basedOn w:val="4"/>
    <w:next w:val="1"/>
    <w:autoRedefine/>
    <w:qFormat/>
    <w:uiPriority w:val="0"/>
    <w:pPr>
      <w:spacing w:line="415" w:lineRule="auto"/>
      <w:outlineLvl w:val="1"/>
    </w:pPr>
    <w:rPr>
      <w:rFonts w:ascii="Arial" w:hAnsi="Arial" w:eastAsia="黑体" w:cs="Arial"/>
    </w:rPr>
  </w:style>
  <w:style w:type="paragraph" w:styleId="4">
    <w:name w:val="heading 3"/>
    <w:basedOn w:val="1"/>
    <w:next w:val="1"/>
    <w:link w:val="61"/>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6"/>
    <w:autoRedefine/>
    <w:qFormat/>
    <w:uiPriority w:val="0"/>
    <w:pPr>
      <w:keepNext/>
      <w:keepLines/>
      <w:spacing w:before="280" w:after="290" w:line="376" w:lineRule="auto"/>
      <w:outlineLvl w:val="3"/>
    </w:pPr>
    <w:rPr>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39"/>
    <w:pPr>
      <w:ind w:left="1260"/>
      <w:jc w:val="left"/>
    </w:pPr>
    <w:rPr>
      <w:sz w:val="18"/>
      <w:szCs w:val="18"/>
    </w:rPr>
  </w:style>
  <w:style w:type="paragraph" w:styleId="7">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58"/>
    <w:autoRedefine/>
    <w:qFormat/>
    <w:uiPriority w:val="0"/>
    <w:pPr>
      <w:jc w:val="left"/>
    </w:pPr>
    <w:rPr>
      <w:rFonts w:ascii="Arial" w:hAnsi="Arial" w:eastAsia="黑体" w:cs="Arial"/>
    </w:rPr>
  </w:style>
  <w:style w:type="paragraph" w:styleId="9">
    <w:name w:val="Body Text"/>
    <w:basedOn w:val="1"/>
    <w:autoRedefine/>
    <w:qFormat/>
    <w:uiPriority w:val="0"/>
    <w:pPr>
      <w:spacing w:after="120"/>
    </w:pPr>
    <w:rPr>
      <w:rFonts w:ascii="@微软简标宋" w:hAnsi="@微软简标宋" w:eastAsia="@微软简标宋" w:cs="@微软简标宋"/>
      <w:szCs w:val="24"/>
      <w:lang w:val="zh-CN"/>
    </w:rPr>
  </w:style>
  <w:style w:type="paragraph" w:styleId="10">
    <w:name w:val="Body Text Indent"/>
    <w:basedOn w:val="1"/>
    <w:next w:val="11"/>
    <w:autoRedefine/>
    <w:qFormat/>
    <w:uiPriority w:val="0"/>
    <w:pPr>
      <w:spacing w:after="120"/>
      <w:ind w:left="420" w:leftChars="200"/>
    </w:pPr>
  </w:style>
  <w:style w:type="paragraph" w:styleId="11">
    <w:name w:val="envelope return"/>
    <w:basedOn w:val="1"/>
    <w:qFormat/>
    <w:uiPriority w:val="0"/>
    <w:pPr>
      <w:snapToGrid w:val="0"/>
    </w:pPr>
    <w:rPr>
      <w:rFonts w:ascii="Arial" w:hAnsi="Arial"/>
    </w:rPr>
  </w:style>
  <w:style w:type="paragraph" w:styleId="12">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3">
    <w:name w:val="Plain Text"/>
    <w:basedOn w:val="1"/>
    <w:link w:val="48"/>
    <w:autoRedefine/>
    <w:qFormat/>
    <w:uiPriority w:val="99"/>
    <w:rPr>
      <w:rFonts w:ascii="宋体" w:hAnsi="Courier New" w:eastAsiaTheme="minorEastAsia" w:cstheme="minorBidi"/>
      <w:szCs w:val="22"/>
    </w:rPr>
  </w:style>
  <w:style w:type="paragraph" w:styleId="14">
    <w:name w:val="Date"/>
    <w:basedOn w:val="1"/>
    <w:next w:val="1"/>
    <w:link w:val="55"/>
    <w:autoRedefine/>
    <w:qFormat/>
    <w:uiPriority w:val="0"/>
    <w:rPr>
      <w:rFonts w:ascii="Arial" w:hAnsi="Arial" w:eastAsia="宋体" w:cs="Arial"/>
      <w:b/>
      <w:sz w:val="28"/>
    </w:rPr>
  </w:style>
  <w:style w:type="paragraph" w:styleId="15">
    <w:name w:val="Balloon Text"/>
    <w:basedOn w:val="1"/>
    <w:link w:val="42"/>
    <w:autoRedefine/>
    <w:semiHidden/>
    <w:unhideWhenUsed/>
    <w:qFormat/>
    <w:uiPriority w:val="99"/>
    <w:rPr>
      <w:sz w:val="18"/>
      <w:szCs w:val="18"/>
    </w:rPr>
  </w:style>
  <w:style w:type="paragraph" w:styleId="16">
    <w:name w:val="footer"/>
    <w:basedOn w:val="1"/>
    <w:link w:val="47"/>
    <w:autoRedefine/>
    <w:unhideWhenUsed/>
    <w:qFormat/>
    <w:uiPriority w:val="99"/>
    <w:pPr>
      <w:tabs>
        <w:tab w:val="center" w:pos="4153"/>
        <w:tab w:val="right" w:pos="8306"/>
      </w:tabs>
      <w:snapToGrid w:val="0"/>
      <w:jc w:val="left"/>
    </w:pPr>
    <w:rPr>
      <w:sz w:val="18"/>
      <w:szCs w:val="18"/>
    </w:rPr>
  </w:style>
  <w:style w:type="paragraph" w:styleId="17">
    <w:name w:val="header"/>
    <w:basedOn w:val="1"/>
    <w:link w:val="4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9">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0">
    <w:name w:val="List 4"/>
    <w:basedOn w:val="1"/>
    <w:qFormat/>
    <w:uiPriority w:val="0"/>
    <w:pPr>
      <w:ind w:left="1680" w:hanging="420"/>
    </w:pPr>
  </w:style>
  <w:style w:type="paragraph" w:styleId="21">
    <w:name w:val="Normal (Web)"/>
    <w:basedOn w:val="1"/>
    <w:autoRedefine/>
    <w:qFormat/>
    <w:uiPriority w:val="0"/>
    <w:pPr>
      <w:spacing w:before="100" w:beforeAutospacing="1" w:after="100" w:afterAutospacing="1"/>
      <w:jc w:val="left"/>
    </w:pPr>
    <w:rPr>
      <w:rFonts w:cs="Times New Roman"/>
      <w:kern w:val="0"/>
      <w:sz w:val="24"/>
    </w:rPr>
  </w:style>
  <w:style w:type="paragraph" w:styleId="22">
    <w:name w:val="index 1"/>
    <w:basedOn w:val="1"/>
    <w:next w:val="1"/>
    <w:autoRedefine/>
    <w:qFormat/>
    <w:uiPriority w:val="0"/>
    <w:pPr>
      <w:jc w:val="center"/>
    </w:pPr>
    <w:rPr>
      <w:rFonts w:ascii="Arial" w:hAnsi="Arial" w:eastAsia="Arial" w:cs="Arial"/>
      <w:b/>
      <w:bCs/>
      <w:sz w:val="28"/>
    </w:rPr>
  </w:style>
  <w:style w:type="paragraph" w:styleId="23">
    <w:name w:val="annotation subject"/>
    <w:basedOn w:val="8"/>
    <w:next w:val="8"/>
    <w:link w:val="69"/>
    <w:autoRedefine/>
    <w:semiHidden/>
    <w:unhideWhenUsed/>
    <w:qFormat/>
    <w:uiPriority w:val="99"/>
    <w:rPr>
      <w:rFonts w:ascii="@仿宋_GB2312" w:hAnsi="@仿宋_GB2312" w:eastAsia="@仿宋_GB2312" w:cs="@仿宋_GB2312"/>
      <w:b/>
      <w:bCs/>
    </w:rPr>
  </w:style>
  <w:style w:type="paragraph" w:styleId="24">
    <w:name w:val="Body Text First Indent"/>
    <w:basedOn w:val="9"/>
    <w:autoRedefine/>
    <w:unhideWhenUsed/>
    <w:qFormat/>
    <w:uiPriority w:val="99"/>
    <w:pPr>
      <w:ind w:firstLine="420" w:firstLineChars="100"/>
    </w:pPr>
  </w:style>
  <w:style w:type="paragraph" w:styleId="25">
    <w:name w:val="Body Text First Indent 2"/>
    <w:basedOn w:val="10"/>
    <w:qFormat/>
    <w:uiPriority w:val="0"/>
    <w:pPr>
      <w:ind w:firstLine="420" w:firstLineChars="200"/>
    </w:pPr>
  </w:style>
  <w:style w:type="table" w:styleId="27">
    <w:name w:val="Table Grid"/>
    <w:basedOn w:val="2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autoRedefine/>
    <w:qFormat/>
    <w:uiPriority w:val="0"/>
    <w:rPr>
      <w:b/>
      <w:bCs/>
    </w:rPr>
  </w:style>
  <w:style w:type="character" w:styleId="30">
    <w:name w:val="FollowedHyperlink"/>
    <w:basedOn w:val="28"/>
    <w:semiHidden/>
    <w:unhideWhenUsed/>
    <w:qFormat/>
    <w:uiPriority w:val="99"/>
    <w:rPr>
      <w:color w:val="800080"/>
      <w:u w:val="none"/>
    </w:rPr>
  </w:style>
  <w:style w:type="character" w:styleId="31">
    <w:name w:val="HTML Definition"/>
    <w:basedOn w:val="28"/>
    <w:semiHidden/>
    <w:unhideWhenUsed/>
    <w:qFormat/>
    <w:uiPriority w:val="99"/>
  </w:style>
  <w:style w:type="character" w:styleId="32">
    <w:name w:val="HTML Typewriter"/>
    <w:basedOn w:val="28"/>
    <w:semiHidden/>
    <w:unhideWhenUsed/>
    <w:qFormat/>
    <w:uiPriority w:val="99"/>
    <w:rPr>
      <w:rFonts w:ascii="monospace" w:hAnsi="monospace" w:eastAsia="monospace" w:cs="monospace"/>
      <w:sz w:val="20"/>
    </w:rPr>
  </w:style>
  <w:style w:type="character" w:styleId="33">
    <w:name w:val="HTML Acronym"/>
    <w:basedOn w:val="28"/>
    <w:semiHidden/>
    <w:unhideWhenUsed/>
    <w:qFormat/>
    <w:uiPriority w:val="99"/>
  </w:style>
  <w:style w:type="character" w:styleId="34">
    <w:name w:val="HTML Variable"/>
    <w:basedOn w:val="28"/>
    <w:semiHidden/>
    <w:unhideWhenUsed/>
    <w:qFormat/>
    <w:uiPriority w:val="99"/>
  </w:style>
  <w:style w:type="character" w:styleId="35">
    <w:name w:val="Hyperlink"/>
    <w:basedOn w:val="28"/>
    <w:autoRedefine/>
    <w:unhideWhenUsed/>
    <w:qFormat/>
    <w:uiPriority w:val="99"/>
    <w:rPr>
      <w:color w:val="0000FF" w:themeColor="hyperlink"/>
      <w:u w:val="single"/>
      <w14:textFill>
        <w14:solidFill>
          <w14:schemeClr w14:val="hlink"/>
        </w14:solidFill>
      </w14:textFill>
    </w:rPr>
  </w:style>
  <w:style w:type="character" w:styleId="36">
    <w:name w:val="HTML Code"/>
    <w:basedOn w:val="28"/>
    <w:semiHidden/>
    <w:unhideWhenUsed/>
    <w:qFormat/>
    <w:uiPriority w:val="99"/>
    <w:rPr>
      <w:rFonts w:hint="default" w:ascii="monospace" w:hAnsi="monospace" w:eastAsia="monospace" w:cs="monospace"/>
      <w:sz w:val="20"/>
    </w:rPr>
  </w:style>
  <w:style w:type="character" w:styleId="37">
    <w:name w:val="annotation reference"/>
    <w:basedOn w:val="28"/>
    <w:autoRedefine/>
    <w:semiHidden/>
    <w:unhideWhenUsed/>
    <w:qFormat/>
    <w:uiPriority w:val="99"/>
    <w:rPr>
      <w:sz w:val="21"/>
      <w:szCs w:val="21"/>
    </w:rPr>
  </w:style>
  <w:style w:type="character" w:styleId="38">
    <w:name w:val="HTML Cite"/>
    <w:basedOn w:val="28"/>
    <w:semiHidden/>
    <w:unhideWhenUsed/>
    <w:qFormat/>
    <w:uiPriority w:val="99"/>
  </w:style>
  <w:style w:type="character" w:styleId="39">
    <w:name w:val="HTML Keyboard"/>
    <w:basedOn w:val="28"/>
    <w:semiHidden/>
    <w:unhideWhenUsed/>
    <w:qFormat/>
    <w:uiPriority w:val="99"/>
    <w:rPr>
      <w:rFonts w:hint="default" w:ascii="monospace" w:hAnsi="monospace" w:eastAsia="monospace" w:cs="monospace"/>
      <w:sz w:val="20"/>
    </w:rPr>
  </w:style>
  <w:style w:type="character" w:styleId="40">
    <w:name w:val="HTML Sample"/>
    <w:basedOn w:val="28"/>
    <w:semiHidden/>
    <w:unhideWhenUsed/>
    <w:qFormat/>
    <w:uiPriority w:val="99"/>
    <w:rPr>
      <w:rFonts w:hint="default" w:ascii="monospace" w:hAnsi="monospace" w:eastAsia="monospace" w:cs="monospace"/>
    </w:rPr>
  </w:style>
  <w:style w:type="paragraph" w:customStyle="1" w:styleId="41">
    <w:name w:val="表格文字"/>
    <w:basedOn w:val="1"/>
    <w:qFormat/>
    <w:uiPriority w:val="0"/>
    <w:rPr>
      <w:bCs/>
      <w:spacing w:val="10"/>
      <w:szCs w:val="20"/>
    </w:rPr>
  </w:style>
  <w:style w:type="character" w:customStyle="1" w:styleId="42">
    <w:name w:val="批注框文本 字符"/>
    <w:basedOn w:val="28"/>
    <w:link w:val="15"/>
    <w:autoRedefine/>
    <w:semiHidden/>
    <w:qFormat/>
    <w:uiPriority w:val="99"/>
    <w:rPr>
      <w:rFonts w:ascii="@仿宋_GB2312" w:hAnsi="@仿宋_GB2312" w:eastAsia="@仿宋_GB2312" w:cs="@仿宋_GB2312"/>
      <w:sz w:val="18"/>
      <w:szCs w:val="18"/>
    </w:rPr>
  </w:style>
  <w:style w:type="paragraph" w:customStyle="1" w:styleId="43">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4">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5">
    <w:name w:val="D&amp;L"/>
    <w:basedOn w:val="1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6">
    <w:name w:val="页眉 字符"/>
    <w:basedOn w:val="28"/>
    <w:link w:val="17"/>
    <w:autoRedefine/>
    <w:qFormat/>
    <w:uiPriority w:val="99"/>
    <w:rPr>
      <w:rFonts w:ascii="@仿宋_GB2312" w:hAnsi="@仿宋_GB2312" w:eastAsia="@仿宋_GB2312" w:cs="@仿宋_GB2312"/>
      <w:sz w:val="18"/>
      <w:szCs w:val="18"/>
    </w:rPr>
  </w:style>
  <w:style w:type="character" w:customStyle="1" w:styleId="47">
    <w:name w:val="页脚 字符"/>
    <w:basedOn w:val="28"/>
    <w:link w:val="16"/>
    <w:autoRedefine/>
    <w:qFormat/>
    <w:uiPriority w:val="99"/>
    <w:rPr>
      <w:rFonts w:ascii="@仿宋_GB2312" w:hAnsi="@仿宋_GB2312" w:eastAsia="@仿宋_GB2312" w:cs="@仿宋_GB2312"/>
      <w:sz w:val="18"/>
      <w:szCs w:val="18"/>
    </w:rPr>
  </w:style>
  <w:style w:type="character" w:customStyle="1" w:styleId="48">
    <w:name w:val="纯文本 字符"/>
    <w:link w:val="13"/>
    <w:autoRedefine/>
    <w:qFormat/>
    <w:uiPriority w:val="0"/>
    <w:rPr>
      <w:rFonts w:ascii="宋体" w:hAnsi="Courier New"/>
    </w:rPr>
  </w:style>
  <w:style w:type="character" w:customStyle="1" w:styleId="49">
    <w:name w:val="纯文本 字符1"/>
    <w:basedOn w:val="28"/>
    <w:autoRedefine/>
    <w:semiHidden/>
    <w:qFormat/>
    <w:uiPriority w:val="99"/>
    <w:rPr>
      <w:rFonts w:hAnsi="Courier New" w:cs="Courier New" w:asciiTheme="minorEastAsia"/>
      <w:szCs w:val="20"/>
    </w:rPr>
  </w:style>
  <w:style w:type="character" w:customStyle="1" w:styleId="50">
    <w:name w:val="未处理的提及1"/>
    <w:basedOn w:val="28"/>
    <w:autoRedefine/>
    <w:semiHidden/>
    <w:unhideWhenUsed/>
    <w:qFormat/>
    <w:uiPriority w:val="99"/>
    <w:rPr>
      <w:color w:val="605E5C"/>
      <w:shd w:val="clear" w:color="auto" w:fill="E1DFDD"/>
    </w:rPr>
  </w:style>
  <w:style w:type="paragraph" w:styleId="51">
    <w:name w:val="List Paragraph"/>
    <w:basedOn w:val="1"/>
    <w:autoRedefine/>
    <w:qFormat/>
    <w:uiPriority w:val="34"/>
    <w:pPr>
      <w:ind w:firstLine="420" w:firstLineChars="200"/>
    </w:pPr>
  </w:style>
  <w:style w:type="paragraph" w:customStyle="1" w:styleId="52">
    <w:name w:val="Char Char Char Char Char Char Char1 Char"/>
    <w:basedOn w:val="1"/>
    <w:autoRedefine/>
    <w:qFormat/>
    <w:uiPriority w:val="0"/>
    <w:rPr>
      <w:rFonts w:ascii="Arial" w:hAnsi="Arial" w:eastAsia="宋体" w:cs="Arial"/>
      <w:sz w:val="24"/>
    </w:rPr>
  </w:style>
  <w:style w:type="table" w:customStyle="1" w:styleId="53">
    <w:name w:val="网格表 1 浅色1"/>
    <w:basedOn w:val="2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4">
    <w:name w:val="日期 字符"/>
    <w:basedOn w:val="28"/>
    <w:autoRedefine/>
    <w:semiHidden/>
    <w:qFormat/>
    <w:uiPriority w:val="99"/>
    <w:rPr>
      <w:rFonts w:ascii="@仿宋_GB2312" w:hAnsi="@仿宋_GB2312" w:eastAsia="@仿宋_GB2312" w:cs="@仿宋_GB2312"/>
      <w:szCs w:val="20"/>
    </w:rPr>
  </w:style>
  <w:style w:type="character" w:customStyle="1" w:styleId="55">
    <w:name w:val="日期 字符1"/>
    <w:link w:val="14"/>
    <w:autoRedefine/>
    <w:qFormat/>
    <w:uiPriority w:val="0"/>
    <w:rPr>
      <w:rFonts w:ascii="Arial" w:hAnsi="Arial" w:eastAsia="宋体" w:cs="Arial"/>
      <w:b/>
      <w:sz w:val="28"/>
      <w:szCs w:val="20"/>
    </w:rPr>
  </w:style>
  <w:style w:type="character" w:customStyle="1" w:styleId="56">
    <w:name w:val="纯文本 Char1"/>
    <w:autoRedefine/>
    <w:qFormat/>
    <w:locked/>
    <w:uiPriority w:val="99"/>
    <w:rPr>
      <w:rFonts w:ascii="Arial" w:hAnsi="Arial" w:eastAsia="Arial"/>
      <w:kern w:val="2"/>
      <w:sz w:val="21"/>
      <w:lang w:val="en-US" w:eastAsia="zh-CN" w:bidi="ar-SA"/>
    </w:rPr>
  </w:style>
  <w:style w:type="character" w:customStyle="1" w:styleId="57">
    <w:name w:val="批注文字 Char"/>
    <w:basedOn w:val="28"/>
    <w:autoRedefine/>
    <w:semiHidden/>
    <w:qFormat/>
    <w:uiPriority w:val="99"/>
    <w:rPr>
      <w:rFonts w:ascii="@仿宋_GB2312" w:hAnsi="@仿宋_GB2312" w:eastAsia="@仿宋_GB2312" w:cs="@仿宋_GB2312"/>
      <w:szCs w:val="20"/>
    </w:rPr>
  </w:style>
  <w:style w:type="character" w:customStyle="1" w:styleId="58">
    <w:name w:val="批注文字 字符"/>
    <w:link w:val="8"/>
    <w:autoRedefine/>
    <w:qFormat/>
    <w:uiPriority w:val="0"/>
    <w:rPr>
      <w:rFonts w:ascii="Arial" w:hAnsi="Arial" w:eastAsia="黑体" w:cs="Arial"/>
      <w:szCs w:val="20"/>
    </w:rPr>
  </w:style>
  <w:style w:type="character" w:customStyle="1" w:styleId="59">
    <w:name w:val="标题 1 字符"/>
    <w:basedOn w:val="28"/>
    <w:link w:val="2"/>
    <w:autoRedefine/>
    <w:qFormat/>
    <w:uiPriority w:val="9"/>
    <w:rPr>
      <w:rFonts w:ascii="@仿宋_GB2312" w:hAnsi="@仿宋_GB2312" w:eastAsia="@仿宋_GB2312" w:cs="@仿宋_GB2312"/>
      <w:b/>
      <w:bCs/>
      <w:kern w:val="44"/>
      <w:sz w:val="44"/>
      <w:szCs w:val="44"/>
    </w:rPr>
  </w:style>
  <w:style w:type="paragraph" w:customStyle="1" w:styleId="60">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1">
    <w:name w:val="标题 3 字符"/>
    <w:basedOn w:val="28"/>
    <w:link w:val="4"/>
    <w:autoRedefine/>
    <w:semiHidden/>
    <w:qFormat/>
    <w:uiPriority w:val="9"/>
    <w:rPr>
      <w:rFonts w:ascii="@仿宋_GB2312" w:hAnsi="@仿宋_GB2312" w:eastAsia="@仿宋_GB2312" w:cs="@仿宋_GB2312"/>
      <w:b/>
      <w:bCs/>
      <w:sz w:val="32"/>
      <w:szCs w:val="32"/>
    </w:rPr>
  </w:style>
  <w:style w:type="character" w:customStyle="1" w:styleId="62">
    <w:name w:val="fontstyle01"/>
    <w:basedOn w:val="28"/>
    <w:autoRedefine/>
    <w:qFormat/>
    <w:uiPriority w:val="0"/>
    <w:rPr>
      <w:rFonts w:hint="eastAsia" w:ascii="宋体" w:hAnsi="宋体" w:eastAsia="宋体"/>
      <w:color w:val="000000"/>
      <w:sz w:val="22"/>
      <w:szCs w:val="22"/>
    </w:rPr>
  </w:style>
  <w:style w:type="character" w:customStyle="1" w:styleId="63">
    <w:name w:val="fontstyle21"/>
    <w:basedOn w:val="28"/>
    <w:autoRedefine/>
    <w:qFormat/>
    <w:uiPriority w:val="0"/>
    <w:rPr>
      <w:rFonts w:hint="default" w:ascii="TimesNewRomanPSMT" w:hAnsi="TimesNewRomanPSMT"/>
      <w:color w:val="000000"/>
      <w:sz w:val="22"/>
      <w:szCs w:val="22"/>
    </w:rPr>
  </w:style>
  <w:style w:type="character" w:customStyle="1" w:styleId="64">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5">
    <w:name w:val="标题 4 字符"/>
    <w:basedOn w:val="28"/>
    <w:autoRedefine/>
    <w:semiHidden/>
    <w:qFormat/>
    <w:uiPriority w:val="9"/>
    <w:rPr>
      <w:rFonts w:asciiTheme="majorHAnsi" w:hAnsiTheme="majorHAnsi" w:eastAsiaTheme="majorEastAsia" w:cstheme="majorBidi"/>
      <w:b/>
      <w:bCs/>
      <w:sz w:val="28"/>
      <w:szCs w:val="28"/>
    </w:rPr>
  </w:style>
  <w:style w:type="character" w:customStyle="1" w:styleId="66">
    <w:name w:val="标题 4 字符1"/>
    <w:link w:val="5"/>
    <w:autoRedefine/>
    <w:qFormat/>
    <w:uiPriority w:val="0"/>
    <w:rPr>
      <w:rFonts w:ascii="@仿宋_GB2312" w:hAnsi="@仿宋_GB2312" w:eastAsia="@仿宋_GB2312" w:cs="@仿宋_GB2312"/>
      <w:b/>
      <w:bCs/>
      <w:sz w:val="28"/>
      <w:szCs w:val="28"/>
    </w:rPr>
  </w:style>
  <w:style w:type="character" w:customStyle="1" w:styleId="67">
    <w:name w:val="标题 4 Char"/>
    <w:autoRedefine/>
    <w:qFormat/>
    <w:uiPriority w:val="0"/>
    <w:rPr>
      <w:rFonts w:ascii="Arial" w:hAnsi="Arial" w:eastAsia="Arial"/>
      <w:b/>
      <w:bCs/>
      <w:kern w:val="2"/>
      <w:sz w:val="28"/>
      <w:szCs w:val="28"/>
      <w:lang w:val="en-US" w:eastAsia="zh-CN" w:bidi="ar-SA"/>
    </w:rPr>
  </w:style>
  <w:style w:type="table" w:customStyle="1" w:styleId="68">
    <w:name w:val="网格型1"/>
    <w:basedOn w:val="2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9">
    <w:name w:val="批注主题 字符"/>
    <w:basedOn w:val="58"/>
    <w:link w:val="23"/>
    <w:autoRedefine/>
    <w:semiHidden/>
    <w:qFormat/>
    <w:uiPriority w:val="99"/>
    <w:rPr>
      <w:rFonts w:ascii="@仿宋_GB2312" w:hAnsi="@仿宋_GB2312" w:eastAsia="@仿宋_GB2312" w:cs="@仿宋_GB2312"/>
      <w:b/>
      <w:bCs/>
      <w:szCs w:val="20"/>
    </w:rPr>
  </w:style>
  <w:style w:type="table" w:customStyle="1" w:styleId="70">
    <w:name w:val="Table Normal"/>
    <w:autoRedefine/>
    <w:semiHidden/>
    <w:unhideWhenUsed/>
    <w:qFormat/>
    <w:uiPriority w:val="0"/>
    <w:tblPr>
      <w:tblCellMar>
        <w:top w:w="0" w:type="dxa"/>
        <w:left w:w="0" w:type="dxa"/>
        <w:bottom w:w="0" w:type="dxa"/>
        <w:right w:w="0" w:type="dxa"/>
      </w:tblCellMar>
    </w:tblPr>
  </w:style>
  <w:style w:type="paragraph" w:customStyle="1" w:styleId="71">
    <w:name w:val="Table Text"/>
    <w:basedOn w:val="1"/>
    <w:autoRedefine/>
    <w:semiHidden/>
    <w:qFormat/>
    <w:uiPriority w:val="0"/>
    <w:rPr>
      <w:rFonts w:ascii="Arial" w:hAnsi="Arial" w:eastAsia="Arial" w:cs="Arial"/>
      <w:szCs w:val="21"/>
      <w:lang w:eastAsia="en-US"/>
    </w:rPr>
  </w:style>
  <w:style w:type="paragraph" w:customStyle="1" w:styleId="72">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3">
    <w:name w:val="列出段落1"/>
    <w:basedOn w:val="1"/>
    <w:autoRedefine/>
    <w:qFormat/>
    <w:uiPriority w:val="0"/>
    <w:pPr>
      <w:ind w:firstLine="420" w:firstLineChars="200"/>
    </w:pPr>
    <w:rPr>
      <w:szCs w:val="21"/>
    </w:rPr>
  </w:style>
  <w:style w:type="character" w:customStyle="1" w:styleId="74">
    <w:name w:val="15"/>
    <w:basedOn w:val="28"/>
    <w:qFormat/>
    <w:uiPriority w:val="0"/>
    <w:rPr>
      <w:rFonts w:hint="default" w:ascii="Times New Roman" w:hAnsi="Times New Roman" w:cs="Times New Roman"/>
      <w:color w:val="0000FF"/>
      <w:u w:val="single"/>
    </w:rPr>
  </w:style>
  <w:style w:type="character" w:customStyle="1" w:styleId="75">
    <w:name w:val="10"/>
    <w:basedOn w:val="28"/>
    <w:qFormat/>
    <w:uiPriority w:val="0"/>
    <w:rPr>
      <w:rFonts w:hint="default" w:ascii="Times New Roman" w:hAnsi="Times New Roman" w:cs="Times New Roman"/>
    </w:rPr>
  </w:style>
  <w:style w:type="character" w:customStyle="1" w:styleId="76">
    <w:name w:val="first-child"/>
    <w:basedOn w:val="28"/>
    <w:qFormat/>
    <w:uiPriority w:val="0"/>
  </w:style>
  <w:style w:type="character" w:customStyle="1" w:styleId="77">
    <w:name w:val="layui-this"/>
    <w:basedOn w:val="28"/>
    <w:qFormat/>
    <w:uiPriority w:val="0"/>
    <w:rPr>
      <w:bdr w:val="single" w:color="EEEEEE" w:sz="6" w:space="0"/>
      <w:shd w:val="clear" w:color="auto" w:fill="FFFFFF"/>
    </w:rPr>
  </w:style>
  <w:style w:type="paragraph" w:customStyle="1" w:styleId="78">
    <w:name w:val="Table Paragraph"/>
    <w:basedOn w:val="1"/>
    <w:next w:val="20"/>
    <w:qFormat/>
    <w:uiPriority w:val="0"/>
    <w:rPr>
      <w:rFonts w:ascii="宋体" w:hAnsi="宋体" w:eastAsia="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60</Pages>
  <Words>1342</Words>
  <Characters>1483</Characters>
  <Lines>298</Lines>
  <Paragraphs>84</Paragraphs>
  <TotalTime>1</TotalTime>
  <ScaleCrop>false</ScaleCrop>
  <LinksUpToDate>false</LinksUpToDate>
  <CharactersWithSpaces>1578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WPS_1550722479</cp:lastModifiedBy>
  <cp:lastPrinted>2025-12-04T01:01:00Z</cp:lastPrinted>
  <dcterms:modified xsi:type="dcterms:W3CDTF">2025-12-08T00:45:42Z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1ECEA165F94845FFAF35C1C96E4FB9B0_12</vt:lpwstr>
  </property>
  <property fmtid="{D5CDD505-2E9C-101B-9397-08002B2CF9AE}" pid="4" name="KSOTemplateDocerSaveRecord">
    <vt:lpwstr>eyJoZGlkIjoiYzZhZTc3Y2E5MDYyNWU2NzRiZDA3NjMyMTNjOWM1ZWUiLCJ1c2VySWQiOiI0NzkzNDYyOTMifQ==</vt:lpwstr>
  </property>
</Properties>
</file>