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AA794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滁州市第一人民医院中药制膏机及包装机采购项目（</w:t>
      </w:r>
      <w:r>
        <w:rPr>
          <w:rFonts w:hint="eastAsia" w:ascii="宋体" w:hAnsi="宋体" w:eastAsia="宋体" w:cs="宋体"/>
          <w:b/>
          <w:color w:val="auto"/>
          <w:spacing w:val="20"/>
          <w:kern w:val="0"/>
          <w:sz w:val="32"/>
          <w:szCs w:val="32"/>
          <w:highlight w:val="none"/>
          <w:u w:val="single"/>
          <w:lang w:val="en-US" w:eastAsia="zh-CN" w:bidi="ar"/>
        </w:rPr>
        <w:t>二次</w:t>
      </w:r>
      <w:r>
        <w:rPr>
          <w:rFonts w:hint="eastAsia" w:ascii="宋体" w:hAnsi="宋体" w:eastAsia="宋体" w:cs="宋体"/>
          <w:b/>
          <w:color w:val="auto"/>
          <w:spacing w:val="20"/>
          <w:kern w:val="0"/>
          <w:sz w:val="32"/>
          <w:szCs w:val="32"/>
          <w:highlight w:val="none"/>
          <w:u w:val="single"/>
          <w:lang w:eastAsia="zh-CN" w:bidi="ar"/>
        </w:rPr>
        <w:t>）</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CZYY-2025-68</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w:t>
      </w:r>
      <w:bookmarkStart w:id="115" w:name="_GoBack"/>
      <w:bookmarkEnd w:id="115"/>
      <w:r>
        <w:rPr>
          <w:rFonts w:hint="eastAsia" w:ascii="宋体" w:hAnsi="宋体" w:eastAsia="宋体" w:cs="宋体"/>
          <w:b/>
          <w:color w:val="auto"/>
          <w:spacing w:val="20"/>
          <w:kern w:val="0"/>
          <w:sz w:val="32"/>
          <w:szCs w:val="32"/>
          <w:highlight w:val="none"/>
          <w:u w:val="single"/>
          <w:lang w:bidi="ar"/>
        </w:rPr>
        <w:t>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5</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12</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滁州市第一人民医院中药制膏机及包装机采购项目（</w:t>
      </w:r>
      <w:r>
        <w:rPr>
          <w:rFonts w:hint="eastAsia" w:ascii="宋体" w:hAnsi="宋体" w:eastAsia="宋体" w:cs="宋体"/>
          <w:color w:val="auto"/>
          <w:sz w:val="24"/>
          <w:szCs w:val="24"/>
          <w:highlight w:val="none"/>
          <w:u w:val="single"/>
          <w:lang w:val="en-US" w:eastAsia="zh-CN" w:bidi="ar"/>
        </w:rPr>
        <w:t>二次</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22</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4" w:name="_Toc28359002"/>
      <w:bookmarkEnd w:id="4"/>
      <w:bookmarkStart w:id="5" w:name="_Toc35393790"/>
      <w:bookmarkEnd w:id="5"/>
      <w:bookmarkStart w:id="6" w:name="_Toc28359079"/>
      <w:bookmarkEnd w:id="6"/>
      <w:bookmarkStart w:id="7" w:name="_Toc58430305"/>
      <w:bookmarkEnd w:id="7"/>
      <w:bookmarkStart w:id="8" w:name="_Toc35393621"/>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CZYY-2025-68</w:t>
      </w:r>
    </w:p>
    <w:p w14:paraId="2F6DDDE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项目名称：滁州市第一人民医院中药制膏机及包装机采购项目（二次）</w:t>
      </w:r>
    </w:p>
    <w:p w14:paraId="24E68B43">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115000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115000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因工作需要采购中药制膏机及包装机各一台，满足我院中药液制膏及包装等需求。</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0"/>
          <w:sz w:val="24"/>
          <w:szCs w:val="24"/>
          <w:highlight w:val="none"/>
          <w:lang w:val="en-US" w:eastAsia="zh-CN" w:bidi="ar-SA"/>
        </w:rPr>
        <w:t>设备30个日历天内完成，耗材按需供货（具体以采购人通知为准）</w:t>
      </w:r>
    </w:p>
    <w:p w14:paraId="44ED0D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0" w:name="_Toc35393622"/>
      <w:bookmarkEnd w:id="10"/>
      <w:bookmarkStart w:id="11" w:name="_Toc28359003"/>
      <w:bookmarkEnd w:id="11"/>
      <w:bookmarkStart w:id="12" w:name="_Toc35393791"/>
      <w:bookmarkEnd w:id="12"/>
      <w:bookmarkStart w:id="13" w:name="_Toc58430306"/>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none"/>
          <w:lang w:val="en-US" w:eastAsia="zh-CN"/>
        </w:rPr>
        <w:t>无</w:t>
      </w:r>
    </w:p>
    <w:p w14:paraId="3E0B57F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543A420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5A03A8DC">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5971E11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00D592D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1C6F0744">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6A768847">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6057098F">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款信誉要求①-⑥项情形之一的，接受投标人参加本项目。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6" w:name="_Toc35393792"/>
      <w:bookmarkEnd w:id="16"/>
      <w:bookmarkStart w:id="17" w:name="_Toc35393623"/>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22</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530" w:firstLineChars="220"/>
        <w:textAlignment w:val="auto"/>
        <w:outlineLvl w:val="1"/>
        <w:rPr>
          <w:rFonts w:hint="eastAsia" w:ascii="宋体" w:hAnsi="宋体" w:eastAsia="宋体"/>
          <w:b/>
          <w:bCs/>
          <w:color w:val="auto"/>
          <w:sz w:val="24"/>
          <w:szCs w:val="24"/>
          <w:highlight w:val="none"/>
        </w:rPr>
      </w:pPr>
      <w:bookmarkStart w:id="19" w:name="_Toc28359082"/>
      <w:bookmarkEnd w:id="19"/>
      <w:bookmarkStart w:id="20" w:name="_Toc35393793"/>
      <w:bookmarkEnd w:id="20"/>
      <w:bookmarkStart w:id="21" w:name="_Toc28359005"/>
      <w:bookmarkEnd w:id="21"/>
      <w:bookmarkStart w:id="22" w:name="_Toc35393624"/>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2025年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22</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4" w:name="_Toc28359007"/>
      <w:bookmarkEnd w:id="24"/>
      <w:bookmarkStart w:id="25" w:name="_Toc35393625"/>
      <w:bookmarkEnd w:id="25"/>
      <w:bookmarkStart w:id="26" w:name="_Toc35393794"/>
      <w:bookmarkEnd w:id="26"/>
      <w:bookmarkStart w:id="27" w:name="_Toc58430309"/>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792D1FC9">
      <w:pPr>
        <w:pStyle w:val="9"/>
        <w:rPr>
          <w:rFonts w:hint="eastAsia" w:ascii="宋体" w:hAnsi="宋体" w:eastAsia="宋体" w:cs="@仿宋_GB2312"/>
          <w:color w:val="auto"/>
          <w:sz w:val="24"/>
          <w:highlight w:val="none"/>
          <w:u w:val="single"/>
          <w:lang w:val="en-US" w:bidi="ar"/>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6</w:t>
            </w:r>
            <w:r>
              <w:rPr>
                <w:rFonts w:hint="eastAsia" w:ascii="宋体" w:hAnsi="宋体" w:eastAsia="宋体"/>
                <w:b w:val="0"/>
                <w:color w:val="auto"/>
                <w:sz w:val="24"/>
                <w:highlight w:val="none"/>
                <w:u w:val="single"/>
              </w:rPr>
              <w:t>0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22</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 xml:space="preserve">日15 时00分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862</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其中一次评审费1000元，二次</w:t>
            </w:r>
            <w:r>
              <w:rPr>
                <w:rFonts w:hint="eastAsia" w:ascii="宋体" w:hAnsi="宋体" w:eastAsia="宋体" w:cs="宋体"/>
                <w:color w:val="auto"/>
                <w:sz w:val="24"/>
                <w:szCs w:val="24"/>
                <w:highlight w:val="none"/>
                <w:u w:val="single"/>
              </w:rPr>
              <w:t>评审费以实际发生为准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一次、二次评审费均由中标人支付</w:t>
            </w:r>
            <w:r>
              <w:rPr>
                <w:rFonts w:hint="eastAsia" w:ascii="宋体" w:hAnsi="宋体" w:eastAsia="宋体" w:cs="宋体"/>
                <w:color w:val="auto"/>
                <w:sz w:val="24"/>
                <w:szCs w:val="24"/>
                <w:highlight w:val="none"/>
                <w:u w:val="single"/>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color w:val="auto"/>
          <w:sz w:val="24"/>
          <w:highlight w:val="none"/>
        </w:rPr>
      </w:pPr>
      <w:bookmarkStart w:id="34" w:name="_Toc24882"/>
      <w:bookmarkStart w:id="3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0F40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634ED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监督管理部门</w:t>
      </w:r>
      <w:r>
        <w:rPr>
          <w:rFonts w:hint="eastAsia" w:asciiTheme="minorEastAsia" w:hAnsiTheme="minorEastAsia" w:eastAsiaTheme="minorEastAsia"/>
          <w:color w:val="auto"/>
          <w:sz w:val="24"/>
          <w:highlight w:val="none"/>
        </w:rPr>
        <w:t>批准。</w:t>
      </w:r>
    </w:p>
    <w:p w14:paraId="6E52DF5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spacing w:line="360" w:lineRule="auto"/>
        <w:ind w:firstLine="437"/>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2554"/>
      <w:bookmarkStart w:id="45" w:name="_Toc32151"/>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55CEF40F">
            <w:pPr>
              <w:pStyle w:val="3"/>
              <w:keepNext w:val="0"/>
              <w:keepLines w:val="0"/>
              <w:pageBreakBefore w:val="0"/>
              <w:widowControl w:val="0"/>
              <w:numPr>
                <w:ilvl w:val="1"/>
                <w:numId w:val="0"/>
              </w:numPr>
              <w:kinsoku/>
              <w:wordWrap w:val="0"/>
              <w:overflowPunct/>
              <w:topLinePunct w:val="0"/>
              <w:autoSpaceDE/>
              <w:autoSpaceDN/>
              <w:bidi w:val="0"/>
              <w:adjustRightInd/>
              <w:snapToGrid/>
              <w:spacing w:before="20" w:after="20" w:line="400" w:lineRule="exact"/>
              <w:textAlignment w:val="auto"/>
              <w:rPr>
                <w:rFonts w:hint="default" w:ascii="宋体" w:hAnsi="宋体" w:eastAsia="仿宋"/>
                <w:b w:val="0"/>
                <w:color w:val="auto"/>
                <w:sz w:val="24"/>
                <w:szCs w:val="20"/>
                <w:highlight w:val="none"/>
                <w:u w:val="single"/>
                <w:lang w:val="en-US"/>
              </w:rPr>
            </w:pPr>
            <w:r>
              <w:rPr>
                <w:rFonts w:hint="eastAsia" w:asciiTheme="majorEastAsia" w:hAnsiTheme="majorEastAsia" w:eastAsiaTheme="majorEastAsia"/>
                <w:b/>
                <w:bCs/>
                <w:color w:val="auto"/>
                <w:sz w:val="24"/>
                <w:highlight w:val="none"/>
                <w:lang w:val="en-US" w:eastAsia="zh-CN"/>
              </w:rPr>
              <w:t>设备安装调试并正常使用后付至合同价款的90%，货物经采购人验收合格后付至合同价款的100%；耗材分批次进行供货，每批次供货验收并完成出入库手续后按财务流程付款。</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Cs/>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Cs/>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设备30个日历天内完成，耗材按需供货（具体以采购人通知为准）</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144"/>
        <w:gridCol w:w="984"/>
        <w:gridCol w:w="1256"/>
        <w:gridCol w:w="1918"/>
        <w:gridCol w:w="1807"/>
      </w:tblGrid>
      <w:tr w14:paraId="785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12EFABB">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510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18" w:type="dxa"/>
            <w:gridSpan w:val="6"/>
            <w:tcBorders>
              <w:top w:val="single" w:color="auto" w:sz="4" w:space="0"/>
              <w:left w:val="single" w:color="auto" w:sz="4" w:space="0"/>
              <w:bottom w:val="single" w:color="auto" w:sz="4" w:space="0"/>
              <w:right w:val="single" w:color="auto" w:sz="4" w:space="0"/>
            </w:tcBorders>
            <w:noWrap w:val="0"/>
            <w:vAlign w:val="center"/>
          </w:tcPr>
          <w:p w14:paraId="275CE2B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设备类</w:t>
            </w:r>
          </w:p>
        </w:tc>
      </w:tr>
      <w:tr w14:paraId="184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21EEF31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1</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8CA1E8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中药制膏机</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A957F73">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F30F0CF">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70000元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5CAD1CA">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bCs/>
                <w:color w:val="auto"/>
                <w:sz w:val="24"/>
                <w:szCs w:val="18"/>
                <w:highlight w:val="none"/>
                <w:lang w:val="en-US" w:eastAsia="zh-CN"/>
              </w:rPr>
              <w:t>核心产品</w:t>
            </w:r>
          </w:p>
        </w:tc>
      </w:tr>
      <w:tr w14:paraId="613F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3ABB7E0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2</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28CCB5E">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包装机</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32B0DE2B">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FEA3367">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63CA4F8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30000元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E45E596">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p>
        </w:tc>
      </w:tr>
      <w:tr w14:paraId="21A4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18" w:type="dxa"/>
            <w:gridSpan w:val="6"/>
            <w:tcBorders>
              <w:top w:val="single" w:color="auto" w:sz="4" w:space="0"/>
              <w:left w:val="single" w:color="auto" w:sz="4" w:space="0"/>
              <w:bottom w:val="single" w:color="auto" w:sz="4" w:space="0"/>
              <w:right w:val="single" w:color="auto" w:sz="4" w:space="0"/>
            </w:tcBorders>
            <w:noWrap w:val="0"/>
            <w:vAlign w:val="center"/>
          </w:tcPr>
          <w:p w14:paraId="0C4EC37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耗材类</w:t>
            </w:r>
          </w:p>
        </w:tc>
      </w:tr>
      <w:tr w14:paraId="7C82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14:paraId="4A603AF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32468AC0">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包装膜</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309214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51E0B85">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50</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4D4FE5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300元</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ACCF12E">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以400米/卷计</w:t>
            </w: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基本需求和</w:t>
      </w:r>
      <w:r>
        <w:rPr>
          <w:rFonts w:hint="eastAsia" w:ascii="宋体" w:hAnsi="宋体" w:eastAsia="宋体"/>
          <w:b/>
          <w:bCs/>
          <w:color w:val="auto"/>
          <w:sz w:val="24"/>
          <w:szCs w:val="18"/>
          <w:highlight w:val="none"/>
        </w:rPr>
        <w:t>技术参数要求</w:t>
      </w:r>
    </w:p>
    <w:p w14:paraId="43C3EA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院方提供上下水点位，中标方需安装上下水管道，还需将制膏机与现有煎药机相连，煎药机管道接口为螺纹口，规格为外径1cm，内径0.5cm。</w:t>
      </w:r>
    </w:p>
    <w:p w14:paraId="4F3724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1、制膏机浓缩锅数量≥2个，单个容积≥30L</w:t>
      </w:r>
    </w:p>
    <w:p w14:paraId="54371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2、最大浓缩量≥13L/h</w:t>
      </w:r>
    </w:p>
    <w:p w14:paraId="2B4C7E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3、具有低温浓缩功能，适用于含有热敏易挥发成分的药材浓缩，低温模式最大浓缩量≥9L/h</w:t>
      </w:r>
    </w:p>
    <w:p w14:paraId="21DEAA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4、水冷式冷却方式</w:t>
      </w:r>
    </w:p>
    <w:p w14:paraId="6EA8A6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5、具有过热保护，防干烧功能</w:t>
      </w:r>
    </w:p>
    <w:p w14:paraId="492338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6、具有自清洁功能，自动清洗管路</w:t>
      </w:r>
    </w:p>
    <w:p w14:paraId="5ED71D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7、具备负压自动吸料功能</w:t>
      </w:r>
    </w:p>
    <w:p w14:paraId="4C0F75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8、具有自动消泡功能，产生泡沫自动破碎</w:t>
      </w:r>
    </w:p>
    <w:p w14:paraId="71E50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9、制膏机最大工作时间设定≥2小时</w:t>
      </w:r>
    </w:p>
    <w:p w14:paraId="745D72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10、包装机单个包装量设定范围需包含10-50mL区间（含10ml和50ml）</w:t>
      </w:r>
    </w:p>
    <w:p w14:paraId="409219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11、包装膜材质为PET/PE，宽度70mm（±2mm），厚度不少于0.13mm，需按科室要求自定义包装膜上的图案</w:t>
      </w:r>
    </w:p>
    <w:p w14:paraId="777F80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18" w:firstLineChars="161"/>
        <w:textAlignment w:val="auto"/>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color w:val="auto"/>
          <w:spacing w:val="10"/>
          <w:sz w:val="24"/>
          <w:szCs w:val="24"/>
          <w:highlight w:val="none"/>
          <w:lang w:val="en-US" w:eastAsia="zh-CN"/>
        </w:rPr>
        <w:t>12、包装机屏幕上可显示温度、包装袋数，封合温度可调节</w:t>
      </w:r>
    </w:p>
    <w:p w14:paraId="1268BA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default"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注：1、投标人所投产品参数均须满以上所有要求，如有任意一项不满足，按无效投标处理。</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投标人须严格恪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6560"/>
      <w:bookmarkStart w:id="52" w:name="_Toc22115"/>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7343"/>
      <w:bookmarkStart w:id="54" w:name="_Toc2853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16"/>
        <w:gridCol w:w="4689"/>
        <w:gridCol w:w="191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65"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76"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88"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65"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76"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88" w:type="pct"/>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9"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65"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76"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8" w:type="pct"/>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65"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76"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bl>
    <w:p w14:paraId="287B667E">
      <w:pPr>
        <w:spacing w:line="360" w:lineRule="auto"/>
        <w:ind w:firstLine="435"/>
        <w:rPr>
          <w:rFonts w:hint="eastAsia" w:asciiTheme="minorEastAsia" w:hAnsiTheme="minorEastAsia" w:eastAsiaTheme="minorEastAsia"/>
          <w:color w:val="auto"/>
          <w:sz w:val="24"/>
          <w:highlight w:val="none"/>
        </w:rPr>
      </w:pPr>
      <w:bookmarkStart w:id="55"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90</w:t>
      </w:r>
      <w:r>
        <w:rPr>
          <w:rFonts w:hint="eastAsia" w:asciiTheme="minorEastAsia" w:hAnsiTheme="minorEastAsia" w:eastAsiaTheme="minorEastAsia"/>
          <w:color w:val="auto"/>
          <w:sz w:val="24"/>
          <w:highlight w:val="none"/>
        </w:rPr>
        <w:t xml:space="preserve"> %。具体评分细则如下：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259"/>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8"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tcBorders>
              <w:left w:val="single" w:color="auto" w:sz="4" w:space="0"/>
              <w:right w:val="single" w:color="auto" w:sz="4" w:space="0"/>
            </w:tcBorders>
            <w:vAlign w:val="center"/>
          </w:tcPr>
          <w:p w14:paraId="5849AEB8">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70A1E9CB">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549"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eastAsia="zh-CN" w:bidi="zh-CN"/>
              </w:rPr>
            </w:pPr>
            <w:r>
              <w:rPr>
                <w:rFonts w:hint="eastAsia" w:ascii="宋体" w:hAnsi="宋体" w:eastAsia="宋体" w:cs="宋体"/>
                <w:color w:val="auto"/>
                <w:sz w:val="24"/>
                <w:szCs w:val="24"/>
                <w:highlight w:val="none"/>
                <w:lang w:bidi="zh-CN"/>
              </w:rPr>
              <w:t>免费质保承诺</w:t>
            </w:r>
          </w:p>
        </w:tc>
        <w:tc>
          <w:tcPr>
            <w:tcW w:w="3178" w:type="pct"/>
            <w:tcBorders>
              <w:top w:val="single" w:color="auto" w:sz="4" w:space="0"/>
              <w:left w:val="single" w:color="auto" w:sz="4" w:space="0"/>
              <w:right w:val="single" w:color="auto" w:sz="4" w:space="0"/>
            </w:tcBorders>
            <w:vAlign w:val="center"/>
          </w:tcPr>
          <w:p w14:paraId="40D833F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投标人须提供免费质保承诺，免费质保期至少为叁年。在叁年的基础上，承诺每延长1年加</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10</w:t>
            </w:r>
            <w:r>
              <w:rPr>
                <w:rFonts w:hint="eastAsia" w:ascii="宋体" w:hAnsi="宋体" w:eastAsia="宋体" w:cs="宋体"/>
                <w:color w:val="auto"/>
                <w:sz w:val="24"/>
                <w:szCs w:val="24"/>
                <w:highlight w:val="none"/>
                <w:lang w:bidi="zh-CN"/>
              </w:rPr>
              <w:t>分。</w:t>
            </w:r>
          </w:p>
          <w:p w14:paraId="4174F8B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注：提供加盖投标人公章的承诺书（格式自拟），未提供或不符合要求的不得分）</w:t>
            </w:r>
          </w:p>
        </w:tc>
        <w:tc>
          <w:tcPr>
            <w:tcW w:w="638"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rPr>
              <w:t>10</w:t>
            </w:r>
            <w:r>
              <w:rPr>
                <w:rFonts w:hint="eastAsia" w:ascii="宋体" w:hAnsi="宋体" w:eastAsia="宋体" w:cs="宋体"/>
                <w:b/>
                <w:bCs/>
                <w:color w:val="auto"/>
                <w:sz w:val="24"/>
                <w:szCs w:val="24"/>
                <w:highlight w:val="none"/>
              </w:rPr>
              <w:t>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34" w:type="pct"/>
            <w:vMerge w:val="restar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90</w:t>
            </w:r>
            <w:r>
              <w:rPr>
                <w:rFonts w:hint="eastAsia" w:ascii="宋体" w:hAnsi="宋体" w:eastAsia="宋体" w:cs="宋体"/>
                <w:b/>
                <w:bCs/>
                <w:color w:val="auto"/>
                <w:sz w:val="24"/>
                <w:szCs w:val="24"/>
                <w:highlight w:val="none"/>
              </w:rPr>
              <w:t>分）</w:t>
            </w:r>
          </w:p>
        </w:tc>
        <w:tc>
          <w:tcPr>
            <w:tcW w:w="549" w:type="pct"/>
            <w:tcBorders>
              <w:top w:val="single" w:color="auto" w:sz="4" w:space="0"/>
              <w:left w:val="single" w:color="auto" w:sz="4" w:space="0"/>
              <w:bottom w:val="single" w:color="auto" w:sz="4" w:space="0"/>
              <w:right w:val="single" w:color="auto" w:sz="4" w:space="0"/>
            </w:tcBorders>
            <w:vAlign w:val="center"/>
          </w:tcPr>
          <w:p w14:paraId="5EDF2732">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设备价格分</w:t>
            </w:r>
          </w:p>
          <w:p w14:paraId="441E156A">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09C8338D">
            <w:pPr>
              <w:keepNext w:val="0"/>
              <w:keepLines w:val="0"/>
              <w:pageBreakBefore w:val="0"/>
              <w:widowControl w:val="0"/>
              <w:kinsoku w:val="0"/>
              <w:wordWrap w:val="0"/>
              <w:overflowPunct w:val="0"/>
              <w:topLinePunct w:val="0"/>
              <w:autoSpaceDE w:val="0"/>
              <w:autoSpaceDN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分。其他投标人的价格分统一按照下列公式计算：</w:t>
            </w:r>
          </w:p>
          <w:p w14:paraId="2409F4BB">
            <w:pPr>
              <w:keepNext w:val="0"/>
              <w:keepLines w:val="0"/>
              <w:pageBreakBefore w:val="0"/>
              <w:widowControl w:val="0"/>
              <w:kinsoku w:val="0"/>
              <w:wordWrap w:val="0"/>
              <w:overflowPunct w:val="0"/>
              <w:topLinePunct w:val="0"/>
              <w:autoSpaceDE w:val="0"/>
              <w:autoSpaceDN w:val="0"/>
              <w:bidi w:val="0"/>
              <w:adjustRightInd w:val="0"/>
              <w:snapToGrid w:val="0"/>
              <w:spacing w:line="4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×100％</w:t>
            </w:r>
          </w:p>
        </w:tc>
      </w:tr>
      <w:tr w14:paraId="685F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634" w:type="pct"/>
            <w:vMerge w:val="continue"/>
            <w:tcBorders>
              <w:left w:val="single" w:color="auto" w:sz="4" w:space="0"/>
              <w:right w:val="single" w:color="auto" w:sz="4" w:space="0"/>
            </w:tcBorders>
            <w:vAlign w:val="center"/>
          </w:tcPr>
          <w:p w14:paraId="7DE022B7">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50FE41B9">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价格分</w:t>
            </w:r>
          </w:p>
          <w:p w14:paraId="5B7A73BD">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5110F94E">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总价）为评标基准价，其价格分为满分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分。其他投标人的价格分统一按照下列公式计算：</w:t>
            </w:r>
          </w:p>
          <w:p w14:paraId="5EAD762A">
            <w:pPr>
              <w:keepNext w:val="0"/>
              <w:keepLines w:val="0"/>
              <w:pageBreakBefore w:val="0"/>
              <w:widowControl w:val="0"/>
              <w:suppressLineNumbers w:val="0"/>
              <w:kinsoku w:val="0"/>
              <w:wordWrap w:val="0"/>
              <w:overflowPunct w:val="0"/>
              <w:topLinePunct w:val="0"/>
              <w:autoSpaceDE w:val="0"/>
              <w:autoSpaceDN w:val="0"/>
              <w:bidi w:val="0"/>
              <w:adjustRightInd w:val="0"/>
              <w:snapToGrid w:val="0"/>
              <w:spacing w:before="0" w:beforeAutospacing="0" w:afterAutospacing="0" w:line="440" w:lineRule="exact"/>
              <w:ind w:left="0" w:leftChars="0" w:right="0" w:right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en-US" w:eastAsia="zh-CN"/>
              </w:rPr>
              <w:t>耗材</w:t>
            </w:r>
            <w:r>
              <w:rPr>
                <w:rFonts w:hint="eastAsia" w:ascii="宋体" w:hAnsi="宋体" w:eastAsia="宋体" w:cs="宋体"/>
                <w:color w:val="auto"/>
                <w:sz w:val="24"/>
                <w:szCs w:val="24"/>
                <w:highlight w:val="none"/>
              </w:rPr>
              <w:t>总价）得分＝（评标基准价/投标报价）×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×100％</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770284BE">
      <w:pPr>
        <w:spacing w:line="360" w:lineRule="auto"/>
        <w:ind w:firstLine="435"/>
        <w:rPr>
          <w:rFonts w:hint="eastAsia" w:asciiTheme="minorEastAsia" w:hAnsiTheme="minorEastAsia" w:eastAsiaTheme="minorEastAsia"/>
          <w:color w:val="auto"/>
          <w:sz w:val="24"/>
          <w:highlight w:val="none"/>
        </w:rPr>
      </w:pPr>
    </w:p>
    <w:p w14:paraId="40DCE271">
      <w:pPr>
        <w:spacing w:line="360" w:lineRule="auto"/>
        <w:ind w:firstLine="435"/>
        <w:rPr>
          <w:rFonts w:hint="eastAsia" w:asciiTheme="minorEastAsia" w:hAnsiTheme="minorEastAsia" w:eastAsiaTheme="minorEastAsia"/>
          <w:color w:val="auto"/>
          <w:sz w:val="24"/>
          <w:highlight w:val="none"/>
        </w:rPr>
      </w:pPr>
    </w:p>
    <w:p w14:paraId="1AE6BF28">
      <w:pPr>
        <w:spacing w:line="360" w:lineRule="auto"/>
        <w:ind w:firstLine="435"/>
        <w:rPr>
          <w:rFonts w:hint="eastAsia" w:asciiTheme="minorEastAsia" w:hAnsiTheme="minorEastAsia" w:eastAsiaTheme="minorEastAsia"/>
          <w:color w:val="auto"/>
          <w:sz w:val="24"/>
          <w:highlight w:val="none"/>
        </w:rPr>
      </w:pPr>
    </w:p>
    <w:p w14:paraId="1394F17E">
      <w:pPr>
        <w:spacing w:line="360" w:lineRule="auto"/>
        <w:ind w:firstLine="435"/>
        <w:rPr>
          <w:rFonts w:hint="eastAsia" w:asciiTheme="minorEastAsia" w:hAnsiTheme="minorEastAsia" w:eastAsiaTheme="minorEastAsia"/>
          <w:color w:val="auto"/>
          <w:sz w:val="24"/>
          <w:highlight w:val="none"/>
        </w:rPr>
      </w:pPr>
    </w:p>
    <w:p w14:paraId="6CCE2889">
      <w:pPr>
        <w:spacing w:line="360" w:lineRule="auto"/>
        <w:ind w:firstLine="435"/>
        <w:rPr>
          <w:rFonts w:hint="eastAsia" w:asciiTheme="minorEastAsia" w:hAnsiTheme="minorEastAsia" w:eastAsiaTheme="minorEastAsia"/>
          <w:color w:val="auto"/>
          <w:sz w:val="24"/>
          <w:highlight w:val="none"/>
        </w:rPr>
      </w:pPr>
    </w:p>
    <w:p w14:paraId="1E81293E">
      <w:pPr>
        <w:spacing w:line="360" w:lineRule="auto"/>
        <w:ind w:firstLine="435"/>
        <w:rPr>
          <w:rFonts w:hint="eastAsia" w:asciiTheme="minorEastAsia" w:hAnsiTheme="minorEastAsia" w:eastAsiaTheme="minorEastAsia"/>
          <w:color w:val="auto"/>
          <w:sz w:val="24"/>
          <w:highlight w:val="none"/>
        </w:rPr>
      </w:pPr>
    </w:p>
    <w:p w14:paraId="12F5D828">
      <w:pPr>
        <w:spacing w:line="360" w:lineRule="auto"/>
        <w:ind w:firstLine="435"/>
        <w:rPr>
          <w:rFonts w:hint="eastAsia" w:asciiTheme="minorEastAsia" w:hAnsiTheme="minorEastAsia" w:eastAsiaTheme="minorEastAsia"/>
          <w:color w:val="auto"/>
          <w:sz w:val="24"/>
          <w:highlight w:val="none"/>
        </w:rPr>
      </w:pPr>
    </w:p>
    <w:p w14:paraId="2388CF68">
      <w:pPr>
        <w:spacing w:line="360" w:lineRule="auto"/>
        <w:ind w:firstLine="435"/>
        <w:rPr>
          <w:rFonts w:hint="eastAsia" w:asciiTheme="minorEastAsia" w:hAnsiTheme="minorEastAsia" w:eastAsiaTheme="minorEastAsia"/>
          <w:color w:val="auto"/>
          <w:sz w:val="24"/>
          <w:highlight w:val="none"/>
        </w:rPr>
      </w:pPr>
    </w:p>
    <w:p w14:paraId="3E9982E1">
      <w:pPr>
        <w:widowControl/>
        <w:jc w:val="center"/>
        <w:rPr>
          <w:rFonts w:hint="eastAsia" w:asciiTheme="minorEastAsia" w:hAnsiTheme="minorEastAsia" w:eastAsiaTheme="minorEastAsia"/>
          <w:b/>
          <w:color w:val="auto"/>
          <w:sz w:val="28"/>
          <w:highlight w:val="none"/>
        </w:rPr>
      </w:pPr>
      <w:bookmarkStart w:id="56"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6"/>
    </w:p>
    <w:p w14:paraId="223EC7D5">
      <w:pPr>
        <w:pStyle w:val="9"/>
        <w:spacing w:after="0" w:line="360" w:lineRule="auto"/>
        <w:jc w:val="center"/>
        <w:rPr>
          <w:rFonts w:hint="eastAsia" w:ascii="宋体" w:hAnsi="宋体" w:eastAsia="宋体" w:cs="宋体"/>
          <w:b/>
          <w:bCs/>
          <w:color w:val="auto"/>
          <w:spacing w:val="-20"/>
          <w:kern w:val="44"/>
          <w:sz w:val="24"/>
          <w:highlight w:val="none"/>
        </w:rPr>
      </w:pPr>
      <w:bookmarkStart w:id="57" w:name="_Toc22492"/>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D9E0BB2">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滁州市第一人民医院中药制膏机及包装机采购项目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CZYY-2025-68</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7"/>
    </w:p>
    <w:p w14:paraId="6888C9ED">
      <w:pPr>
        <w:jc w:val="center"/>
        <w:rPr>
          <w:rFonts w:hint="eastAsia" w:eastAsia="黑体"/>
          <w:color w:val="auto"/>
          <w:sz w:val="20"/>
          <w:highlight w:val="none"/>
        </w:rPr>
      </w:pPr>
      <w:bookmarkStart w:id="61" w:name="_Toc5555"/>
      <w:bookmarkStart w:id="62" w:name="_Toc28960"/>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3" w:name="_Toc651"/>
      <w:r>
        <w:rPr>
          <w:rFonts w:hint="eastAsia" w:asciiTheme="minorEastAsia" w:hAnsiTheme="minorEastAsia" w:eastAsiaTheme="minorEastAsia"/>
          <w:b/>
          <w:color w:val="auto"/>
          <w:sz w:val="72"/>
          <w:highlight w:val="none"/>
        </w:rPr>
        <w:t>投</w:t>
      </w:r>
      <w:bookmarkEnd w:id="63"/>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4" w:name="_Toc6148"/>
      <w:r>
        <w:rPr>
          <w:rFonts w:hint="eastAsia" w:asciiTheme="minorEastAsia" w:hAnsiTheme="minorEastAsia" w:eastAsiaTheme="minorEastAsia"/>
          <w:b/>
          <w:color w:val="auto"/>
          <w:sz w:val="72"/>
          <w:highlight w:val="none"/>
        </w:rPr>
        <w:t>标</w:t>
      </w:r>
      <w:bookmarkEnd w:id="6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5" w:name="_Toc1338"/>
      <w:r>
        <w:rPr>
          <w:rFonts w:hint="eastAsia" w:asciiTheme="minorEastAsia" w:hAnsiTheme="minorEastAsia" w:eastAsiaTheme="minorEastAsia"/>
          <w:b/>
          <w:color w:val="auto"/>
          <w:sz w:val="72"/>
          <w:highlight w:val="none"/>
        </w:rPr>
        <w:t>文</w:t>
      </w:r>
      <w:bookmarkEnd w:id="65"/>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6" w:name="_Toc10796"/>
      <w:r>
        <w:rPr>
          <w:rFonts w:hint="eastAsia" w:asciiTheme="minorEastAsia" w:hAnsiTheme="minorEastAsia" w:eastAsiaTheme="minorEastAsia"/>
          <w:b/>
          <w:color w:val="auto"/>
          <w:sz w:val="72"/>
          <w:highlight w:val="none"/>
        </w:rPr>
        <w:t>件</w:t>
      </w:r>
      <w:bookmarkEnd w:id="66"/>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r>
        <w:rPr>
          <w:rFonts w:hint="eastAsia" w:ascii="宋体" w:hAnsi="宋体" w:eastAsia="宋体" w:cs="宋体"/>
          <w:color w:val="auto"/>
          <w:sz w:val="24"/>
          <w:szCs w:val="24"/>
          <w:highlight w:val="none"/>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中药制膏机</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r>
              <w:rPr>
                <w:rFonts w:hint="eastAsia" w:ascii="仿宋" w:hAnsi="仿宋" w:eastAsia="仿宋" w:cs="仿宋"/>
                <w:b/>
                <w:color w:val="auto"/>
                <w:spacing w:val="10"/>
                <w:sz w:val="24"/>
                <w:highlight w:val="none"/>
                <w:lang w:val="en-US" w:eastAsia="zh-CN"/>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2F5F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26915106">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2</w:t>
            </w:r>
          </w:p>
        </w:tc>
        <w:tc>
          <w:tcPr>
            <w:tcW w:w="852" w:type="pct"/>
            <w:tcBorders>
              <w:top w:val="single" w:color="auto" w:sz="4" w:space="0"/>
              <w:left w:val="single" w:color="auto" w:sz="4" w:space="0"/>
              <w:right w:val="single" w:color="auto" w:sz="4" w:space="0"/>
            </w:tcBorders>
            <w:shd w:val="clear" w:color="auto" w:fill="auto"/>
            <w:vAlign w:val="center"/>
          </w:tcPr>
          <w:p w14:paraId="62B4E5C6">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包装机</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533D4EEE">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69326222">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71F573D">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2B530CA">
            <w:pPr>
              <w:jc w:val="center"/>
              <w:rPr>
                <w:rFonts w:hint="eastAsia" w:ascii="宋体" w:hAnsi="宋体" w:eastAsia="宋体" w:cs="宋体"/>
                <w:color w:val="auto"/>
                <w:kern w:val="2"/>
                <w:sz w:val="24"/>
                <w:szCs w:val="24"/>
                <w:highlight w:val="none"/>
                <w:lang w:val="en-US" w:eastAsia="zh-CN" w:bidi="ar"/>
              </w:rPr>
            </w:pPr>
            <w:r>
              <w:rPr>
                <w:rFonts w:hint="eastAsia" w:ascii="仿宋" w:hAnsi="仿宋" w:eastAsia="仿宋" w:cs="仿宋"/>
                <w:b/>
                <w:color w:val="auto"/>
                <w:spacing w:val="10"/>
                <w:sz w:val="24"/>
                <w:highlight w:val="none"/>
                <w:lang w:val="en-US" w:eastAsia="zh-CN"/>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19842172">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495AF40">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1451B0B7">
            <w:pPr>
              <w:rPr>
                <w:rFonts w:hint="eastAsia" w:ascii="宋体" w:hAnsi="宋体" w:eastAsia="宋体"/>
                <w:color w:val="auto"/>
                <w:sz w:val="24"/>
                <w:szCs w:val="24"/>
                <w:highlight w:val="none"/>
              </w:rPr>
            </w:pPr>
          </w:p>
        </w:tc>
      </w:tr>
      <w:tr w14:paraId="3C3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6250260">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lang w:val="en-US" w:eastAsia="zh-CN"/>
              </w:rPr>
              <w:t>3</w:t>
            </w:r>
          </w:p>
        </w:tc>
        <w:tc>
          <w:tcPr>
            <w:tcW w:w="852" w:type="pct"/>
            <w:tcBorders>
              <w:top w:val="single" w:color="auto" w:sz="4" w:space="0"/>
              <w:left w:val="single" w:color="auto" w:sz="4" w:space="0"/>
              <w:right w:val="single" w:color="auto" w:sz="4" w:space="0"/>
            </w:tcBorders>
            <w:shd w:val="clear" w:color="auto" w:fill="auto"/>
            <w:vAlign w:val="center"/>
          </w:tcPr>
          <w:p w14:paraId="00C76E13">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包装膜</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5D04E16">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3487EC5E">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55D855A1">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卷</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5339F61">
            <w:pPr>
              <w:jc w:val="cente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kern w:val="2"/>
                <w:sz w:val="24"/>
                <w:szCs w:val="24"/>
                <w:highlight w:val="none"/>
                <w:lang w:val="en-US" w:eastAsia="zh-CN" w:bidi="ar-SA"/>
              </w:rPr>
              <w:t>50</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6C8AE3AE">
            <w:pPr>
              <w:jc w:val="center"/>
              <w:rPr>
                <w:rFonts w:hint="eastAsia" w:ascii="仿宋" w:hAnsi="仿宋" w:eastAsia="仿宋" w:cs="仿宋"/>
                <w:b/>
                <w:color w:val="auto"/>
                <w:spacing w:val="10"/>
                <w:kern w:val="2"/>
                <w:sz w:val="24"/>
                <w:highlight w:val="none"/>
                <w:lang w:val="en-US" w:eastAsia="zh-CN" w:bidi="ar-SA"/>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703CF7A">
            <w:pPr>
              <w:rPr>
                <w:rFonts w:hint="eastAsia" w:ascii="仿宋" w:hAnsi="仿宋" w:eastAsia="仿宋" w:cs="仿宋"/>
                <w:b/>
                <w:color w:val="auto"/>
                <w:spacing w:val="10"/>
                <w:kern w:val="2"/>
                <w:sz w:val="24"/>
                <w:highlight w:val="none"/>
                <w:lang w:val="en-US" w:eastAsia="zh-CN" w:bidi="ar-SA"/>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497D96C0">
            <w:pP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以400米/卷计</w:t>
            </w: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6D404938">
      <w:pPr>
        <w:spacing w:line="360" w:lineRule="auto"/>
        <w:jc w:val="center"/>
        <w:rPr>
          <w:rFonts w:hint="eastAsia" w:ascii="宋体" w:hAnsi="宋体" w:eastAsia="宋体" w:cs="宋体"/>
          <w:b/>
          <w:color w:val="auto"/>
          <w:sz w:val="24"/>
          <w:szCs w:val="24"/>
          <w:highlight w:val="none"/>
          <w:lang w:bidi="ar"/>
        </w:rPr>
      </w:pPr>
    </w:p>
    <w:p w14:paraId="107B5EE2">
      <w:pPr>
        <w:spacing w:line="360" w:lineRule="auto"/>
        <w:jc w:val="center"/>
        <w:rPr>
          <w:rFonts w:hint="eastAsia" w:ascii="宋体" w:hAnsi="宋体" w:eastAsia="宋体" w:cs="宋体"/>
          <w:b/>
          <w:color w:val="auto"/>
          <w:sz w:val="24"/>
          <w:szCs w:val="24"/>
          <w:highlight w:val="none"/>
          <w:lang w:bidi="ar"/>
        </w:rPr>
      </w:pPr>
    </w:p>
    <w:p w14:paraId="345F947A">
      <w:pPr>
        <w:spacing w:line="360" w:lineRule="auto"/>
        <w:jc w:val="center"/>
        <w:rPr>
          <w:rFonts w:hint="eastAsia" w:ascii="宋体" w:hAnsi="宋体" w:eastAsia="宋体" w:cs="宋体"/>
          <w:b/>
          <w:color w:val="auto"/>
          <w:sz w:val="24"/>
          <w:szCs w:val="24"/>
          <w:highlight w:val="none"/>
          <w:lang w:bidi="ar"/>
        </w:rPr>
      </w:pPr>
    </w:p>
    <w:p w14:paraId="50FB84E2">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
          <w:bCs/>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
          <w:bCs/>
          <w:color w:val="auto"/>
          <w:kern w:val="0"/>
          <w:sz w:val="24"/>
          <w:szCs w:val="24"/>
          <w:highlight w:val="none"/>
          <w:u w:val="single"/>
          <w:lang w:bidi="ar"/>
        </w:rPr>
        <w:t xml:space="preserve">（企业名称）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7" w:name="_Toc32633"/>
      <w:bookmarkStart w:id="68"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7"/>
      <w:bookmarkEnd w:id="68"/>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1"/>
    <w:bookmarkEnd w:id="62"/>
    <w:p w14:paraId="06E93961">
      <w:pPr>
        <w:widowControl/>
        <w:jc w:val="center"/>
        <w:rPr>
          <w:rFonts w:hint="eastAsia" w:ascii="宋体" w:hAnsi="宋体" w:eastAsia="宋体" w:cs="宋体"/>
          <w:b/>
          <w:color w:val="auto"/>
          <w:sz w:val="24"/>
          <w:szCs w:val="24"/>
          <w:highlight w:val="none"/>
          <w:lang w:bidi="ar"/>
        </w:rPr>
      </w:pPr>
      <w:bookmarkStart w:id="69" w:name="_Toc6435"/>
      <w:bookmarkStart w:id="70" w:name="_Toc18131"/>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9"/>
      <w:bookmarkEnd w:id="70"/>
    </w:p>
    <w:p w14:paraId="79374884">
      <w:pPr>
        <w:spacing w:line="360" w:lineRule="auto"/>
        <w:jc w:val="center"/>
        <w:outlineLvl w:val="1"/>
        <w:rPr>
          <w:rFonts w:hint="eastAsia"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3" w:name="_Toc13899"/>
      <w:r>
        <w:rPr>
          <w:rFonts w:hint="eastAsia" w:cs="仿宋" w:asciiTheme="minorEastAsia" w:hAnsiTheme="minorEastAsia" w:eastAsiaTheme="minorEastAsia"/>
          <w:color w:val="auto"/>
          <w:sz w:val="24"/>
          <w:szCs w:val="24"/>
          <w:highlight w:val="none"/>
        </w:rPr>
        <w:t>一、(事项一)</w:t>
      </w:r>
      <w:bookmarkEnd w:id="73"/>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3352"/>
      <w:r>
        <w:rPr>
          <w:rFonts w:hint="eastAsia" w:cs="仿宋" w:asciiTheme="minorEastAsia" w:hAnsiTheme="minorEastAsia" w:eastAsiaTheme="minorEastAsia"/>
          <w:color w:val="auto"/>
          <w:sz w:val="24"/>
          <w:szCs w:val="24"/>
          <w:highlight w:val="none"/>
        </w:rPr>
        <w:t>二、(事项二)</w:t>
      </w:r>
      <w:bookmarkEnd w:id="74"/>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7" w:name="_Toc21381"/>
      <w:r>
        <w:rPr>
          <w:rFonts w:hint="eastAsia" w:cs="仿宋" w:asciiTheme="minorEastAsia" w:hAnsiTheme="minorEastAsia" w:eastAsiaTheme="minorEastAsia"/>
          <w:b/>
          <w:bCs/>
          <w:color w:val="auto"/>
          <w:sz w:val="24"/>
          <w:szCs w:val="24"/>
          <w:highlight w:val="none"/>
        </w:rPr>
        <w:t>一、质疑供应商基本信息</w:t>
      </w:r>
      <w:bookmarkEnd w:id="7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8" w:name="_Toc28415"/>
      <w:r>
        <w:rPr>
          <w:rFonts w:hint="eastAsia" w:cs="仿宋" w:asciiTheme="minorEastAsia" w:hAnsiTheme="minorEastAsia" w:eastAsiaTheme="minorEastAsia"/>
          <w:b/>
          <w:bCs/>
          <w:color w:val="auto"/>
          <w:sz w:val="24"/>
          <w:szCs w:val="24"/>
          <w:highlight w:val="none"/>
        </w:rPr>
        <w:t>二、质疑项目基本情况</w:t>
      </w:r>
      <w:bookmarkEnd w:id="7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19014"/>
      <w:r>
        <w:rPr>
          <w:rFonts w:hint="eastAsia" w:cs="仿宋" w:asciiTheme="minorEastAsia" w:hAnsiTheme="minorEastAsia" w:eastAsiaTheme="minorEastAsia"/>
          <w:b/>
          <w:bCs/>
          <w:color w:val="auto"/>
          <w:sz w:val="24"/>
          <w:szCs w:val="24"/>
          <w:highlight w:val="none"/>
        </w:rPr>
        <w:t>三、质疑事项具体内容</w:t>
      </w:r>
      <w:bookmarkEnd w:id="7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7919"/>
      <w:r>
        <w:rPr>
          <w:rFonts w:hint="eastAsia" w:cs="仿宋" w:asciiTheme="minorEastAsia" w:hAnsiTheme="minorEastAsia" w:eastAsiaTheme="minorEastAsia"/>
          <w:b/>
          <w:bCs/>
          <w:color w:val="auto"/>
          <w:sz w:val="24"/>
          <w:szCs w:val="24"/>
          <w:highlight w:val="none"/>
        </w:rPr>
        <w:t>四、与质疑事项相关的质疑请求</w:t>
      </w:r>
      <w:bookmarkEnd w:id="8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1" w:name="_Toc26836"/>
      <w:bookmarkStart w:id="82" w:name="_Toc9754"/>
      <w:r>
        <w:rPr>
          <w:rFonts w:hint="eastAsia" w:asciiTheme="minorEastAsia" w:hAnsiTheme="minorEastAsia" w:eastAsiaTheme="minorEastAsia"/>
          <w:b/>
          <w:color w:val="auto"/>
          <w:sz w:val="28"/>
          <w:szCs w:val="32"/>
          <w:highlight w:val="none"/>
        </w:rPr>
        <w:t>质疑函制作说明：</w:t>
      </w:r>
      <w:bookmarkEnd w:id="81"/>
      <w:bookmarkEnd w:id="82"/>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3"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3"/>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4" w:name="OLE_LINK91"/>
      <w:bookmarkEnd w:id="84"/>
      <w:bookmarkStart w:id="85" w:name="OLE_LINK93"/>
      <w:bookmarkEnd w:id="85"/>
      <w:bookmarkStart w:id="86" w:name="OLE_LINK92"/>
      <w:bookmarkEnd w:id="86"/>
      <w:bookmarkStart w:id="87" w:name="OLE_LINK103"/>
      <w:r>
        <w:rPr>
          <w:rFonts w:hint="eastAsia" w:ascii="宋体" w:hAnsi="宋体" w:eastAsia="宋体" w:cs="宋体"/>
          <w:color w:val="auto"/>
          <w:sz w:val="24"/>
          <w:szCs w:val="24"/>
          <w:highlight w:val="none"/>
          <w:lang w:bidi="ar"/>
        </w:rPr>
        <w:t>投标人、法定代表人及其项目经理(建造师)</w:t>
      </w:r>
      <w:bookmarkEnd w:id="87"/>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8" w:name="OLE_LINK86"/>
      <w:bookmarkEnd w:id="88"/>
      <w:bookmarkStart w:id="89" w:name="OLE_LINK119"/>
      <w:bookmarkEnd w:id="89"/>
      <w:bookmarkStart w:id="90" w:name="OLE_LINK87"/>
      <w:bookmarkEnd w:id="90"/>
      <w:bookmarkStart w:id="91" w:name="OLE_LINK94"/>
      <w:r>
        <w:rPr>
          <w:rFonts w:hint="eastAsia" w:ascii="宋体" w:hAnsi="宋体" w:eastAsia="宋体" w:cs="宋体"/>
          <w:color w:val="auto"/>
          <w:sz w:val="24"/>
          <w:szCs w:val="24"/>
          <w:highlight w:val="none"/>
          <w:lang w:bidi="ar"/>
        </w:rPr>
        <w:t>①被列入“失信被执行人”的;</w:t>
      </w:r>
      <w:bookmarkEnd w:id="91"/>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2" w:name="OLE_LINK116"/>
      <w:bookmarkEnd w:id="92"/>
      <w:bookmarkStart w:id="93" w:name="OLE_LINK115"/>
      <w:bookmarkEnd w:id="93"/>
      <w:bookmarkStart w:id="94" w:name="OLE_LINK117"/>
      <w:bookmarkEnd w:id="94"/>
      <w:bookmarkStart w:id="95" w:name="OLE_LINK118"/>
      <w:r>
        <w:rPr>
          <w:rFonts w:hint="eastAsia" w:ascii="宋体" w:hAnsi="宋体" w:eastAsia="宋体" w:cs="宋体"/>
          <w:color w:val="auto"/>
          <w:sz w:val="24"/>
          <w:szCs w:val="24"/>
          <w:highlight w:val="none"/>
          <w:lang w:bidi="ar"/>
        </w:rPr>
        <w:t>“重大税收违法失信主体”</w:t>
      </w:r>
      <w:bookmarkEnd w:id="95"/>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6" w:name="OLE_LINK85"/>
      <w:bookmarkEnd w:id="96"/>
      <w:bookmarkStart w:id="97" w:name="OLE_LINK84"/>
      <w:r>
        <w:rPr>
          <w:rFonts w:hint="eastAsia" w:ascii="宋体" w:hAnsi="宋体" w:eastAsia="宋体" w:cs="宋体"/>
          <w:color w:val="auto"/>
          <w:sz w:val="24"/>
          <w:szCs w:val="24"/>
          <w:highlight w:val="none"/>
          <w:lang w:bidi="ar"/>
        </w:rPr>
        <w:t>农民工工资失信联合惩戒对象</w:t>
      </w:r>
      <w:bookmarkEnd w:id="97"/>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8" w:name="OLE_LINK130"/>
      <w:r>
        <w:rPr>
          <w:rFonts w:hint="eastAsia" w:ascii="宋体" w:hAnsi="宋体" w:eastAsia="宋体" w:cs="宋体"/>
          <w:color w:val="auto"/>
          <w:sz w:val="24"/>
          <w:szCs w:val="24"/>
          <w:highlight w:val="none"/>
          <w:lang w:bidi="ar"/>
        </w:rPr>
        <w:t>国家企业信用信息公示系统网站</w:t>
      </w:r>
      <w:bookmarkEnd w:id="98"/>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99" w:name="OLE_LINK121"/>
      <w:bookmarkEnd w:id="99"/>
      <w:bookmarkStart w:id="100" w:name="OLE_LINK120"/>
      <w:bookmarkEnd w:id="100"/>
      <w:bookmarkStart w:id="101" w:name="OLE_LINK122"/>
      <w:r>
        <w:rPr>
          <w:rFonts w:hint="eastAsia" w:ascii="宋体" w:hAnsi="宋体" w:eastAsia="宋体" w:cs="宋体"/>
          <w:color w:val="auto"/>
          <w:sz w:val="24"/>
          <w:szCs w:val="24"/>
          <w:highlight w:val="none"/>
          <w:lang w:bidi="ar"/>
        </w:rPr>
        <w:t>①被列入“经营异常名录”或者“严重违法失信名单”的。</w:t>
      </w:r>
      <w:bookmarkEnd w:id="101"/>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2" w:name="OLE_LINK123"/>
      <w:bookmarkEnd w:id="102"/>
      <w:bookmarkStart w:id="103" w:name="OLE_LINK124"/>
      <w:r>
        <w:rPr>
          <w:rFonts w:hint="eastAsia" w:ascii="宋体" w:hAnsi="宋体" w:eastAsia="宋体" w:cs="宋体"/>
          <w:color w:val="auto"/>
          <w:sz w:val="24"/>
          <w:szCs w:val="24"/>
          <w:highlight w:val="none"/>
          <w:lang w:bidi="ar"/>
        </w:rPr>
        <w:t>①</w:t>
      </w:r>
      <w:bookmarkEnd w:id="103"/>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4" w:name="OLE_LINK108"/>
      <w:bookmarkEnd w:id="104"/>
      <w:bookmarkStart w:id="105"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5"/>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6" w:name="OLE_LINK102"/>
      <w:bookmarkEnd w:id="106"/>
      <w:bookmarkStart w:id="107" w:name="OLE_LINK100"/>
      <w:bookmarkEnd w:id="107"/>
      <w:bookmarkStart w:id="108" w:name="OLE_LINK101"/>
      <w:r>
        <w:rPr>
          <w:rFonts w:hint="eastAsia" w:ascii="宋体" w:hAnsi="宋体" w:eastAsia="宋体" w:cs="宋体"/>
          <w:color w:val="auto"/>
          <w:sz w:val="24"/>
          <w:szCs w:val="24"/>
          <w:highlight w:val="none"/>
          <w:lang w:bidi="ar"/>
        </w:rPr>
        <w:t>被列入“经营异常名录”或者“严重违法失信名单”的</w:t>
      </w:r>
      <w:bookmarkEnd w:id="108"/>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09" w:name="OLE_LINK95"/>
      <w:bookmarkEnd w:id="109"/>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0" w:name="OLE_LINK105"/>
      <w:bookmarkEnd w:id="110"/>
      <w:bookmarkStart w:id="111" w:name="OLE_LINK106"/>
      <w:bookmarkEnd w:id="111"/>
      <w:bookmarkStart w:id="112" w:name="OLE_LINK104"/>
      <w:r>
        <w:rPr>
          <w:rFonts w:hint="eastAsia" w:ascii="宋体" w:hAnsi="宋体" w:eastAsia="宋体" w:cs="宋体"/>
          <w:color w:val="auto"/>
          <w:sz w:val="24"/>
          <w:szCs w:val="24"/>
          <w:highlight w:val="none"/>
          <w:lang w:bidi="ar"/>
        </w:rPr>
        <w:t>被列入“政府采购严重违法失信行为信息记录”的</w:t>
      </w:r>
      <w:bookmarkEnd w:id="112"/>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3" w:name="_Toc4556"/>
      <w:bookmarkEnd w:id="113"/>
      <w:bookmarkStart w:id="114"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4"/>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F774E"/>
    <w:rsid w:val="029A6E6A"/>
    <w:rsid w:val="02D435F7"/>
    <w:rsid w:val="03486B27"/>
    <w:rsid w:val="040A094E"/>
    <w:rsid w:val="04671EF4"/>
    <w:rsid w:val="04B35139"/>
    <w:rsid w:val="056F201D"/>
    <w:rsid w:val="05940AC6"/>
    <w:rsid w:val="05B664D4"/>
    <w:rsid w:val="064B485A"/>
    <w:rsid w:val="06823FBC"/>
    <w:rsid w:val="068C65C4"/>
    <w:rsid w:val="07076C01"/>
    <w:rsid w:val="071C12AC"/>
    <w:rsid w:val="077C7A64"/>
    <w:rsid w:val="07A934B3"/>
    <w:rsid w:val="07EB6287"/>
    <w:rsid w:val="07EC4BEA"/>
    <w:rsid w:val="0806421B"/>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685EAE"/>
    <w:rsid w:val="0C992C37"/>
    <w:rsid w:val="0CBD6F29"/>
    <w:rsid w:val="0D5B011C"/>
    <w:rsid w:val="0D7C07BE"/>
    <w:rsid w:val="0D8633EB"/>
    <w:rsid w:val="0DB55A7E"/>
    <w:rsid w:val="0E810642"/>
    <w:rsid w:val="0E9113ED"/>
    <w:rsid w:val="0EAC50D3"/>
    <w:rsid w:val="0EDB1514"/>
    <w:rsid w:val="0EEA6FC1"/>
    <w:rsid w:val="0F790928"/>
    <w:rsid w:val="0F8400D8"/>
    <w:rsid w:val="102636A0"/>
    <w:rsid w:val="107C607B"/>
    <w:rsid w:val="10CD72BB"/>
    <w:rsid w:val="111625C1"/>
    <w:rsid w:val="115031A6"/>
    <w:rsid w:val="12197477"/>
    <w:rsid w:val="12314985"/>
    <w:rsid w:val="1264785B"/>
    <w:rsid w:val="12E05F13"/>
    <w:rsid w:val="12F16504"/>
    <w:rsid w:val="131B5CD3"/>
    <w:rsid w:val="13776448"/>
    <w:rsid w:val="1382549E"/>
    <w:rsid w:val="144F070C"/>
    <w:rsid w:val="1466407E"/>
    <w:rsid w:val="14834E28"/>
    <w:rsid w:val="148E7D65"/>
    <w:rsid w:val="149363ED"/>
    <w:rsid w:val="14C34F24"/>
    <w:rsid w:val="15225379"/>
    <w:rsid w:val="15231BF9"/>
    <w:rsid w:val="15515573"/>
    <w:rsid w:val="15565D98"/>
    <w:rsid w:val="15C4546D"/>
    <w:rsid w:val="16881F81"/>
    <w:rsid w:val="16EA2C3C"/>
    <w:rsid w:val="17365652"/>
    <w:rsid w:val="195A07CF"/>
    <w:rsid w:val="19A03A86"/>
    <w:rsid w:val="1A064976"/>
    <w:rsid w:val="1A361CF4"/>
    <w:rsid w:val="1A3B68AA"/>
    <w:rsid w:val="1A3E1C1E"/>
    <w:rsid w:val="1B6F4F40"/>
    <w:rsid w:val="1C0A315F"/>
    <w:rsid w:val="1C141836"/>
    <w:rsid w:val="1C33473D"/>
    <w:rsid w:val="1C5A786C"/>
    <w:rsid w:val="1C76537D"/>
    <w:rsid w:val="1CB87339"/>
    <w:rsid w:val="1CF2638E"/>
    <w:rsid w:val="1D7847A6"/>
    <w:rsid w:val="1D9C6312"/>
    <w:rsid w:val="1E1265D5"/>
    <w:rsid w:val="1E2E78B2"/>
    <w:rsid w:val="1E4449D5"/>
    <w:rsid w:val="1E6B6A14"/>
    <w:rsid w:val="1F370744"/>
    <w:rsid w:val="1F933745"/>
    <w:rsid w:val="1FD16A32"/>
    <w:rsid w:val="20550D9A"/>
    <w:rsid w:val="209B6D55"/>
    <w:rsid w:val="20AC3611"/>
    <w:rsid w:val="20D12777"/>
    <w:rsid w:val="21221225"/>
    <w:rsid w:val="21845C9E"/>
    <w:rsid w:val="218E2416"/>
    <w:rsid w:val="226915FE"/>
    <w:rsid w:val="227000D6"/>
    <w:rsid w:val="22702106"/>
    <w:rsid w:val="22A85809"/>
    <w:rsid w:val="234F4B80"/>
    <w:rsid w:val="2411199F"/>
    <w:rsid w:val="241804A5"/>
    <w:rsid w:val="24214489"/>
    <w:rsid w:val="245D47C2"/>
    <w:rsid w:val="24B97929"/>
    <w:rsid w:val="24D632D7"/>
    <w:rsid w:val="25381017"/>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AA4765"/>
    <w:rsid w:val="2AC21606"/>
    <w:rsid w:val="2B365FF8"/>
    <w:rsid w:val="2B446269"/>
    <w:rsid w:val="2B7E7608"/>
    <w:rsid w:val="2B7F04E9"/>
    <w:rsid w:val="2B8B554A"/>
    <w:rsid w:val="2C8D32DB"/>
    <w:rsid w:val="2C932FD6"/>
    <w:rsid w:val="2D496D6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43C0775"/>
    <w:rsid w:val="34401962"/>
    <w:rsid w:val="348D47EE"/>
    <w:rsid w:val="34A51AF9"/>
    <w:rsid w:val="356C50EC"/>
    <w:rsid w:val="36137E45"/>
    <w:rsid w:val="36376E0A"/>
    <w:rsid w:val="36484C39"/>
    <w:rsid w:val="364A4C7C"/>
    <w:rsid w:val="36A83A7F"/>
    <w:rsid w:val="36C02CFA"/>
    <w:rsid w:val="36E27AE8"/>
    <w:rsid w:val="3700166C"/>
    <w:rsid w:val="379A1012"/>
    <w:rsid w:val="38694EE9"/>
    <w:rsid w:val="387B329C"/>
    <w:rsid w:val="39717338"/>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D338D1"/>
    <w:rsid w:val="3DE86C4C"/>
    <w:rsid w:val="3DF36A6E"/>
    <w:rsid w:val="3EA572C5"/>
    <w:rsid w:val="3EBA1EE9"/>
    <w:rsid w:val="3F0833B0"/>
    <w:rsid w:val="3F182204"/>
    <w:rsid w:val="3F792F1E"/>
    <w:rsid w:val="3F9133A5"/>
    <w:rsid w:val="40493E7F"/>
    <w:rsid w:val="40824826"/>
    <w:rsid w:val="40A54574"/>
    <w:rsid w:val="40E63923"/>
    <w:rsid w:val="41546D80"/>
    <w:rsid w:val="415643E4"/>
    <w:rsid w:val="419158DF"/>
    <w:rsid w:val="41E537CB"/>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83E28ED"/>
    <w:rsid w:val="484F2050"/>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BDA5120"/>
    <w:rsid w:val="4C0832E5"/>
    <w:rsid w:val="4C3C565C"/>
    <w:rsid w:val="4C5C55E6"/>
    <w:rsid w:val="4CCC79C7"/>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5102B67"/>
    <w:rsid w:val="55132D9D"/>
    <w:rsid w:val="556A0B5D"/>
    <w:rsid w:val="55C1559C"/>
    <w:rsid w:val="55F068CD"/>
    <w:rsid w:val="566C3136"/>
    <w:rsid w:val="56823A8C"/>
    <w:rsid w:val="568D04F2"/>
    <w:rsid w:val="578B0CFA"/>
    <w:rsid w:val="580845C6"/>
    <w:rsid w:val="587F6530"/>
    <w:rsid w:val="58F17C86"/>
    <w:rsid w:val="593C217C"/>
    <w:rsid w:val="59513E7A"/>
    <w:rsid w:val="5A0B43C0"/>
    <w:rsid w:val="5A296BA4"/>
    <w:rsid w:val="5A526582"/>
    <w:rsid w:val="5A5F5C77"/>
    <w:rsid w:val="5A711A0D"/>
    <w:rsid w:val="5B1613E4"/>
    <w:rsid w:val="5B2568B5"/>
    <w:rsid w:val="5B78003B"/>
    <w:rsid w:val="5BAF30D9"/>
    <w:rsid w:val="5BC11A60"/>
    <w:rsid w:val="5C7A4D54"/>
    <w:rsid w:val="5CBF7A3A"/>
    <w:rsid w:val="5CC86079"/>
    <w:rsid w:val="5CD23B73"/>
    <w:rsid w:val="5CD57954"/>
    <w:rsid w:val="5D5A77C0"/>
    <w:rsid w:val="5DAA0B9B"/>
    <w:rsid w:val="5DC14E75"/>
    <w:rsid w:val="5E1C65B7"/>
    <w:rsid w:val="5E231B5D"/>
    <w:rsid w:val="5E2C3A34"/>
    <w:rsid w:val="5F127819"/>
    <w:rsid w:val="60350ED3"/>
    <w:rsid w:val="60B72AEE"/>
    <w:rsid w:val="60EF0689"/>
    <w:rsid w:val="60F650B9"/>
    <w:rsid w:val="60F872D1"/>
    <w:rsid w:val="61025188"/>
    <w:rsid w:val="61057D5F"/>
    <w:rsid w:val="614D4977"/>
    <w:rsid w:val="61704C00"/>
    <w:rsid w:val="61E33ADD"/>
    <w:rsid w:val="626D25CE"/>
    <w:rsid w:val="62CE1B77"/>
    <w:rsid w:val="63C60FC0"/>
    <w:rsid w:val="63CB2A7A"/>
    <w:rsid w:val="643B4928"/>
    <w:rsid w:val="64BA3D7A"/>
    <w:rsid w:val="64F179BC"/>
    <w:rsid w:val="65323AFA"/>
    <w:rsid w:val="654A23E3"/>
    <w:rsid w:val="65815634"/>
    <w:rsid w:val="658971CF"/>
    <w:rsid w:val="660A2050"/>
    <w:rsid w:val="66127E0B"/>
    <w:rsid w:val="662D4693"/>
    <w:rsid w:val="665704D3"/>
    <w:rsid w:val="6683763C"/>
    <w:rsid w:val="669944D9"/>
    <w:rsid w:val="67201527"/>
    <w:rsid w:val="673E5FF3"/>
    <w:rsid w:val="67A140FF"/>
    <w:rsid w:val="67C065A4"/>
    <w:rsid w:val="67D359C9"/>
    <w:rsid w:val="68042537"/>
    <w:rsid w:val="68103BDF"/>
    <w:rsid w:val="68E2428E"/>
    <w:rsid w:val="68FE36DD"/>
    <w:rsid w:val="694E60FC"/>
    <w:rsid w:val="696702F4"/>
    <w:rsid w:val="6A256904"/>
    <w:rsid w:val="6A2C1D99"/>
    <w:rsid w:val="6A7476FC"/>
    <w:rsid w:val="6AAA163C"/>
    <w:rsid w:val="6B656832"/>
    <w:rsid w:val="6BA22313"/>
    <w:rsid w:val="6BAA76A3"/>
    <w:rsid w:val="6C675CE6"/>
    <w:rsid w:val="6D4F4321"/>
    <w:rsid w:val="6DF41B82"/>
    <w:rsid w:val="6DFF7360"/>
    <w:rsid w:val="6E035DE2"/>
    <w:rsid w:val="6E3F02ED"/>
    <w:rsid w:val="6E7A5F73"/>
    <w:rsid w:val="6EE90F9D"/>
    <w:rsid w:val="6F1D7B64"/>
    <w:rsid w:val="6FB6454A"/>
    <w:rsid w:val="6FD74228"/>
    <w:rsid w:val="7021106F"/>
    <w:rsid w:val="702754DC"/>
    <w:rsid w:val="70B474DA"/>
    <w:rsid w:val="71175551"/>
    <w:rsid w:val="71462F6F"/>
    <w:rsid w:val="71633091"/>
    <w:rsid w:val="71874904"/>
    <w:rsid w:val="71C617F4"/>
    <w:rsid w:val="71F8286E"/>
    <w:rsid w:val="72361A07"/>
    <w:rsid w:val="725A270A"/>
    <w:rsid w:val="72620EA6"/>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BC207F"/>
    <w:rsid w:val="76EB4904"/>
    <w:rsid w:val="771C566F"/>
    <w:rsid w:val="77645DCD"/>
    <w:rsid w:val="777378F5"/>
    <w:rsid w:val="777A2D3C"/>
    <w:rsid w:val="7838290E"/>
    <w:rsid w:val="78A715E8"/>
    <w:rsid w:val="79074B81"/>
    <w:rsid w:val="794F0939"/>
    <w:rsid w:val="79AF0FCA"/>
    <w:rsid w:val="7A1044F1"/>
    <w:rsid w:val="7A2D43C7"/>
    <w:rsid w:val="7AF9279C"/>
    <w:rsid w:val="7BCA404B"/>
    <w:rsid w:val="7C1B3F81"/>
    <w:rsid w:val="7C5D0785"/>
    <w:rsid w:val="7C722BF6"/>
    <w:rsid w:val="7CC51958"/>
    <w:rsid w:val="7CD53DF9"/>
    <w:rsid w:val="7D097C86"/>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1401</Words>
  <Characters>1549</Characters>
  <Lines>293</Lines>
  <Paragraphs>82</Paragraphs>
  <TotalTime>2</TotalTime>
  <ScaleCrop>false</ScaleCrop>
  <LinksUpToDate>false</LinksUpToDate>
  <CharactersWithSpaces>1632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WPS_1550722479</cp:lastModifiedBy>
  <cp:lastPrinted>2019-12-07T15:18:00Z</cp:lastPrinted>
  <dcterms:modified xsi:type="dcterms:W3CDTF">2025-12-12T06:29:31Z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eyJoZGlkIjoiZjQ0ZWJmYWQwYTBiMjc0ZWQ5M2NkOGQ5MjEwNDA1NmMiLCJ1c2VySWQiOiI0NzkzNDYyOTMifQ==</vt:lpwstr>
  </property>
</Properties>
</file>