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319499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滁州市第一人民医院等离子体空气消毒机采购项目</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w:t>
      </w:r>
      <w:r>
        <w:rPr>
          <w:rFonts w:hint="eastAsia" w:ascii="宋体" w:hAnsi="宋体" w:eastAsia="宋体"/>
          <w:b/>
          <w:color w:val="auto"/>
          <w:spacing w:val="20"/>
          <w:kern w:val="0"/>
          <w:sz w:val="32"/>
          <w:szCs w:val="32"/>
          <w:highlight w:val="none"/>
          <w:u w:val="single"/>
          <w:lang w:val="en-US" w:eastAsia="zh-CN" w:bidi="ar"/>
        </w:rPr>
        <w:t>06</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1</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534BE2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12600CA8">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Theme="minorEastAsia" w:hAnsiTheme="minorEastAsia"/>
          <w:color w:val="auto"/>
          <w:sz w:val="24"/>
          <w:szCs w:val="24"/>
          <w:highlight w:val="none"/>
        </w:rPr>
        <w:t xml:space="preserve">第一章 </w:t>
      </w:r>
      <w:r>
        <w:rPr>
          <w:rFonts w:asciiTheme="minorEastAsia" w:hAnsi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09D2413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Theme="minorEastAsia" w:hAnsiTheme="minorEastAsia"/>
          <w:color w:val="auto"/>
          <w:sz w:val="24"/>
          <w:szCs w:val="24"/>
          <w:highlight w:val="none"/>
        </w:rPr>
        <w:t>第二章</w:t>
      </w:r>
      <w:r>
        <w:rPr>
          <w:rFonts w:asciiTheme="minorEastAsia" w:hAnsiTheme="minorEastAsia"/>
          <w:color w:val="auto"/>
          <w:sz w:val="24"/>
          <w:szCs w:val="24"/>
          <w:highlight w:val="none"/>
        </w:rPr>
        <w:t xml:space="preserve"> </w:t>
      </w:r>
      <w:r>
        <w:rPr>
          <w:rFonts w:hint="eastAsia" w:asciiTheme="minorEastAsia" w:hAnsiTheme="minorEastAsia"/>
          <w:color w:val="auto"/>
          <w:sz w:val="24"/>
          <w:szCs w:val="24"/>
          <w:highlight w:val="none"/>
        </w:rPr>
        <w:t xml:space="preserve"> </w:t>
      </w:r>
      <w:r>
        <w:rPr>
          <w:rFonts w:asciiTheme="minorEastAsia" w:hAnsi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621D30C0">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Theme="minorEastAsia" w:hAnsi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color w:val="auto"/>
          <w:sz w:val="24"/>
          <w:szCs w:val="24"/>
          <w:highlight w:val="none"/>
        </w:rPr>
        <w:fldChar w:fldCharType="end"/>
      </w:r>
    </w:p>
    <w:p w14:paraId="14E4180F">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"_Toc4328" </w:instrText>
      </w:r>
      <w:r>
        <w:rPr>
          <w:color w:val="auto"/>
          <w:highlight w:val="none"/>
        </w:rPr>
        <w:fldChar w:fldCharType="separate"/>
      </w:r>
      <w:r>
        <w:rPr>
          <w:rFonts w:hint="eastAsia" w:asciiTheme="minorEastAsia" w:hAnsiTheme="minorEastAsia"/>
          <w:color w:val="auto"/>
          <w:sz w:val="24"/>
          <w:szCs w:val="24"/>
          <w:highlight w:val="none"/>
        </w:rPr>
        <w:t>第四章  评标方法和标准（综合评分法）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14:paraId="0D7BB6E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Theme="minorEastAsia" w:hAnsiTheme="minorEastAsia"/>
          <w:color w:val="auto"/>
          <w:sz w:val="24"/>
          <w:szCs w:val="24"/>
          <w:highlight w:val="none"/>
        </w:rPr>
        <w:t xml:space="preserve">第五章  </w:t>
      </w:r>
      <w:r>
        <w:rPr>
          <w:rFonts w:asciiTheme="minorEastAsia" w:hAnsi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color w:val="auto"/>
          <w:sz w:val="24"/>
          <w:szCs w:val="24"/>
          <w:highlight w:val="none"/>
        </w:rPr>
        <w:fldChar w:fldCharType="end"/>
      </w:r>
    </w:p>
    <w:p w14:paraId="5E250313">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Theme="minorEastAsia" w:hAnsi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color w:val="auto"/>
          <w:sz w:val="24"/>
          <w:szCs w:val="24"/>
          <w:highlight w:val="none"/>
        </w:rPr>
        <w:fldChar w:fldCharType="end"/>
      </w:r>
    </w:p>
    <w:p w14:paraId="4CF3E876">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Theme="minorEastAsia" w:hAnsi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color w:val="auto"/>
          <w:sz w:val="24"/>
          <w:szCs w:val="24"/>
          <w:highlight w:val="none"/>
        </w:rPr>
        <w:fldChar w:fldCharType="end"/>
      </w:r>
    </w:p>
    <w:p w14:paraId="4429DAAC">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197FCA22">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bookmarkStart w:id="3" w:name="_Toc31935"/>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滁州市第一人民医院等离子体空气消毒机采购项目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2</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4" w:name="_Toc28359079"/>
      <w:bookmarkEnd w:id="4"/>
      <w:bookmarkStart w:id="5" w:name="_Toc35393790"/>
      <w:bookmarkEnd w:id="5"/>
      <w:bookmarkStart w:id="6" w:name="_Toc58430305"/>
      <w:bookmarkEnd w:id="6"/>
      <w:bookmarkStart w:id="7" w:name="_Toc28359002"/>
      <w:bookmarkEnd w:id="7"/>
      <w:bookmarkStart w:id="8" w:name="_Toc35393621"/>
      <w:bookmarkEnd w:id="8"/>
      <w:bookmarkStart w:id="9" w:name="_Hlk24379207"/>
      <w:r>
        <w:rPr>
          <w:rFonts w:hint="eastAsia" w:ascii="宋体" w:hAnsi="宋体" w:eastAsia="宋体" w:cs="宋体"/>
          <w:b/>
          <w:bCs/>
          <w:color w:val="auto"/>
          <w:sz w:val="24"/>
          <w:szCs w:val="24"/>
          <w:highlight w:val="none"/>
          <w:lang w:bidi="ar"/>
        </w:rPr>
        <w:t>一、项目基本情况</w:t>
      </w:r>
      <w:bookmarkEnd w:id="9"/>
    </w:p>
    <w:p w14:paraId="694C4E8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w:t>
      </w:r>
      <w:r>
        <w:rPr>
          <w:rFonts w:hint="eastAsia" w:ascii="宋体" w:hAnsi="宋体" w:eastAsia="宋体" w:cs="宋体"/>
          <w:color w:val="auto"/>
          <w:sz w:val="24"/>
          <w:szCs w:val="24"/>
          <w:highlight w:val="none"/>
          <w:lang w:val="en-US" w:eastAsia="zh-CN" w:bidi="ar"/>
        </w:rPr>
        <w:t>6</w:t>
      </w:r>
    </w:p>
    <w:p w14:paraId="2F6DDDE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项目名称：滁州市第一人民医院等离子体空气消毒机采购项目</w:t>
      </w:r>
    </w:p>
    <w:p w14:paraId="24E68B43">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val="en-US" w:eastAsia="zh-CN" w:bidi="ar"/>
        </w:rPr>
        <w:t>290000</w:t>
      </w:r>
      <w:r>
        <w:rPr>
          <w:rFonts w:hint="eastAsia" w:ascii="宋体" w:hAnsi="宋体" w:eastAsia="宋体" w:cs="宋体"/>
          <w:color w:val="auto"/>
          <w:sz w:val="24"/>
          <w:szCs w:val="24"/>
          <w:highlight w:val="none"/>
          <w:lang w:bidi="ar"/>
        </w:rPr>
        <w:t>元</w:t>
      </w:r>
    </w:p>
    <w:p w14:paraId="3B79407D">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290000</w:t>
      </w:r>
      <w:r>
        <w:rPr>
          <w:rFonts w:hint="eastAsia" w:ascii="宋体" w:hAnsi="宋体" w:eastAsia="宋体" w:cs="宋体"/>
          <w:color w:val="auto"/>
          <w:sz w:val="24"/>
          <w:szCs w:val="24"/>
          <w:highlight w:val="none"/>
          <w:lang w:bidi="ar"/>
        </w:rPr>
        <w:t>元</w:t>
      </w:r>
      <w:r>
        <w:rPr>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总报价及单价均</w:t>
      </w:r>
      <w:r>
        <w:rPr>
          <w:rFonts w:hint="eastAsia" w:ascii="宋体" w:hAnsi="宋体" w:eastAsia="宋体" w:cs="宋体"/>
          <w:color w:val="auto"/>
          <w:kern w:val="0"/>
          <w:sz w:val="24"/>
          <w:szCs w:val="24"/>
          <w:highlight w:val="none"/>
        </w:rPr>
        <w:t>不得高于本项目设置</w:t>
      </w:r>
      <w:r>
        <w:rPr>
          <w:rFonts w:hint="eastAsia" w:ascii="宋体" w:hAnsi="宋体" w:eastAsia="宋体" w:cs="宋体"/>
          <w:color w:val="auto"/>
          <w:kern w:val="0"/>
          <w:sz w:val="24"/>
          <w:szCs w:val="24"/>
          <w:highlight w:val="none"/>
          <w:lang w:val="en-US" w:eastAsia="zh-CN"/>
        </w:rPr>
        <w:t>总价</w:t>
      </w: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及单价最高限价（单价最高限价详见采购清单）</w:t>
      </w:r>
      <w:r>
        <w:rPr>
          <w:rFonts w:hint="eastAsia" w:ascii="宋体" w:hAnsi="宋体" w:eastAsia="宋体" w:cs="宋体"/>
          <w:color w:val="auto"/>
          <w:kern w:val="0"/>
          <w:sz w:val="24"/>
          <w:szCs w:val="24"/>
          <w:highlight w:val="none"/>
        </w:rPr>
        <w:t>，否则，按无效投标处理。</w:t>
      </w:r>
    </w:p>
    <w:p w14:paraId="4F474E7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等离子体空气消毒机采购。</w:t>
      </w:r>
    </w:p>
    <w:p w14:paraId="1A54DE9E">
      <w:pPr>
        <w:pStyle w:val="22"/>
        <w:keepNext w:val="0"/>
        <w:keepLines w:val="0"/>
        <w:pageBreakBefore w:val="0"/>
        <w:widowControl/>
        <w:kinsoku/>
        <w:overflowPunct/>
        <w:topLinePunct w:val="0"/>
        <w:autoSpaceDN/>
        <w:bidi w:val="0"/>
        <w:adjustRightInd/>
        <w:snapToGrid/>
        <w:spacing w:before="0" w:beforeAutospacing="0" w:after="0" w:afterAutospacing="0" w:line="420" w:lineRule="exact"/>
        <w:ind w:firstLine="480" w:firstLineChars="200"/>
        <w:textAlignment w:val="auto"/>
        <w:rPr>
          <w:rFonts w:hint="default"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bidi="ar"/>
        </w:rPr>
        <w:t>合同履行期限：</w:t>
      </w:r>
      <w:r>
        <w:rPr>
          <w:rFonts w:hint="eastAsia" w:ascii="宋体" w:hAnsi="宋体" w:eastAsia="宋体" w:cs="宋体"/>
          <w:color w:val="auto"/>
          <w:kern w:val="2"/>
          <w:szCs w:val="24"/>
          <w:highlight w:val="none"/>
          <w:lang w:val="en-US" w:eastAsia="zh-CN" w:bidi="ar"/>
        </w:rPr>
        <w:t>本项目实行按需分批次供货，中标人应在收到采购人设备科通知之日起30个日历天内，按通知指定的货物数量、交付地点完成供货</w:t>
      </w:r>
      <w:r>
        <w:rPr>
          <w:rFonts w:hint="eastAsia" w:ascii="宋体" w:hAnsi="宋体" w:eastAsia="宋体" w:cs="宋体"/>
          <w:color w:val="auto"/>
          <w:kern w:val="0"/>
          <w:sz w:val="24"/>
          <w:szCs w:val="24"/>
          <w:highlight w:val="none"/>
          <w:lang w:val="en-US" w:eastAsia="zh-CN" w:bidi="ar-SA"/>
        </w:rPr>
        <w:t>。</w:t>
      </w:r>
    </w:p>
    <w:p w14:paraId="44ED0D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55304568">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10" w:name="_Toc58430306"/>
      <w:bookmarkEnd w:id="10"/>
      <w:bookmarkStart w:id="11" w:name="_Toc35393622"/>
      <w:bookmarkEnd w:id="11"/>
      <w:bookmarkStart w:id="12" w:name="_Toc35393791"/>
      <w:bookmarkEnd w:id="12"/>
      <w:bookmarkStart w:id="13" w:name="_Toc28359003"/>
      <w:bookmarkEnd w:id="13"/>
      <w:bookmarkStart w:id="14" w:name="_Toc28359080"/>
      <w:r>
        <w:rPr>
          <w:rFonts w:hint="eastAsia" w:ascii="宋体" w:hAnsi="宋体" w:eastAsia="宋体" w:cs="宋体"/>
          <w:b/>
          <w:bCs/>
          <w:color w:val="auto"/>
          <w:sz w:val="24"/>
          <w:szCs w:val="24"/>
          <w:highlight w:val="none"/>
          <w:lang w:bidi="ar"/>
        </w:rPr>
        <w:t>二、申请人的资格要求</w:t>
      </w:r>
      <w:bookmarkEnd w:id="14"/>
    </w:p>
    <w:p w14:paraId="37E38CE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1.满足《中华人民共和国政府采购法》第二十二条规定；</w:t>
      </w:r>
    </w:p>
    <w:p w14:paraId="6426C2C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i/>
          <w:iCs/>
          <w:color w:val="auto"/>
          <w:sz w:val="24"/>
          <w:szCs w:val="24"/>
          <w:highlight w:val="none"/>
          <w:u w:val="single"/>
          <w:lang w:eastAsia="zh-CN"/>
        </w:rPr>
      </w:pPr>
      <w:bookmarkStart w:id="15" w:name="_Toc28359081"/>
      <w:bookmarkEnd w:id="15"/>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val="en-US" w:eastAsia="zh-CN" w:bidi="ar"/>
        </w:rPr>
        <w:t>投标人为生产厂家时，</w:t>
      </w:r>
      <w:r>
        <w:rPr>
          <w:rFonts w:hint="eastAsia" w:ascii="宋体" w:hAnsi="宋体" w:eastAsia="宋体" w:cs="宋体"/>
          <w:color w:val="auto"/>
          <w:sz w:val="24"/>
          <w:szCs w:val="24"/>
          <w:highlight w:val="none"/>
          <w:lang w:bidi="ar"/>
        </w:rPr>
        <w:t>提供生产企业卫生许可证</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若投标人为代理商时，提供产品生产企业卫生许可证。</w:t>
      </w:r>
    </w:p>
    <w:p w14:paraId="3E0B57F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74BA52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①被列入“信用中国”网站“失信被执行人”的；</w:t>
      </w:r>
    </w:p>
    <w:p w14:paraId="2F2B86D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2C98E801">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 “严重失信主体名单”的；</w:t>
      </w:r>
    </w:p>
    <w:p w14:paraId="699F9EB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④在“信用中国”网站上披露的仍在公示期的严重失信行为(具体行为类别及判定依据见“信用中国”查询的严重失信行为类别及判定依据)的。</w:t>
      </w:r>
    </w:p>
    <w:p w14:paraId="4913B4A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p>
    <w:p w14:paraId="4A00872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⑥被列入中国政府采购网站“政府采购严重违法失信行为信息记录”的。</w:t>
      </w:r>
    </w:p>
    <w:p w14:paraId="39EE197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p>
    <w:p w14:paraId="6057098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.投标人所属分公司、办事处等分支机构存在第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款信誉要求①-⑦项情形之一的，接受投标人参加本项目。</w:t>
      </w:r>
    </w:p>
    <w:p w14:paraId="06169B8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条按照“关于联合惩戒失信行为加强信用查询管理的通知”查询或承诺。</w:t>
      </w:r>
    </w:p>
    <w:p w14:paraId="2C5A3994">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16" w:name="_Toc35393623"/>
      <w:bookmarkEnd w:id="16"/>
      <w:bookmarkStart w:id="17" w:name="_Toc35393792"/>
      <w:bookmarkEnd w:id="17"/>
      <w:bookmarkStart w:id="18" w:name="_Toc58430307"/>
      <w:r>
        <w:rPr>
          <w:rFonts w:hint="eastAsia" w:ascii="宋体" w:hAnsi="宋体" w:eastAsia="宋体" w:cs="宋体"/>
          <w:b/>
          <w:bCs/>
          <w:color w:val="auto"/>
          <w:sz w:val="24"/>
          <w:szCs w:val="24"/>
          <w:highlight w:val="none"/>
          <w:lang w:bidi="ar"/>
        </w:rPr>
        <w:t>三、获取招标文件</w:t>
      </w:r>
      <w:bookmarkEnd w:id="18"/>
    </w:p>
    <w:p w14:paraId="1C5FB5F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1</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28</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日</w:t>
      </w:r>
    </w:p>
    <w:p w14:paraId="1ED383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368414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419E209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20" w:lineRule="exact"/>
        <w:ind w:firstLine="530" w:firstLineChars="220"/>
        <w:textAlignment w:val="auto"/>
        <w:outlineLvl w:val="1"/>
        <w:rPr>
          <w:rFonts w:hint="eastAsia" w:ascii="宋体" w:hAnsi="宋体" w:eastAsia="宋体"/>
          <w:b/>
          <w:bCs/>
          <w:color w:val="auto"/>
          <w:sz w:val="24"/>
          <w:szCs w:val="24"/>
          <w:highlight w:val="none"/>
        </w:rPr>
      </w:pPr>
      <w:bookmarkStart w:id="19" w:name="_Toc28359082"/>
      <w:bookmarkEnd w:id="19"/>
      <w:bookmarkStart w:id="20" w:name="_Toc35393793"/>
      <w:bookmarkEnd w:id="20"/>
      <w:bookmarkStart w:id="21" w:name="_Toc28359005"/>
      <w:bookmarkEnd w:id="21"/>
      <w:bookmarkStart w:id="22" w:name="_Toc35393624"/>
      <w:bookmarkEnd w:id="22"/>
      <w:bookmarkStart w:id="23" w:name="_Toc58430308"/>
      <w:r>
        <w:rPr>
          <w:rFonts w:hint="eastAsia" w:ascii="宋体" w:hAnsi="宋体" w:eastAsia="宋体" w:cs="宋体"/>
          <w:b/>
          <w:bCs/>
          <w:color w:val="auto"/>
          <w:sz w:val="24"/>
          <w:szCs w:val="24"/>
          <w:highlight w:val="none"/>
          <w:lang w:bidi="ar"/>
        </w:rPr>
        <w:t>四、</w:t>
      </w:r>
      <w:bookmarkEnd w:id="23"/>
      <w:r>
        <w:rPr>
          <w:rFonts w:hint="eastAsia" w:ascii="宋体" w:hAnsi="宋体" w:eastAsia="宋体" w:cs="宋体"/>
          <w:b/>
          <w:bCs/>
          <w:color w:val="auto"/>
          <w:sz w:val="24"/>
          <w:szCs w:val="24"/>
          <w:highlight w:val="none"/>
          <w:lang w:bidi="ar"/>
        </w:rPr>
        <w:t>提交投标文件截止时间、开标时间和地点</w:t>
      </w:r>
    </w:p>
    <w:p w14:paraId="637DF32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日</w:t>
      </w:r>
      <w:r>
        <w:rPr>
          <w:rFonts w:hint="eastAsia" w:ascii="宋体" w:hAnsi="宋体" w:eastAsia="宋体" w:cs="宋体"/>
          <w:bCs/>
          <w:color w:val="auto"/>
          <w:sz w:val="24"/>
          <w:szCs w:val="24"/>
          <w:highlight w:val="none"/>
          <w:u w:val="single"/>
          <w:lang w:bidi="ar"/>
        </w:rPr>
        <w:t>15</w:t>
      </w:r>
      <w:r>
        <w:rPr>
          <w:rFonts w:hint="eastAsia" w:ascii="宋体" w:hAnsi="宋体" w:eastAsia="宋体" w:cs="宋体"/>
          <w:bCs/>
          <w:color w:val="auto"/>
          <w:sz w:val="24"/>
          <w:szCs w:val="24"/>
          <w:highlight w:val="none"/>
          <w:u w:val="single"/>
          <w:lang w:val="en-US" w:eastAsia="zh-CN" w:bidi="ar"/>
        </w:rPr>
        <w:t>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24" w:name="_Toc58430309"/>
      <w:bookmarkEnd w:id="24"/>
      <w:bookmarkStart w:id="25" w:name="_Toc35393625"/>
      <w:bookmarkEnd w:id="25"/>
      <w:bookmarkStart w:id="26" w:name="_Toc35393794"/>
      <w:bookmarkEnd w:id="26"/>
      <w:bookmarkStart w:id="27" w:name="_Toc28359007"/>
      <w:bookmarkEnd w:id="27"/>
      <w:bookmarkStart w:id="28" w:name="_Toc28359084"/>
      <w:r>
        <w:rPr>
          <w:rFonts w:hint="eastAsia" w:ascii="宋体" w:hAnsi="宋体" w:eastAsia="宋体" w:cs="宋体"/>
          <w:b/>
          <w:bCs/>
          <w:color w:val="auto"/>
          <w:sz w:val="24"/>
          <w:szCs w:val="24"/>
          <w:highlight w:val="none"/>
          <w:lang w:bidi="ar"/>
        </w:rPr>
        <w:t>五、公告期限</w:t>
      </w:r>
      <w:bookmarkEnd w:id="28"/>
    </w:p>
    <w:p w14:paraId="6BFA45F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29" w:name="_Toc58430310"/>
      <w:bookmarkEnd w:id="29"/>
      <w:r>
        <w:rPr>
          <w:rFonts w:hint="eastAsia" w:ascii="宋体" w:hAnsi="宋体" w:eastAsia="宋体" w:cs="宋体"/>
          <w:b/>
          <w:bCs/>
          <w:color w:val="auto"/>
          <w:sz w:val="24"/>
          <w:szCs w:val="24"/>
          <w:highlight w:val="none"/>
          <w:lang w:bidi="ar"/>
        </w:rPr>
        <w:t>六、其他补充事宜</w:t>
      </w:r>
    </w:p>
    <w:p w14:paraId="76633FE7">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cs="宋体"/>
          <w:color w:val="auto"/>
          <w:sz w:val="24"/>
          <w:szCs w:val="24"/>
          <w:highlight w:val="none"/>
          <w:lang w:bidi="ar"/>
        </w:rPr>
      </w:pPr>
      <w:bookmarkStart w:id="30" w:name="_Toc7265"/>
      <w:bookmarkEnd w:id="30"/>
      <w:bookmarkStart w:id="31" w:name="_Toc3854"/>
      <w:r>
        <w:rPr>
          <w:rFonts w:hint="eastAsia" w:ascii="宋体" w:hAnsi="宋体" w:eastAsia="宋体" w:cs="宋体"/>
          <w:color w:val="auto"/>
          <w:sz w:val="24"/>
          <w:szCs w:val="24"/>
          <w:highlight w:val="none"/>
          <w:lang w:bidi="ar"/>
        </w:rPr>
        <w:t>无</w:t>
      </w:r>
    </w:p>
    <w:p w14:paraId="58977189">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1"/>
      <w:r>
        <w:rPr>
          <w:rFonts w:hint="eastAsia" w:ascii="宋体" w:hAnsi="宋体" w:eastAsia="宋体" w:cs="宋体"/>
          <w:b/>
          <w:bCs/>
          <w:color w:val="auto"/>
          <w:sz w:val="24"/>
          <w:szCs w:val="24"/>
          <w:highlight w:val="none"/>
          <w:lang w:bidi="ar"/>
        </w:rPr>
        <w:t>对本次招标提出询问，请按以下方式联系</w:t>
      </w:r>
    </w:p>
    <w:p w14:paraId="44EB6EE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170AA7D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0ED53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24F58576">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7A0DBD8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7C2CF70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640E963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1EA6D7B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01AE3F6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14C2330C">
      <w:pPr>
        <w:keepNext w:val="0"/>
        <w:keepLines w:val="0"/>
        <w:pageBreakBefore w:val="0"/>
        <w:kinsoku/>
        <w:overflowPunct/>
        <w:topLinePunct w:val="0"/>
        <w:autoSpaceDE w:val="0"/>
        <w:autoSpaceDN/>
        <w:bidi w:val="0"/>
        <w:adjustRightInd/>
        <w:snapToGrid/>
        <w:spacing w:line="42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0550-3011399、</w:t>
      </w:r>
      <w:r>
        <w:rPr>
          <w:rFonts w:hint="eastAsia" w:ascii="宋体" w:hAnsi="宋体" w:eastAsia="宋体"/>
          <w:color w:val="auto"/>
          <w:sz w:val="24"/>
          <w:szCs w:val="24"/>
          <w:highlight w:val="none"/>
          <w:u w:val="single"/>
          <w:lang w:eastAsia="zh-CN" w:bidi="ar"/>
        </w:rPr>
        <w:t>15178499373</w:t>
      </w:r>
      <w:r>
        <w:rPr>
          <w:rFonts w:hint="eastAsia" w:ascii="宋体" w:hAnsi="宋体" w:eastAsia="宋体"/>
          <w:color w:val="auto"/>
          <w:sz w:val="24"/>
          <w:szCs w:val="24"/>
          <w:highlight w:val="none"/>
          <w:u w:val="single"/>
          <w:lang w:bidi="ar"/>
        </w:rPr>
        <w:t xml:space="preserve"> </w:t>
      </w:r>
    </w:p>
    <w:p w14:paraId="6739E1F6">
      <w:pPr>
        <w:spacing w:line="360" w:lineRule="auto"/>
        <w:jc w:val="center"/>
        <w:outlineLvl w:val="0"/>
        <w:rPr>
          <w:rFonts w:hint="eastAsia" w:asciiTheme="minorEastAsia" w:hAnsiTheme="minorEastAsia" w:eastAsiaTheme="minorEastAsia"/>
          <w:b/>
          <w:color w:val="auto"/>
          <w:sz w:val="28"/>
          <w:highlight w:val="none"/>
        </w:rPr>
      </w:pPr>
    </w:p>
    <w:p w14:paraId="0C8C8E7F">
      <w:pPr>
        <w:spacing w:line="360" w:lineRule="auto"/>
        <w:jc w:val="center"/>
        <w:outlineLvl w:val="0"/>
        <w:rPr>
          <w:rFonts w:hint="eastAsia" w:asciiTheme="minorEastAsia" w:hAnsiTheme="minorEastAsia" w:eastAsiaTheme="minorEastAsia"/>
          <w:b/>
          <w:color w:val="auto"/>
          <w:sz w:val="28"/>
          <w:highlight w:val="none"/>
        </w:rPr>
      </w:pPr>
    </w:p>
    <w:p w14:paraId="2DA39ABF">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78745D49">
      <w:pPr>
        <w:spacing w:line="360" w:lineRule="auto"/>
        <w:jc w:val="center"/>
        <w:outlineLvl w:val="1"/>
        <w:rPr>
          <w:rFonts w:hint="eastAsia" w:asciiTheme="minorEastAsia" w:hAnsiTheme="minorEastAsia" w:eastAsiaTheme="minorEastAsia"/>
          <w:b/>
          <w:color w:val="auto"/>
          <w:sz w:val="24"/>
          <w:highlight w:val="none"/>
        </w:rPr>
      </w:pPr>
      <w:bookmarkStart w:id="32" w:name="_Toc7178"/>
      <w:bookmarkStart w:id="33"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232BB9CD">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rPr>
                <w:rFonts w:hint="eastAsia" w:ascii="宋体" w:hAnsi="宋体" w:eastAsia="宋体"/>
                <w:b w:val="0"/>
                <w:bCs w:val="0"/>
                <w:color w:val="auto"/>
                <w:sz w:val="24"/>
                <w:highlight w:val="none"/>
              </w:rPr>
            </w:pPr>
            <w:r>
              <w:rPr>
                <w:rFonts w:hint="eastAsia" w:ascii="宋体" w:hAnsi="宋体" w:eastAsia="宋体" w:cs="宋体"/>
                <w:b w:val="0"/>
                <w:bCs w:val="0"/>
                <w:color w:val="auto"/>
                <w:sz w:val="24"/>
                <w:szCs w:val="24"/>
                <w:highlight w:val="none"/>
                <w:u w:val="single"/>
                <w:lang w:bidi="ar"/>
              </w:rPr>
              <w:t>202</w:t>
            </w:r>
            <w:r>
              <w:rPr>
                <w:rFonts w:hint="eastAsia" w:ascii="宋体" w:hAnsi="宋体" w:eastAsia="宋体" w:cs="宋体"/>
                <w:b w:val="0"/>
                <w:bCs w:val="0"/>
                <w:color w:val="auto"/>
                <w:sz w:val="24"/>
                <w:szCs w:val="24"/>
                <w:highlight w:val="none"/>
                <w:u w:val="single"/>
                <w:lang w:val="en-US" w:eastAsia="zh-CN" w:bidi="ar"/>
              </w:rPr>
              <w:t>6</w:t>
            </w:r>
            <w:r>
              <w:rPr>
                <w:rFonts w:hint="eastAsia" w:ascii="宋体" w:hAnsi="宋体" w:eastAsia="宋体" w:cs="宋体"/>
                <w:b w:val="0"/>
                <w:bCs w:val="0"/>
                <w:color w:val="auto"/>
                <w:sz w:val="24"/>
                <w:szCs w:val="24"/>
                <w:highlight w:val="none"/>
                <w:u w:val="single"/>
                <w:lang w:bidi="ar"/>
              </w:rPr>
              <w:t>年</w:t>
            </w:r>
            <w:r>
              <w:rPr>
                <w:rFonts w:hint="eastAsia" w:ascii="宋体" w:hAnsi="宋体" w:eastAsia="宋体" w:cs="宋体"/>
                <w:b w:val="0"/>
                <w:bCs w:val="0"/>
                <w:color w:val="auto"/>
                <w:sz w:val="24"/>
                <w:szCs w:val="24"/>
                <w:highlight w:val="none"/>
                <w:u w:val="single"/>
                <w:lang w:val="en-US" w:eastAsia="zh-CN" w:bidi="ar"/>
              </w:rPr>
              <w:t>2</w:t>
            </w:r>
            <w:r>
              <w:rPr>
                <w:rFonts w:hint="eastAsia" w:ascii="宋体" w:hAnsi="宋体" w:eastAsia="宋体" w:cs="宋体"/>
                <w:b w:val="0"/>
                <w:bCs w:val="0"/>
                <w:color w:val="auto"/>
                <w:sz w:val="24"/>
                <w:szCs w:val="24"/>
                <w:highlight w:val="none"/>
                <w:u w:val="single"/>
                <w:lang w:bidi="ar"/>
              </w:rPr>
              <w:t>月</w:t>
            </w:r>
            <w:r>
              <w:rPr>
                <w:rFonts w:hint="eastAsia" w:ascii="宋体" w:hAnsi="宋体" w:eastAsia="宋体" w:cs="宋体"/>
                <w:b w:val="0"/>
                <w:bCs w:val="0"/>
                <w:color w:val="auto"/>
                <w:sz w:val="24"/>
                <w:szCs w:val="24"/>
                <w:highlight w:val="none"/>
                <w:u w:val="single"/>
                <w:lang w:val="en-US" w:eastAsia="zh-CN" w:bidi="ar"/>
              </w:rPr>
              <w:t>1</w:t>
            </w:r>
            <w:r>
              <w:rPr>
                <w:rFonts w:hint="eastAsia" w:ascii="宋体" w:hAnsi="宋体" w:eastAsia="宋体" w:cs="宋体"/>
                <w:b w:val="0"/>
                <w:bCs w:val="0"/>
                <w:color w:val="auto"/>
                <w:sz w:val="24"/>
                <w:szCs w:val="24"/>
                <w:highlight w:val="none"/>
                <w:u w:val="single"/>
                <w:lang w:bidi="ar"/>
              </w:rPr>
              <w:t>日</w:t>
            </w:r>
            <w:r>
              <w:rPr>
                <w:rFonts w:hint="eastAsia" w:ascii="宋体" w:hAnsi="宋体" w:eastAsia="宋体"/>
                <w:b w:val="0"/>
                <w:bCs w:val="0"/>
                <w:color w:val="auto"/>
                <w:sz w:val="24"/>
                <w:highlight w:val="none"/>
                <w:u w:val="single"/>
              </w:rPr>
              <w:t>17</w:t>
            </w:r>
            <w:r>
              <w:rPr>
                <w:rFonts w:ascii="宋体" w:hAnsi="宋体" w:eastAsia="宋体"/>
                <w:b w:val="0"/>
                <w:bCs w:val="0"/>
                <w:color w:val="auto"/>
                <w:sz w:val="24"/>
                <w:highlight w:val="none"/>
              </w:rPr>
              <w:t>时</w:t>
            </w:r>
            <w:r>
              <w:rPr>
                <w:rFonts w:hint="eastAsia" w:ascii="宋体" w:hAnsi="宋体" w:eastAsia="宋体"/>
                <w:b w:val="0"/>
                <w:bCs w:val="0"/>
                <w:color w:val="auto"/>
                <w:sz w:val="24"/>
                <w:highlight w:val="none"/>
                <w:u w:val="single"/>
              </w:rPr>
              <w:t>30</w:t>
            </w:r>
            <w:r>
              <w:rPr>
                <w:rFonts w:hint="eastAsia" w:ascii="宋体" w:hAnsi="宋体" w:eastAsia="宋体"/>
                <w:b w:val="0"/>
                <w:bCs w:val="0"/>
                <w:color w:val="auto"/>
                <w:sz w:val="24"/>
                <w:highlight w:val="none"/>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日</w:t>
            </w:r>
            <w:r>
              <w:rPr>
                <w:rFonts w:hint="eastAsia" w:ascii="宋体" w:hAnsi="宋体" w:eastAsia="宋体" w:cs="宋体"/>
                <w:bCs/>
                <w:color w:val="auto"/>
                <w:sz w:val="24"/>
                <w:szCs w:val="24"/>
                <w:highlight w:val="none"/>
                <w:u w:val="single"/>
                <w:lang w:val="en-US" w:eastAsia="zh-CN" w:bidi="ar"/>
              </w:rPr>
              <w:t>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53C9018A">
            <w:pPr>
              <w:autoSpaceDE w:val="0"/>
              <w:spacing w:line="360" w:lineRule="auto"/>
              <w:outlineLvl w:val="2"/>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b w:val="0"/>
                <w:bCs w:val="0"/>
                <w:color w:val="auto"/>
                <w:sz w:val="24"/>
                <w:szCs w:val="24"/>
                <w:highlight w:val="none"/>
                <w:u w:val="none"/>
                <w:lang w:bidi="ar"/>
              </w:rPr>
              <w:t>202</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年</w:t>
            </w:r>
            <w:r>
              <w:rPr>
                <w:rFonts w:hint="eastAsia" w:ascii="宋体" w:hAnsi="宋体" w:eastAsia="宋体" w:cs="宋体"/>
                <w:b w:val="0"/>
                <w:bCs w:val="0"/>
                <w:color w:val="auto"/>
                <w:sz w:val="24"/>
                <w:szCs w:val="24"/>
                <w:highlight w:val="none"/>
                <w:u w:val="none"/>
                <w:lang w:val="en-US" w:eastAsia="zh-CN" w:bidi="ar"/>
              </w:rPr>
              <w:t>2</w:t>
            </w:r>
            <w:r>
              <w:rPr>
                <w:rFonts w:hint="eastAsia" w:ascii="宋体" w:hAnsi="宋体" w:eastAsia="宋体" w:cs="宋体"/>
                <w:b w:val="0"/>
                <w:bCs w:val="0"/>
                <w:color w:val="auto"/>
                <w:sz w:val="24"/>
                <w:szCs w:val="24"/>
                <w:highlight w:val="none"/>
                <w:u w:val="none"/>
                <w:lang w:bidi="ar"/>
              </w:rPr>
              <w:t>月</w:t>
            </w:r>
            <w:r>
              <w:rPr>
                <w:rFonts w:hint="eastAsia" w:ascii="宋体" w:hAnsi="宋体" w:eastAsia="宋体" w:cs="宋体"/>
                <w:b w:val="0"/>
                <w:bCs w:val="0"/>
                <w:color w:val="auto"/>
                <w:sz w:val="24"/>
                <w:szCs w:val="24"/>
                <w:highlight w:val="none"/>
                <w:u w:val="none"/>
                <w:lang w:val="en-US" w:eastAsia="zh-CN" w:bidi="ar"/>
              </w:rPr>
              <w:t>5</w:t>
            </w:r>
            <w:r>
              <w:rPr>
                <w:rFonts w:hint="eastAsia" w:ascii="宋体" w:hAnsi="宋体" w:eastAsia="宋体" w:cs="宋体"/>
                <w:b w:val="0"/>
                <w:bCs w:val="0"/>
                <w:color w:val="auto"/>
                <w:sz w:val="24"/>
                <w:szCs w:val="24"/>
                <w:highlight w:val="none"/>
                <w:u w:val="none"/>
                <w:lang w:bidi="ar"/>
              </w:rPr>
              <w:t>日</w:t>
            </w:r>
            <w:r>
              <w:rPr>
                <w:rFonts w:hint="eastAsia" w:ascii="宋体" w:hAnsi="宋体" w:eastAsia="宋体" w:cs="宋体"/>
                <w:b w:val="0"/>
                <w:bCs w:val="0"/>
                <w:color w:val="auto"/>
                <w:sz w:val="24"/>
                <w:szCs w:val="24"/>
                <w:highlight w:val="none"/>
                <w:u w:val="none"/>
                <w:lang w:val="en-US" w:eastAsia="zh-CN" w:bidi="ar"/>
              </w:rPr>
              <w:t>15时</w:t>
            </w:r>
            <w:r>
              <w:rPr>
                <w:rFonts w:hint="eastAsia" w:ascii="宋体" w:hAnsi="宋体" w:eastAsia="宋体" w:cs="宋体"/>
                <w:b w:val="0"/>
                <w:bCs w:val="0"/>
                <w:color w:val="auto"/>
                <w:sz w:val="24"/>
                <w:szCs w:val="24"/>
                <w:highlight w:val="none"/>
                <w:u w:val="none"/>
                <w:lang w:bidi="ar"/>
              </w:rPr>
              <w:t>00分</w:t>
            </w:r>
            <w:r>
              <w:rPr>
                <w:rFonts w:hint="eastAsia" w:ascii="宋体" w:hAnsi="宋体" w:eastAsia="宋体" w:cs="宋体"/>
                <w:b w:val="0"/>
                <w:bCs w:val="0"/>
                <w:color w:val="auto"/>
                <w:sz w:val="24"/>
                <w:highlight w:val="none"/>
                <w:u w:val="none"/>
              </w:rPr>
              <w:t xml:space="preserve"> </w:t>
            </w:r>
            <w:r>
              <w:rPr>
                <w:rFonts w:hint="eastAsia" w:ascii="宋体" w:hAnsi="宋体" w:eastAsia="宋体" w:cs="宋体"/>
                <w:color w:val="auto"/>
                <w:sz w:val="24"/>
                <w:highlight w:val="none"/>
              </w:rPr>
              <w:t xml:space="preserve">  </w:t>
            </w:r>
          </w:p>
          <w:p w14:paraId="79E47023">
            <w:pPr>
              <w:autoSpaceDE w:val="0"/>
              <w:spacing w:line="400" w:lineRule="exact"/>
              <w:ind w:firstLine="45" w:firstLineChars="0"/>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2"/>
              <w:spacing w:before="0" w:beforeAutospacing="0" w:after="0" w:afterAutospacing="0" w:line="360" w:lineRule="auto"/>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2"/>
              <w:widowControl/>
              <w:spacing w:before="0" w:beforeAutospacing="0" w:after="0" w:afterAutospacing="0" w:line="4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2"/>
              <w:widowControl/>
              <w:spacing w:before="0" w:beforeAutospacing="0" w:after="0" w:afterAutospacing="0" w:line="420" w:lineRule="exact"/>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63222B79">
            <w:pPr>
              <w:spacing w:before="24"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color w:val="auto"/>
                <w:sz w:val="24"/>
                <w:szCs w:val="24"/>
                <w:highlight w:val="none"/>
                <w:u w:val="single"/>
                <w:lang w:val="en-US" w:eastAsia="zh-CN"/>
              </w:rPr>
              <w:t>2175</w:t>
            </w:r>
            <w:r>
              <w:rPr>
                <w:rFonts w:hint="eastAsia" w:ascii="宋体" w:hAnsi="宋体" w:eastAsia="宋体" w:cs="宋体"/>
                <w:color w:val="auto"/>
                <w:sz w:val="24"/>
                <w:szCs w:val="24"/>
                <w:highlight w:val="none"/>
                <w:u w:val="single"/>
              </w:rPr>
              <w:t>元（评审费另计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评审费以实际发生为准）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137C2019">
      <w:pPr>
        <w:keepNext w:val="0"/>
        <w:keepLines w:val="0"/>
        <w:pageBreakBefore w:val="0"/>
        <w:widowControl w:val="0"/>
        <w:kinsoku/>
        <w:overflowPunct/>
        <w:topLinePunct w:val="0"/>
        <w:autoSpaceDE/>
        <w:autoSpaceDN/>
        <w:bidi w:val="0"/>
        <w:adjustRightInd/>
        <w:snapToGrid/>
        <w:spacing w:line="440" w:lineRule="exact"/>
        <w:jc w:val="center"/>
        <w:textAlignment w:val="auto"/>
        <w:outlineLvl w:val="1"/>
        <w:rPr>
          <w:rFonts w:hint="eastAsia" w:asciiTheme="minorEastAsia" w:hAnsiTheme="minorEastAsia" w:eastAsiaTheme="minorEastAsia"/>
          <w:b/>
          <w:color w:val="auto"/>
          <w:sz w:val="24"/>
          <w:highlight w:val="none"/>
        </w:rPr>
      </w:pPr>
      <w:bookmarkStart w:id="34" w:name="_Toc24882"/>
      <w:bookmarkStart w:id="35"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1BE8119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4A35FA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70AE05D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2F40B43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569CE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keepNext w:val="0"/>
        <w:keepLines w:val="0"/>
        <w:pageBreakBefore w:val="0"/>
        <w:widowControl w:val="0"/>
        <w:kinsoku/>
        <w:overflowPunct/>
        <w:topLinePunct w:val="0"/>
        <w:autoSpaceDE/>
        <w:autoSpaceDN/>
        <w:bidi w:val="0"/>
        <w:adjustRightInd/>
        <w:snapToGrid/>
        <w:spacing w:line="440" w:lineRule="exact"/>
        <w:ind w:firstLine="437"/>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01F57CD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3E1281B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EDC9D1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6E52DF5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bookmarkStart w:id="39" w:name="_Toc518923100"/>
      <w:bookmarkStart w:id="40"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6114F49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bookmarkStart w:id="41" w:name="_Toc518923101"/>
      <w:bookmarkStart w:id="42" w:name="_Toc2583662"/>
      <w:r>
        <w:rPr>
          <w:rFonts w:hint="eastAsia" w:asciiTheme="minorEastAsia" w:hAnsiTheme="minorEastAsia" w:eastAsiaTheme="minorEastAsia"/>
          <w:b/>
          <w:color w:val="auto"/>
          <w:sz w:val="24"/>
          <w:highlight w:val="none"/>
        </w:rPr>
        <w:t>30.人员回避</w:t>
      </w:r>
      <w:bookmarkEnd w:id="41"/>
      <w:bookmarkEnd w:id="42"/>
    </w:p>
    <w:p w14:paraId="1C62FBF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43" w:name="_Toc10891"/>
      <w:r>
        <w:rPr>
          <w:rFonts w:hint="eastAsia" w:asciiTheme="minorEastAsia" w:hAnsiTheme="minorEastAsia" w:eastAsiaTheme="minorEastAsia"/>
          <w:b/>
          <w:color w:val="auto"/>
          <w:sz w:val="28"/>
          <w:highlight w:val="none"/>
        </w:rPr>
        <w:t>第三章  采购需求</w:t>
      </w:r>
      <w:bookmarkEnd w:id="43"/>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bookmarkStart w:id="44" w:name="_Toc2554"/>
      <w:bookmarkStart w:id="45" w:name="_Toc32151"/>
      <w:r>
        <w:rPr>
          <w:rFonts w:hint="eastAsia" w:ascii="宋体" w:hAnsi="宋体" w:eastAsia="宋体"/>
          <w:b/>
          <w:color w:val="auto"/>
          <w:sz w:val="24"/>
          <w:szCs w:val="18"/>
          <w:highlight w:val="none"/>
        </w:rPr>
        <w:t>一、采购需求前附表</w:t>
      </w:r>
      <w:bookmarkEnd w:id="44"/>
      <w:bookmarkEnd w:id="45"/>
    </w:p>
    <w:tbl>
      <w:tblPr>
        <w:tblStyle w:val="27"/>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097"/>
        <w:gridCol w:w="5953"/>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24"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3"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4"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383" w:type="pct"/>
            <w:vAlign w:val="center"/>
          </w:tcPr>
          <w:p w14:paraId="031DCA5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仿宋"/>
                <w:b w:val="0"/>
                <w:color w:val="auto"/>
                <w:sz w:val="24"/>
                <w:szCs w:val="20"/>
                <w:highlight w:val="none"/>
                <w:u w:val="single"/>
                <w:lang w:val="en-US"/>
              </w:rPr>
            </w:pPr>
            <w:r>
              <w:rPr>
                <w:rFonts w:hint="eastAsia" w:cs="Arial" w:asciiTheme="majorEastAsia" w:hAnsiTheme="majorEastAsia" w:eastAsiaTheme="majorEastAsia"/>
                <w:b/>
                <w:bCs/>
                <w:color w:val="auto"/>
                <w:kern w:val="2"/>
                <w:sz w:val="24"/>
                <w:szCs w:val="32"/>
                <w:highlight w:val="none"/>
                <w:lang w:val="en-US" w:eastAsia="zh-CN" w:bidi="ar-SA"/>
              </w:rPr>
              <w:t>合同签订后按需供货，货物到场后付至货物价款的50%，安装调试并正常使用后付至货物价款的 80%，货物经验收合格后付至货物价款的100%。</w:t>
            </w:r>
            <w:r>
              <w:rPr>
                <w:rFonts w:hint="eastAsia" w:cs="Arial" w:asciiTheme="majorEastAsia" w:hAnsiTheme="majorEastAsia" w:eastAsiaTheme="majorEastAsia"/>
                <w:b/>
                <w:bCs/>
                <w:color w:val="auto"/>
                <w:kern w:val="2"/>
                <w:sz w:val="24"/>
                <w:szCs w:val="32"/>
                <w:highlight w:val="none"/>
                <w:lang w:val="en-US" w:eastAsia="zh-CN" w:bidi="ar-SA"/>
              </w:rPr>
              <w:t>注：上述货物价款指每批次供货价款。</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24"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83" w:type="pct"/>
            <w:vAlign w:val="center"/>
          </w:tcPr>
          <w:p w14:paraId="0691E8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4"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83" w:type="pct"/>
            <w:vAlign w:val="center"/>
          </w:tcPr>
          <w:p w14:paraId="5CCA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宋体"/>
                <w:b/>
                <w:bCs w:val="0"/>
                <w:color w:val="auto"/>
                <w:kern w:val="0"/>
                <w:sz w:val="24"/>
                <w:szCs w:val="28"/>
                <w:highlight w:val="none"/>
                <w:lang w:val="en-US" w:eastAsia="zh-CN"/>
              </w:rPr>
            </w:pPr>
            <w:r>
              <w:rPr>
                <w:rFonts w:hint="eastAsia" w:ascii="宋体" w:hAnsi="宋体" w:eastAsia="宋体"/>
                <w:b/>
                <w:bCs w:val="0"/>
                <w:color w:val="auto"/>
                <w:kern w:val="0"/>
                <w:sz w:val="24"/>
                <w:szCs w:val="28"/>
                <w:highlight w:val="none"/>
                <w:lang w:val="en-US" w:eastAsia="zh-CN"/>
              </w:rPr>
              <w:t>本项目实行按需分批次供货。中标人应在收到采购人设备科通知之日起30个日历天内，按通知指定的货物数量、交付地点完成供货</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24"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bookmarkStart w:id="46" w:name="_Toc4843"/>
            <w:bookmarkStart w:id="47" w:name="_Toc7421"/>
            <w:r>
              <w:rPr>
                <w:rFonts w:hint="eastAsia" w:ascii="宋体" w:hAnsi="宋体" w:eastAsia="宋体"/>
                <w:bCs/>
                <w:color w:val="auto"/>
                <w:kern w:val="2"/>
                <w:highlight w:val="none"/>
              </w:rPr>
              <w:t>4</w:t>
            </w:r>
          </w:p>
        </w:tc>
        <w:tc>
          <w:tcPr>
            <w:tcW w:w="1192" w:type="pct"/>
            <w:vAlign w:val="center"/>
          </w:tcPr>
          <w:p w14:paraId="57CAAD16">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质保期限</w:t>
            </w:r>
          </w:p>
        </w:tc>
        <w:tc>
          <w:tcPr>
            <w:tcW w:w="3383" w:type="pct"/>
            <w:vAlign w:val="center"/>
          </w:tcPr>
          <w:p w14:paraId="155EFD43">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不少于叁年</w:t>
            </w:r>
          </w:p>
        </w:tc>
      </w:tr>
    </w:tbl>
    <w:p w14:paraId="7DB23368">
      <w:pPr>
        <w:keepNext w:val="0"/>
        <w:keepLines w:val="0"/>
        <w:pageBreakBefore w:val="0"/>
        <w:widowControl w:val="0"/>
        <w:numPr>
          <w:ilvl w:val="0"/>
          <w:numId w:val="0"/>
        </w:numPr>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cs="@仿宋_GB2312"/>
          <w:b/>
          <w:color w:val="auto"/>
          <w:kern w:val="2"/>
          <w:sz w:val="24"/>
          <w:szCs w:val="18"/>
          <w:highlight w:val="none"/>
          <w:lang w:val="en-US" w:eastAsia="zh-CN" w:bidi="ar-SA"/>
        </w:rPr>
        <w:t>二、</w:t>
      </w:r>
      <w:r>
        <w:rPr>
          <w:rFonts w:hint="eastAsia" w:ascii="宋体" w:hAnsi="宋体" w:eastAsia="宋体"/>
          <w:b/>
          <w:color w:val="auto"/>
          <w:sz w:val="24"/>
          <w:szCs w:val="18"/>
          <w:highlight w:val="none"/>
        </w:rPr>
        <w:t>货物需求</w:t>
      </w:r>
    </w:p>
    <w:p w14:paraId="386B0981">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货物所属行业：工业</w:t>
      </w:r>
    </w:p>
    <w:p w14:paraId="7D5862EA">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（一）、采购需求清单</w:t>
      </w:r>
    </w:p>
    <w:bookmarkEnd w:id="46"/>
    <w:bookmarkEnd w:id="47"/>
    <w:tbl>
      <w:tblPr>
        <w:tblStyle w:val="27"/>
        <w:tblW w:w="9441"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17"/>
        <w:gridCol w:w="750"/>
        <w:gridCol w:w="775"/>
        <w:gridCol w:w="1758"/>
        <w:gridCol w:w="1233"/>
        <w:gridCol w:w="2400"/>
      </w:tblGrid>
      <w:tr w14:paraId="6C3C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14:paraId="7D896333">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03B966D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62588BC">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单位</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2E6132D6">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49C5CB1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单价最高限价</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712EFABB">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lang w:eastAsia="zh-CN"/>
              </w:rPr>
            </w:pPr>
            <w:r>
              <w:rPr>
                <w:rFonts w:hint="eastAsia" w:ascii="宋体" w:hAnsi="宋体" w:eastAsia="宋体"/>
                <w:b/>
                <w:bCs/>
                <w:color w:val="auto"/>
                <w:sz w:val="24"/>
                <w:szCs w:val="18"/>
                <w:highlight w:val="none"/>
                <w:lang w:val="en-US" w:eastAsia="zh-CN"/>
              </w:rPr>
              <w:t>核心产品</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6D266E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备注</w:t>
            </w:r>
          </w:p>
        </w:tc>
      </w:tr>
      <w:tr w14:paraId="5F6A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14:paraId="21EEF31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38CA1E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壁挂式等离子体空气消毒机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A957F7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3F30F0C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524628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2450元</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05CAD1CA">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宋体" w:hAnsi="宋体" w:eastAsia="宋体"/>
                <w:b w:val="0"/>
                <w:bCs w:val="0"/>
                <w:color w:val="auto"/>
                <w:sz w:val="24"/>
                <w:szCs w:val="18"/>
                <w:highlight w:val="none"/>
                <w:lang w:val="en-US" w:eastAsia="zh-CN"/>
              </w:rPr>
            </w:pPr>
            <w:r>
              <w:rPr>
                <w:rFonts w:hint="eastAsia" w:ascii="宋体" w:hAnsi="宋体" w:eastAsia="宋体"/>
                <w:b/>
                <w:bCs/>
                <w:color w:val="auto"/>
                <w:sz w:val="24"/>
                <w:szCs w:val="18"/>
                <w:highlight w:val="none"/>
                <w:lang w:val="en-US" w:eastAsia="zh-CN"/>
              </w:rPr>
              <w:t>核心产品</w:t>
            </w:r>
          </w:p>
        </w:tc>
        <w:tc>
          <w:tcPr>
            <w:tcW w:w="2400" w:type="dxa"/>
            <w:vMerge w:val="restart"/>
            <w:tcBorders>
              <w:top w:val="single" w:color="auto" w:sz="4" w:space="0"/>
              <w:left w:val="single" w:color="auto" w:sz="4" w:space="0"/>
              <w:right w:val="single" w:color="auto" w:sz="4" w:space="0"/>
            </w:tcBorders>
            <w:noWrap w:val="0"/>
            <w:vAlign w:val="center"/>
          </w:tcPr>
          <w:p w14:paraId="3B101216">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分批次供货，每次按采购人通知指定的货物数量、交付地点完成供货。</w:t>
            </w:r>
          </w:p>
        </w:tc>
      </w:tr>
      <w:tr w14:paraId="647F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14:paraId="1D8DBFC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38DA3C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移动式等离子体空气消毒机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BD5BC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5D9FC74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375E18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4500元</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36A25F7F">
            <w:pPr>
              <w:keepNext w:val="0"/>
              <w:keepLines w:val="0"/>
              <w:pageBreakBefore w:val="0"/>
              <w:widowControl w:val="0"/>
              <w:kinsoku/>
              <w:overflowPunct/>
              <w:topLinePunct w:val="0"/>
              <w:autoSpaceDE/>
              <w:autoSpaceDN/>
              <w:bidi w:val="0"/>
              <w:adjustRightInd/>
              <w:snapToGrid/>
              <w:spacing w:line="400" w:lineRule="exact"/>
              <w:jc w:val="left"/>
              <w:textAlignment w:val="auto"/>
              <w:rPr>
                <w:rFonts w:hint="eastAsia" w:ascii="宋体" w:hAnsi="宋体" w:eastAsia="宋体"/>
                <w:b w:val="0"/>
                <w:bCs w:val="0"/>
                <w:color w:val="auto"/>
                <w:sz w:val="24"/>
                <w:szCs w:val="18"/>
                <w:highlight w:val="none"/>
                <w:lang w:val="en-US" w:eastAsia="zh-CN"/>
              </w:rPr>
            </w:pPr>
          </w:p>
        </w:tc>
        <w:tc>
          <w:tcPr>
            <w:tcW w:w="2400" w:type="dxa"/>
            <w:vMerge w:val="continue"/>
            <w:tcBorders>
              <w:left w:val="single" w:color="auto" w:sz="4" w:space="0"/>
              <w:bottom w:val="single" w:color="auto" w:sz="4" w:space="0"/>
              <w:right w:val="single" w:color="auto" w:sz="4" w:space="0"/>
            </w:tcBorders>
            <w:noWrap w:val="0"/>
            <w:vAlign w:val="center"/>
          </w:tcPr>
          <w:p w14:paraId="03C2D3E1">
            <w:pPr>
              <w:keepNext w:val="0"/>
              <w:keepLines w:val="0"/>
              <w:pageBreakBefore w:val="0"/>
              <w:widowControl w:val="0"/>
              <w:kinsoku/>
              <w:overflowPunct/>
              <w:topLinePunct w:val="0"/>
              <w:autoSpaceDE/>
              <w:autoSpaceDN/>
              <w:bidi w:val="0"/>
              <w:adjustRightInd/>
              <w:snapToGrid/>
              <w:spacing w:line="400" w:lineRule="exact"/>
              <w:jc w:val="left"/>
              <w:textAlignment w:val="auto"/>
              <w:rPr>
                <w:rFonts w:hint="eastAsia" w:ascii="宋体" w:hAnsi="宋体" w:eastAsia="宋体"/>
                <w:b w:val="0"/>
                <w:bCs w:val="0"/>
                <w:color w:val="auto"/>
                <w:sz w:val="24"/>
                <w:szCs w:val="18"/>
                <w:highlight w:val="none"/>
                <w:lang w:val="en-US" w:eastAsia="zh-CN"/>
              </w:rPr>
            </w:pPr>
          </w:p>
        </w:tc>
      </w:tr>
    </w:tbl>
    <w:p w14:paraId="2670BBF2">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cs="宋体"/>
          <w:b/>
          <w:bCs/>
          <w:color w:val="auto"/>
          <w:sz w:val="24"/>
          <w:szCs w:val="24"/>
          <w:highlight w:val="none"/>
        </w:rPr>
      </w:pPr>
      <w:r>
        <w:rPr>
          <w:rFonts w:hint="eastAsia" w:ascii="宋体" w:hAnsi="宋体" w:eastAsia="宋体"/>
          <w:b/>
          <w:bCs/>
          <w:color w:val="auto"/>
          <w:sz w:val="24"/>
          <w:szCs w:val="18"/>
          <w:highlight w:val="none"/>
        </w:rPr>
        <w:t>（二）</w:t>
      </w:r>
      <w:r>
        <w:rPr>
          <w:rFonts w:hint="eastAsia" w:ascii="宋体" w:hAnsi="宋体" w:eastAsia="宋体" w:cs="宋体"/>
          <w:b/>
          <w:bCs/>
          <w:color w:val="auto"/>
          <w:sz w:val="24"/>
          <w:szCs w:val="24"/>
          <w:highlight w:val="none"/>
        </w:rPr>
        <w:t>、</w:t>
      </w:r>
      <w:r>
        <w:rPr>
          <w:rFonts w:hint="eastAsia" w:ascii="宋体" w:hAnsi="宋体" w:eastAsia="宋体"/>
          <w:b/>
          <w:bCs/>
          <w:color w:val="auto"/>
          <w:sz w:val="24"/>
          <w:szCs w:val="18"/>
          <w:highlight w:val="none"/>
        </w:rPr>
        <w:t>技术参数要求</w:t>
      </w:r>
    </w:p>
    <w:p w14:paraId="719894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8" w:firstLineChars="161"/>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一、壁挂式等离子体空气消毒机技术参数要求</w:t>
      </w:r>
    </w:p>
    <w:p w14:paraId="443B2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产品具有消毒产品卫生安全评价报告，在全国消毒产品网上备案信息服务平台登记备案，</w:t>
      </w:r>
      <w:r>
        <w:rPr>
          <w:rFonts w:hint="eastAsia" w:ascii="宋体" w:hAnsi="宋体" w:eastAsia="宋体" w:cs="宋体"/>
          <w:b/>
          <w:bCs/>
          <w:color w:val="auto"/>
          <w:sz w:val="24"/>
          <w:szCs w:val="24"/>
          <w:highlight w:val="none"/>
          <w:lang w:val="en-US" w:eastAsia="zh-CN"/>
        </w:rPr>
        <w:t>投标时提供备案截图</w:t>
      </w:r>
      <w:r>
        <w:rPr>
          <w:rFonts w:hint="eastAsia" w:ascii="宋体" w:hAnsi="宋体" w:eastAsia="宋体" w:cs="宋体"/>
          <w:color w:val="auto"/>
          <w:sz w:val="24"/>
          <w:szCs w:val="24"/>
          <w:highlight w:val="none"/>
          <w:lang w:val="en-US" w:eastAsia="zh-CN"/>
        </w:rPr>
        <w:t>；消毒产品卫生安全评价报告中标后提供原件核查</w:t>
      </w:r>
      <w:r>
        <w:rPr>
          <w:rFonts w:hint="eastAsia" w:ascii="宋体" w:hAnsi="宋体" w:eastAsia="宋体" w:cs="宋体"/>
          <w:b/>
          <w:bCs/>
          <w:color w:val="auto"/>
          <w:sz w:val="24"/>
          <w:szCs w:val="24"/>
          <w:highlight w:val="none"/>
          <w:lang w:val="en-US" w:eastAsia="zh-CN"/>
        </w:rPr>
        <w:t>（投标时提供承诺书，格式自拟）</w:t>
      </w:r>
      <w:r>
        <w:rPr>
          <w:rFonts w:hint="eastAsia" w:ascii="宋体" w:hAnsi="宋体" w:eastAsia="宋体" w:cs="宋体"/>
          <w:color w:val="auto"/>
          <w:sz w:val="24"/>
          <w:szCs w:val="24"/>
          <w:highlight w:val="none"/>
          <w:lang w:val="en-US" w:eastAsia="zh-CN"/>
        </w:rPr>
        <w:t>。安装方式为壁挂式，最大适用房间体积：≥95m</w:t>
      </w:r>
      <w:r>
        <w:rPr>
          <w:rFonts w:hint="eastAsia" w:ascii="方正行楷简体" w:hAnsi="方正行楷简体" w:eastAsia="方正行楷简体" w:cs="方正行楷简体"/>
          <w:b w:val="0"/>
          <w:bCs w:val="0"/>
          <w:color w:val="auto"/>
          <w:sz w:val="28"/>
          <w:szCs w:val="28"/>
          <w:highlight w:val="none"/>
          <w:vertAlign w:val="superscript"/>
          <w:lang w:val="en-US" w:eastAsia="zh-CN"/>
        </w:rPr>
        <w:t>3</w:t>
      </w:r>
      <w:r>
        <w:rPr>
          <w:rFonts w:hint="eastAsia" w:ascii="宋体" w:hAnsi="宋体" w:eastAsia="宋体" w:cs="宋体"/>
          <w:color w:val="auto"/>
          <w:sz w:val="24"/>
          <w:szCs w:val="24"/>
          <w:highlight w:val="none"/>
          <w:lang w:val="en-US" w:eastAsia="zh-CN"/>
        </w:rPr>
        <w:t>，可在有人状态下运行，且对人体没有任何伤害。设备设计使用年限：≥8年，</w:t>
      </w:r>
      <w:r>
        <w:rPr>
          <w:rFonts w:hint="eastAsia" w:ascii="宋体" w:hAnsi="宋体" w:eastAsia="宋体" w:cs="宋体"/>
          <w:b/>
          <w:bCs/>
          <w:color w:val="auto"/>
          <w:sz w:val="24"/>
          <w:szCs w:val="24"/>
          <w:highlight w:val="none"/>
          <w:lang w:val="en-US" w:eastAsia="zh-CN"/>
        </w:rPr>
        <w:t>投标时提供证明材料，以所投机型说明书/铭牌上或加盖厂家公章的技术白皮书上标注的为准</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（以上不满足或未按要求提供材料的，则按投标无效处理。）</w:t>
      </w:r>
    </w:p>
    <w:p w14:paraId="7CDDA5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1、额定循环风量：≥900 m</w:t>
      </w:r>
      <w:r>
        <w:rPr>
          <w:rFonts w:hint="eastAsia" w:ascii="方正行楷简体" w:hAnsi="方正行楷简体" w:eastAsia="方正行楷简体" w:cs="方正行楷简体"/>
          <w:b w:val="0"/>
          <w:bCs w:val="0"/>
          <w:color w:val="auto"/>
          <w:sz w:val="28"/>
          <w:szCs w:val="28"/>
          <w:highlight w:val="none"/>
          <w:vertAlign w:val="superscript"/>
          <w:lang w:val="en-US" w:eastAsia="zh-CN"/>
        </w:rPr>
        <w:t>3</w:t>
      </w:r>
      <w:r>
        <w:rPr>
          <w:rFonts w:hint="eastAsia" w:ascii="宋体" w:hAnsi="宋体" w:eastAsia="宋体" w:cs="宋体"/>
          <w:color w:val="auto"/>
          <w:sz w:val="24"/>
          <w:szCs w:val="24"/>
          <w:highlight w:val="none"/>
          <w:lang w:val="en-US" w:eastAsia="zh-CN"/>
        </w:rPr>
        <w:t>/h</w:t>
      </w:r>
    </w:p>
    <w:p w14:paraId="689448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2、运行噪声：≤58dB</w:t>
      </w:r>
    </w:p>
    <w:p w14:paraId="5226F5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3、等离子体发生器电场强度：≥7900V，</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lang w:val="en-US" w:eastAsia="zh-CN"/>
        </w:rPr>
        <w:t>提供第三方检测报告。</w:t>
      </w:r>
    </w:p>
    <w:p w14:paraId="7D7390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4、等离子体发生器及高压电源寿命MTBF≥50000小时，</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lang w:val="en-US" w:eastAsia="zh-CN"/>
        </w:rPr>
        <w:t>提供第三方检测报告。</w:t>
      </w:r>
    </w:p>
    <w:p w14:paraId="58FB91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5、等离子发生器IP防护等级≥IPX2，且试验后不影响设备正常操作，</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lang w:val="en-US" w:eastAsia="zh-CN"/>
        </w:rPr>
        <w:t>提供第三方检测报告。</w:t>
      </w:r>
    </w:p>
    <w:p w14:paraId="08BFEC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6、等离子发生器经过高温试验测试：温度≥55℃下存放2h仍能正常工作，符合GB/T2423.2 标准要求，</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lang w:val="en-US" w:eastAsia="zh-CN"/>
        </w:rPr>
        <w:t>提供第三方检测报告。</w:t>
      </w:r>
    </w:p>
    <w:p w14:paraId="55EDFC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7、颗粒物(≤0.5μm）去除率≥99.99%，</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lang w:val="en-US" w:eastAsia="zh-CN"/>
        </w:rPr>
        <w:t>提供全国消毒产品网上备案信息服务平台登记备案可查检测报告。</w:t>
      </w:r>
    </w:p>
    <w:p w14:paraId="68C926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8、气雾室细菌消毒1小时的杀灭率均≥99.99%，空气含菌量≤14cfu/m³，消毒指标须符合《消毒技术规范》（卫生部2002版）、《WS/T368医院空气净化管理规范》。</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lang w:val="en-US" w:eastAsia="zh-CN"/>
        </w:rPr>
        <w:t>提供全国消毒产品网上备案信息服务平台登记备案可查检测报告。</w:t>
      </w:r>
    </w:p>
    <w:p w14:paraId="600DB7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9、▲≥95m³空间消毒1小时，空气中臭氧浓度：≤0.003mg/m³，投标时</w:t>
      </w:r>
      <w:r>
        <w:rPr>
          <w:rFonts w:hint="eastAsia" w:ascii="宋体" w:hAnsi="宋体" w:eastAsia="宋体" w:cs="宋体"/>
          <w:b/>
          <w:bCs/>
          <w:color w:val="auto"/>
          <w:sz w:val="24"/>
          <w:szCs w:val="24"/>
          <w:highlight w:val="none"/>
          <w:lang w:val="en-US" w:eastAsia="zh-CN"/>
        </w:rPr>
        <w:t>提供第三方检测报告。</w:t>
      </w:r>
    </w:p>
    <w:p w14:paraId="2AB20A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设备在20m³气雾室运行30分钟对大肠杆菌、铜假绿单胞菌、龟分枝杆菌、黑曲霉菌、肺炎克雷伯氏菌的去除率均≥99.9%，消毒指标须符合《消毒技术规范》（卫生部2002版）、《WS/T368医院空气净化管理规范》。</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lang w:val="en-US" w:eastAsia="zh-CN"/>
        </w:rPr>
        <w:t xml:space="preserve">提供第三方检测报告。 </w:t>
      </w:r>
    </w:p>
    <w:p w14:paraId="562A73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11、▲设备在20m³气雾室运行30分钟对流感病毒H3N2、冠状病毒HCoV-OC43、肠道病毒EV71的去除率均≥99.9% ，消毒指标须符合《消毒技术规范》（卫生部2002版）、《WS/T368医院空气净化管理规范》。</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lang w:val="en-US" w:eastAsia="zh-CN"/>
        </w:rPr>
        <w:t>提供第三方检测报告</w:t>
      </w:r>
    </w:p>
    <w:p w14:paraId="4338A6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12、▲设备在≥95m³空间中运行60分钟后空间洁净度不低于十万级，</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lang w:val="en-US" w:eastAsia="zh-CN"/>
        </w:rPr>
        <w:t>提供第三方检测报告。</w:t>
      </w:r>
    </w:p>
    <w:p w14:paraId="048F59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13、▲采用优质镀锌钢板，防老化、防自燃，上进风下出风结构，面板为一体可上翻式结构，方便维修</w:t>
      </w:r>
    </w:p>
    <w:p w14:paraId="0C2B50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14、▲风量可调，出风风口方向可调 。远红外线遥控，一键锁定功能，防止误操作</w:t>
      </w:r>
    </w:p>
    <w:p w14:paraId="497426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15、▲遥控器配有磁性装置，可吸附于机身或金属物体表面，不易丢失。配有手动、预约模式，可随时开机进行消毒，紧急处理室内感染问题</w:t>
      </w:r>
    </w:p>
    <w:p w14:paraId="38F7C4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16、预约模式能够实现不少于每天六个时段的预约开关机，且每个时段时长均可进行设置。</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lang w:val="en-US" w:eastAsia="zh-CN"/>
        </w:rPr>
        <w:t>提供证明材料。</w:t>
      </w:r>
    </w:p>
    <w:p w14:paraId="5D84A2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17、具备工作时间自动累计功能，清洗维护自动提醒功能</w:t>
      </w:r>
    </w:p>
    <w:p w14:paraId="678ECF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18、液晶显示屏：中文实时显示温湿度等信息</w:t>
      </w:r>
    </w:p>
    <w:p w14:paraId="29FFEB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19、故障报警：等离子体杀菌净化模块故障报警、风机、温湿度、通讯故障报警功能</w:t>
      </w:r>
    </w:p>
    <w:p w14:paraId="30C951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20、安全保障：打开面板维护设备时自动断电保护，设备自带备用保险管</w:t>
      </w:r>
    </w:p>
    <w:p w14:paraId="1B3780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21、设备可选配WiFi物联网功能，手机端独立APP控制 </w:t>
      </w:r>
    </w:p>
    <w:p w14:paraId="47B78A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22、产品控制系统具有计算机软件著作权登记证书，</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lang w:val="en-US" w:eastAsia="zh-CN"/>
        </w:rPr>
        <w:t>提供证明文件。</w:t>
      </w:r>
    </w:p>
    <w:p w14:paraId="18082F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8" w:firstLineChars="161"/>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二、移动式等离子体空气消毒机技术参数要求</w:t>
      </w:r>
    </w:p>
    <w:p w14:paraId="770E76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产品具有消毒产品卫生安全评价报告，在全国消毒产品网上备案信息服务平台登记备案，</w:t>
      </w:r>
      <w:r>
        <w:rPr>
          <w:rFonts w:hint="eastAsia" w:ascii="宋体" w:hAnsi="宋体" w:eastAsia="宋体" w:cs="宋体"/>
          <w:b/>
          <w:bCs/>
          <w:color w:val="auto"/>
          <w:sz w:val="24"/>
          <w:szCs w:val="24"/>
          <w:highlight w:val="none"/>
          <w:lang w:val="en-US" w:eastAsia="zh-CN"/>
        </w:rPr>
        <w:t>投标时提供备案截图</w:t>
      </w:r>
      <w:r>
        <w:rPr>
          <w:rFonts w:hint="eastAsia" w:ascii="宋体" w:hAnsi="宋体" w:eastAsia="宋体" w:cs="宋体"/>
          <w:color w:val="auto"/>
          <w:sz w:val="24"/>
          <w:szCs w:val="24"/>
          <w:highlight w:val="none"/>
          <w:lang w:val="en-US" w:eastAsia="zh-CN"/>
        </w:rPr>
        <w:t>；消毒产品卫生安全评价报告中标后提供原件核查</w:t>
      </w:r>
      <w:r>
        <w:rPr>
          <w:rFonts w:hint="eastAsia" w:ascii="宋体" w:hAnsi="宋体" w:eastAsia="宋体" w:cs="宋体"/>
          <w:b/>
          <w:bCs/>
          <w:color w:val="auto"/>
          <w:sz w:val="24"/>
          <w:szCs w:val="24"/>
          <w:highlight w:val="none"/>
          <w:lang w:val="en-US" w:eastAsia="zh-CN"/>
        </w:rPr>
        <w:t>（投标时提供承诺书，格式自拟）</w:t>
      </w:r>
      <w:r>
        <w:rPr>
          <w:rFonts w:hint="eastAsia" w:ascii="宋体" w:hAnsi="宋体" w:eastAsia="宋体" w:cs="宋体"/>
          <w:color w:val="auto"/>
          <w:sz w:val="24"/>
          <w:szCs w:val="24"/>
          <w:highlight w:val="none"/>
          <w:lang w:val="en-US" w:eastAsia="zh-CN"/>
        </w:rPr>
        <w:t>。自由移动式等离子体空气消毒机，最大适用房间体积：≥95 m</w:t>
      </w:r>
      <w:r>
        <w:rPr>
          <w:rFonts w:hint="eastAsia" w:ascii="方正行楷简体" w:hAnsi="方正行楷简体" w:eastAsia="方正行楷简体" w:cs="方正行楷简体"/>
          <w:b w:val="0"/>
          <w:bCs w:val="0"/>
          <w:color w:val="auto"/>
          <w:sz w:val="28"/>
          <w:szCs w:val="28"/>
          <w:highlight w:val="none"/>
          <w:vertAlign w:val="superscript"/>
          <w:lang w:val="en-US" w:eastAsia="zh-CN"/>
        </w:rPr>
        <w:t>3</w:t>
      </w:r>
      <w:r>
        <w:rPr>
          <w:rFonts w:hint="eastAsia" w:ascii="宋体" w:hAnsi="宋体" w:eastAsia="宋体" w:cs="宋体"/>
          <w:color w:val="auto"/>
          <w:sz w:val="24"/>
          <w:szCs w:val="24"/>
          <w:highlight w:val="none"/>
          <w:lang w:val="en-US" w:eastAsia="zh-CN"/>
        </w:rPr>
        <w:t>，可在有人状态下运行，且对人体没有任何伤害。设备设计使用年限：≥8年，</w:t>
      </w:r>
      <w:r>
        <w:rPr>
          <w:rFonts w:hint="eastAsia" w:ascii="宋体" w:hAnsi="宋体" w:eastAsia="宋体" w:cs="宋体"/>
          <w:b/>
          <w:bCs/>
          <w:color w:val="auto"/>
          <w:sz w:val="24"/>
          <w:szCs w:val="24"/>
          <w:highlight w:val="none"/>
          <w:lang w:val="en-US" w:eastAsia="zh-CN"/>
        </w:rPr>
        <w:t>投标时提供证明材料，以所投机型说明书/铭牌上或加盖厂家公章的技术白皮书上标注的为准</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（以上不满足或未按要求提供材料的，则按投标无效处理）</w:t>
      </w:r>
    </w:p>
    <w:p w14:paraId="0E4E9B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1、额定循环风量：≥900 m</w:t>
      </w:r>
      <w:r>
        <w:rPr>
          <w:rFonts w:hint="eastAsia" w:ascii="方正行楷简体" w:hAnsi="方正行楷简体" w:eastAsia="方正行楷简体" w:cs="方正行楷简体"/>
          <w:b w:val="0"/>
          <w:bCs w:val="0"/>
          <w:color w:val="auto"/>
          <w:sz w:val="28"/>
          <w:szCs w:val="28"/>
          <w:highlight w:val="none"/>
          <w:vertAlign w:val="superscript"/>
          <w:lang w:val="en-US" w:eastAsia="zh-CN"/>
        </w:rPr>
        <w:t>3</w:t>
      </w:r>
      <w:r>
        <w:rPr>
          <w:rFonts w:hint="eastAsia" w:ascii="宋体" w:hAnsi="宋体" w:eastAsia="宋体" w:cs="宋体"/>
          <w:color w:val="auto"/>
          <w:sz w:val="24"/>
          <w:szCs w:val="24"/>
          <w:highlight w:val="none"/>
          <w:lang w:val="en-US" w:eastAsia="zh-CN"/>
        </w:rPr>
        <w:t>/h</w:t>
      </w:r>
    </w:p>
    <w:p w14:paraId="1652CF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2、运行噪声：≤58dB</w:t>
      </w:r>
    </w:p>
    <w:p w14:paraId="19F21F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3、等离子体发生器电场强度：≥7900V，</w:t>
      </w:r>
      <w:r>
        <w:rPr>
          <w:rFonts w:hint="eastAsia" w:ascii="宋体" w:hAnsi="宋体" w:eastAsia="宋体" w:cs="宋体"/>
          <w:b/>
          <w:bCs/>
          <w:color w:val="auto"/>
          <w:kern w:val="2"/>
          <w:sz w:val="24"/>
          <w:szCs w:val="24"/>
          <w:highlight w:val="none"/>
        </w:rPr>
        <w:t>投标时</w:t>
      </w:r>
      <w:r>
        <w:rPr>
          <w:rFonts w:hint="eastAsia" w:ascii="宋体" w:hAnsi="宋体" w:eastAsia="宋体" w:cs="宋体"/>
          <w:b/>
          <w:bCs/>
          <w:color w:val="auto"/>
          <w:sz w:val="24"/>
          <w:szCs w:val="24"/>
          <w:highlight w:val="none"/>
          <w:lang w:val="en-US" w:eastAsia="zh-CN"/>
        </w:rPr>
        <w:t>提供第三方检测报告</w:t>
      </w:r>
    </w:p>
    <w:p w14:paraId="4218E8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4、等离子体发生器及高压电源寿命MTBF≥50000小时，</w:t>
      </w:r>
      <w:r>
        <w:rPr>
          <w:rFonts w:hint="eastAsia" w:ascii="宋体" w:hAnsi="宋体" w:eastAsia="宋体" w:cs="宋体"/>
          <w:b/>
          <w:bCs/>
          <w:color w:val="auto"/>
          <w:kern w:val="2"/>
          <w:sz w:val="24"/>
          <w:szCs w:val="24"/>
          <w:highlight w:val="none"/>
        </w:rPr>
        <w:t>投标时</w:t>
      </w:r>
      <w:r>
        <w:rPr>
          <w:rFonts w:hint="eastAsia" w:ascii="宋体" w:hAnsi="宋体" w:eastAsia="宋体" w:cs="宋体"/>
          <w:b/>
          <w:bCs/>
          <w:color w:val="auto"/>
          <w:sz w:val="24"/>
          <w:szCs w:val="24"/>
          <w:highlight w:val="none"/>
          <w:lang w:val="en-US" w:eastAsia="zh-CN"/>
        </w:rPr>
        <w:t>提供第三方检测报告</w:t>
      </w:r>
      <w:r>
        <w:rPr>
          <w:rFonts w:hint="eastAsia" w:ascii="宋体" w:hAnsi="宋体" w:eastAsia="宋体" w:cs="宋体"/>
          <w:color w:val="auto"/>
          <w:sz w:val="24"/>
          <w:szCs w:val="24"/>
          <w:highlight w:val="none"/>
          <w:lang w:val="en-US" w:eastAsia="zh-CN"/>
        </w:rPr>
        <w:t>。</w:t>
      </w:r>
    </w:p>
    <w:p w14:paraId="6F0A1B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5、等离子发生器IP防护等级≥IPX2，且试验后不影响设备正常操作，</w:t>
      </w:r>
      <w:r>
        <w:rPr>
          <w:rFonts w:hint="eastAsia" w:ascii="宋体" w:hAnsi="宋体" w:eastAsia="宋体" w:cs="宋体"/>
          <w:b/>
          <w:bCs/>
          <w:color w:val="auto"/>
          <w:kern w:val="2"/>
          <w:sz w:val="24"/>
          <w:szCs w:val="24"/>
          <w:highlight w:val="none"/>
        </w:rPr>
        <w:t>投标时</w:t>
      </w:r>
      <w:r>
        <w:rPr>
          <w:rFonts w:hint="eastAsia" w:ascii="宋体" w:hAnsi="宋体" w:eastAsia="宋体" w:cs="宋体"/>
          <w:b/>
          <w:bCs/>
          <w:color w:val="auto"/>
          <w:sz w:val="24"/>
          <w:szCs w:val="24"/>
          <w:highlight w:val="none"/>
          <w:lang w:val="en-US" w:eastAsia="zh-CN"/>
        </w:rPr>
        <w:t>提供第三方检测报告</w:t>
      </w:r>
      <w:r>
        <w:rPr>
          <w:rFonts w:hint="eastAsia" w:ascii="宋体" w:hAnsi="宋体" w:eastAsia="宋体" w:cs="宋体"/>
          <w:color w:val="auto"/>
          <w:sz w:val="24"/>
          <w:szCs w:val="24"/>
          <w:highlight w:val="none"/>
          <w:lang w:val="en-US" w:eastAsia="zh-CN"/>
        </w:rPr>
        <w:t>。</w:t>
      </w:r>
    </w:p>
    <w:p w14:paraId="778DEC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6、等离子发生器经过高温试验测试：温度≥55℃下存放2h仍能正常工作，符合GB/T2423.2 标准要求，</w:t>
      </w:r>
      <w:r>
        <w:rPr>
          <w:rFonts w:hint="eastAsia" w:ascii="宋体" w:hAnsi="宋体" w:eastAsia="宋体" w:cs="宋体"/>
          <w:b/>
          <w:bCs/>
          <w:color w:val="auto"/>
          <w:kern w:val="2"/>
          <w:sz w:val="24"/>
          <w:szCs w:val="24"/>
          <w:highlight w:val="none"/>
        </w:rPr>
        <w:t>投标时</w:t>
      </w:r>
      <w:r>
        <w:rPr>
          <w:rFonts w:hint="eastAsia" w:ascii="宋体" w:hAnsi="宋体" w:eastAsia="宋体" w:cs="宋体"/>
          <w:b/>
          <w:bCs/>
          <w:color w:val="auto"/>
          <w:sz w:val="24"/>
          <w:szCs w:val="24"/>
          <w:highlight w:val="none"/>
          <w:lang w:val="en-US" w:eastAsia="zh-CN"/>
        </w:rPr>
        <w:t>提供第三方检测报告</w:t>
      </w:r>
      <w:r>
        <w:rPr>
          <w:rFonts w:hint="eastAsia" w:ascii="宋体" w:hAnsi="宋体" w:eastAsia="宋体" w:cs="宋体"/>
          <w:color w:val="auto"/>
          <w:sz w:val="24"/>
          <w:szCs w:val="24"/>
          <w:highlight w:val="none"/>
          <w:lang w:val="en-US" w:eastAsia="zh-CN"/>
        </w:rPr>
        <w:t>。</w:t>
      </w:r>
    </w:p>
    <w:p w14:paraId="5778ED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7、颗粒物(≤0.5μm）去除率≥99.99%，</w:t>
      </w:r>
      <w:r>
        <w:rPr>
          <w:rFonts w:hint="eastAsia" w:ascii="宋体" w:hAnsi="宋体" w:eastAsia="宋体" w:cs="宋体"/>
          <w:b/>
          <w:bCs/>
          <w:color w:val="auto"/>
          <w:kern w:val="2"/>
          <w:sz w:val="24"/>
          <w:szCs w:val="24"/>
          <w:highlight w:val="none"/>
        </w:rPr>
        <w:t>投标时</w:t>
      </w:r>
      <w:r>
        <w:rPr>
          <w:rFonts w:hint="eastAsia" w:ascii="宋体" w:hAnsi="宋体" w:eastAsia="宋体" w:cs="宋体"/>
          <w:b/>
          <w:bCs/>
          <w:color w:val="auto"/>
          <w:sz w:val="24"/>
          <w:szCs w:val="24"/>
          <w:highlight w:val="none"/>
          <w:lang w:val="en-US" w:eastAsia="zh-CN"/>
        </w:rPr>
        <w:t>提供全国消毒产品网上备案信息服务平台登记备案可查检测报告。</w:t>
      </w:r>
    </w:p>
    <w:p w14:paraId="4642D2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8、气雾室细菌消毒1小时的杀灭率均≥99.99%，空气含菌量≤14cfu/m³，消毒指标须符合《消毒技术规范》（卫生部2002版）、《WS/T368医院空气净化管理规范》。</w:t>
      </w:r>
      <w:r>
        <w:rPr>
          <w:rFonts w:hint="eastAsia" w:ascii="宋体" w:hAnsi="宋体" w:eastAsia="宋体" w:cs="宋体"/>
          <w:b/>
          <w:bCs/>
          <w:color w:val="auto"/>
          <w:kern w:val="2"/>
          <w:sz w:val="24"/>
          <w:szCs w:val="24"/>
          <w:highlight w:val="none"/>
        </w:rPr>
        <w:t>投标时</w:t>
      </w:r>
      <w:r>
        <w:rPr>
          <w:rFonts w:hint="eastAsia" w:ascii="宋体" w:hAnsi="宋体" w:eastAsia="宋体" w:cs="宋体"/>
          <w:b/>
          <w:bCs/>
          <w:color w:val="auto"/>
          <w:sz w:val="24"/>
          <w:szCs w:val="24"/>
          <w:highlight w:val="none"/>
          <w:lang w:val="en-US" w:eastAsia="zh-CN"/>
        </w:rPr>
        <w:t>提供全国消毒产品网上备案信息服务平台登记备案可查检测报告。</w:t>
      </w:r>
    </w:p>
    <w:p w14:paraId="672765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9、▲≥95m³空间消毒1小时，空气中臭氧浓度：≤0.003mg/m³，</w:t>
      </w:r>
      <w:r>
        <w:rPr>
          <w:rFonts w:hint="eastAsia" w:ascii="宋体" w:hAnsi="宋体" w:eastAsia="宋体" w:cs="宋体"/>
          <w:b/>
          <w:bCs/>
          <w:color w:val="auto"/>
          <w:kern w:val="2"/>
          <w:sz w:val="24"/>
          <w:szCs w:val="24"/>
          <w:highlight w:val="none"/>
        </w:rPr>
        <w:t>投标时</w:t>
      </w:r>
      <w:r>
        <w:rPr>
          <w:rFonts w:hint="eastAsia" w:ascii="宋体" w:hAnsi="宋体" w:eastAsia="宋体" w:cs="宋体"/>
          <w:b/>
          <w:bCs/>
          <w:color w:val="auto"/>
          <w:sz w:val="24"/>
          <w:szCs w:val="24"/>
          <w:highlight w:val="none"/>
          <w:lang w:val="en-US" w:eastAsia="zh-CN"/>
        </w:rPr>
        <w:t>提供第三方检测报告。</w:t>
      </w:r>
    </w:p>
    <w:p w14:paraId="2943B1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设备在20m³气雾室运行30分钟对大肠杆菌、铜假绿单胞菌、龟分枝杆菌、黑曲霉菌、肺炎克雷伯氏菌的去除率均≥99.9%，消毒指标须符合《消毒技术规范》（卫生部2002版）、《WS/T368医院空气净化管理规范》。</w:t>
      </w:r>
      <w:r>
        <w:rPr>
          <w:rFonts w:hint="eastAsia" w:ascii="宋体" w:hAnsi="宋体" w:eastAsia="宋体" w:cs="宋体"/>
          <w:b/>
          <w:bCs/>
          <w:color w:val="auto"/>
          <w:kern w:val="2"/>
          <w:sz w:val="24"/>
          <w:szCs w:val="24"/>
          <w:highlight w:val="none"/>
        </w:rPr>
        <w:t>投标时</w:t>
      </w:r>
      <w:r>
        <w:rPr>
          <w:rFonts w:hint="eastAsia" w:ascii="宋体" w:hAnsi="宋体" w:eastAsia="宋体" w:cs="宋体"/>
          <w:b/>
          <w:bCs/>
          <w:color w:val="auto"/>
          <w:sz w:val="24"/>
          <w:szCs w:val="24"/>
          <w:highlight w:val="none"/>
          <w:lang w:val="en-US" w:eastAsia="zh-CN"/>
        </w:rPr>
        <w:t xml:space="preserve">提供第三方检测报告。 </w:t>
      </w:r>
    </w:p>
    <w:p w14:paraId="20F808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11、▲设备在20m³气雾室运行30分钟对流感病毒H3N2、冠状病毒HCoV-OC43、肠道病毒EV71的去除率均≥99.9% ，消毒指标须符合《消毒技术规范》（卫生部2002版）、《WS/T368医院空气净化管理规范》。</w:t>
      </w:r>
      <w:r>
        <w:rPr>
          <w:rFonts w:hint="eastAsia" w:ascii="宋体" w:hAnsi="宋体" w:eastAsia="宋体" w:cs="宋体"/>
          <w:b/>
          <w:bCs/>
          <w:color w:val="auto"/>
          <w:kern w:val="2"/>
          <w:sz w:val="24"/>
          <w:szCs w:val="24"/>
          <w:highlight w:val="none"/>
        </w:rPr>
        <w:t>投标时</w:t>
      </w:r>
      <w:r>
        <w:rPr>
          <w:rFonts w:hint="eastAsia" w:ascii="宋体" w:hAnsi="宋体" w:eastAsia="宋体" w:cs="宋体"/>
          <w:b/>
          <w:bCs/>
          <w:color w:val="auto"/>
          <w:sz w:val="24"/>
          <w:szCs w:val="24"/>
          <w:highlight w:val="none"/>
          <w:lang w:val="en-US" w:eastAsia="zh-CN"/>
        </w:rPr>
        <w:t xml:space="preserve">提供第三方检测报告。 </w:t>
      </w:r>
    </w:p>
    <w:p w14:paraId="3E3214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12、▲设备在≥95m³空间中运行60分钟后空间洁净度不低于十万级，</w:t>
      </w:r>
      <w:r>
        <w:rPr>
          <w:rFonts w:hint="eastAsia" w:ascii="宋体" w:hAnsi="宋体" w:eastAsia="宋体" w:cs="宋体"/>
          <w:b/>
          <w:bCs/>
          <w:color w:val="auto"/>
          <w:kern w:val="2"/>
          <w:sz w:val="24"/>
          <w:szCs w:val="24"/>
          <w:highlight w:val="none"/>
        </w:rPr>
        <w:t>投标时</w:t>
      </w:r>
      <w:r>
        <w:rPr>
          <w:rFonts w:hint="eastAsia" w:ascii="宋体" w:hAnsi="宋体" w:eastAsia="宋体" w:cs="宋体"/>
          <w:b/>
          <w:bCs/>
          <w:color w:val="auto"/>
          <w:sz w:val="24"/>
          <w:szCs w:val="24"/>
          <w:highlight w:val="none"/>
          <w:lang w:val="en-US" w:eastAsia="zh-CN"/>
        </w:rPr>
        <w:t>提供第三方检测报告。</w:t>
      </w:r>
      <w:r>
        <w:rPr>
          <w:rFonts w:hint="eastAsia" w:ascii="宋体" w:hAnsi="宋体" w:eastAsia="宋体" w:cs="宋体"/>
          <w:color w:val="auto"/>
          <w:sz w:val="24"/>
          <w:szCs w:val="24"/>
          <w:highlight w:val="none"/>
          <w:lang w:val="en-US" w:eastAsia="zh-CN"/>
        </w:rPr>
        <w:t xml:space="preserve"> </w:t>
      </w:r>
    </w:p>
    <w:p w14:paraId="473118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13、▲采用优质镀锌钢板，防老化、防自燃，风口设计合理，方便维修。</w:t>
      </w:r>
    </w:p>
    <w:p w14:paraId="7FC4B2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14、▲风量可调，出风风口方向可调 。远红外线遥控，一键锁定功能，防止误操作</w:t>
      </w:r>
    </w:p>
    <w:p w14:paraId="391FA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15、▲遥控器配有磁性装置，可吸附于机身或金属物体表面，不易丢失。配有手动、预约模式，可随时开机进行消毒，可紧急处理室内感染问题</w:t>
      </w:r>
    </w:p>
    <w:p w14:paraId="54BA38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16、预约模式能够实现不少于每天六个时段的预约开关机，且每个时段时长均可进行设置。</w:t>
      </w:r>
      <w:r>
        <w:rPr>
          <w:rFonts w:hint="eastAsia" w:ascii="宋体" w:hAnsi="宋体" w:eastAsia="宋体" w:cs="宋体"/>
          <w:b/>
          <w:bCs/>
          <w:color w:val="auto"/>
          <w:kern w:val="2"/>
          <w:sz w:val="24"/>
          <w:szCs w:val="24"/>
          <w:highlight w:val="none"/>
        </w:rPr>
        <w:t>投标时</w:t>
      </w:r>
      <w:r>
        <w:rPr>
          <w:rFonts w:hint="eastAsia" w:ascii="宋体" w:hAnsi="宋体" w:eastAsia="宋体" w:cs="宋体"/>
          <w:b/>
          <w:bCs/>
          <w:color w:val="auto"/>
          <w:sz w:val="24"/>
          <w:szCs w:val="24"/>
          <w:highlight w:val="none"/>
          <w:lang w:val="en-US" w:eastAsia="zh-CN"/>
        </w:rPr>
        <w:t>提供证明材料。</w:t>
      </w:r>
    </w:p>
    <w:p w14:paraId="0D216A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17、工作时间自动累计功能，清洗维护自动提醒功能。</w:t>
      </w:r>
    </w:p>
    <w:p w14:paraId="2A0CC3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18、液晶显示屏：中文实时显示温湿度等信息。</w:t>
      </w:r>
    </w:p>
    <w:p w14:paraId="1C4DAF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19、故障报警：等离子体杀菌净化模块故障报警、风机、温湿度、通讯故障报警功能。</w:t>
      </w:r>
    </w:p>
    <w:p w14:paraId="03704D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20、安全保障：打开面板维护设备时自动断电保护，设备自带备用保险管。</w:t>
      </w:r>
    </w:p>
    <w:p w14:paraId="4C304B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21、设备可选配WiFi物联网功能，手机端独立APP控制。</w:t>
      </w:r>
    </w:p>
    <w:p w14:paraId="314AD8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22、脚轮：静音带刹车防绕耐磨万向脚轮。</w:t>
      </w:r>
    </w:p>
    <w:p w14:paraId="5FE944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6" w:firstLineChars="16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23、产品控制系统具有计算机软件著作权登记证书，</w:t>
      </w:r>
      <w:r>
        <w:rPr>
          <w:rFonts w:hint="eastAsia" w:ascii="宋体" w:hAnsi="宋体" w:eastAsia="宋体" w:cs="宋体"/>
          <w:b/>
          <w:bCs/>
          <w:color w:val="auto"/>
          <w:kern w:val="2"/>
          <w:sz w:val="24"/>
          <w:szCs w:val="24"/>
          <w:highlight w:val="none"/>
        </w:rPr>
        <w:t>投标时</w:t>
      </w:r>
      <w:r>
        <w:rPr>
          <w:rFonts w:hint="eastAsia" w:ascii="宋体" w:hAnsi="宋体" w:eastAsia="宋体" w:cs="宋体"/>
          <w:b/>
          <w:bCs/>
          <w:color w:val="auto"/>
          <w:sz w:val="24"/>
          <w:szCs w:val="24"/>
          <w:highlight w:val="none"/>
          <w:lang w:val="en-US" w:eastAsia="zh-CN"/>
        </w:rPr>
        <w:t>提供证明文件。</w:t>
      </w:r>
    </w:p>
    <w:p w14:paraId="54A1BE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61"/>
        <w:textAlignment w:val="auto"/>
        <w:rPr>
          <w:rFonts w:hint="default"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注：1.《WS/T368医院空气净化管理规范》须为2012年及以后版本。</w:t>
      </w:r>
    </w:p>
    <w:p w14:paraId="765AF9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61"/>
        <w:textAlignment w:val="auto"/>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2.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8322EB1">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2835FCAA">
      <w:pPr>
        <w:keepNext w:val="0"/>
        <w:keepLines w:val="0"/>
        <w:pageBreakBefore w:val="0"/>
        <w:widowControl w:val="0"/>
        <w:kinsoku/>
        <w:wordWrap/>
        <w:overflowPunct/>
        <w:topLinePunct w:val="0"/>
        <w:autoSpaceDE/>
        <w:autoSpaceDN/>
        <w:bidi w:val="0"/>
        <w:adjustRightInd/>
        <w:snapToGrid/>
        <w:spacing w:line="400" w:lineRule="exact"/>
        <w:ind w:right="-92" w:rightChars="-44" w:firstLine="460" w:firstLineChars="192"/>
        <w:textAlignment w:val="auto"/>
        <w:rPr>
          <w:rFonts w:hint="eastAsia" w:ascii="宋体" w:hAnsi="宋体" w:eastAsia="宋体" w:cs="宋体"/>
          <w:color w:val="auto"/>
          <w:sz w:val="24"/>
          <w:szCs w:val="24"/>
          <w:highlight w:val="none"/>
        </w:rPr>
      </w:pPr>
      <w:bookmarkStart w:id="48" w:name="_Toc15293"/>
      <w:bookmarkStart w:id="49" w:name="_Toc14698"/>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3A2AE0B9">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D94FA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报价为含税价，采购人不再为此次招标支付任何费用。</w:t>
      </w:r>
    </w:p>
    <w:p w14:paraId="176C73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报价应由法定代表人或被授权人签署。</w:t>
      </w:r>
    </w:p>
    <w:p w14:paraId="583EDE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的报价不得高于本次招标</w:t>
      </w:r>
      <w:r>
        <w:rPr>
          <w:rFonts w:hint="eastAsia" w:ascii="宋体" w:hAnsi="宋体" w:eastAsia="宋体" w:cs="宋体"/>
          <w:color w:val="auto"/>
          <w:sz w:val="24"/>
          <w:szCs w:val="24"/>
          <w:highlight w:val="none"/>
          <w:lang w:val="en-US" w:eastAsia="zh-CN"/>
        </w:rPr>
        <w:t>设置的</w:t>
      </w:r>
      <w:r>
        <w:rPr>
          <w:rFonts w:hint="eastAsia" w:ascii="宋体" w:hAnsi="宋体" w:eastAsia="宋体" w:cs="宋体"/>
          <w:color w:val="auto"/>
          <w:sz w:val="24"/>
          <w:szCs w:val="24"/>
          <w:highlight w:val="none"/>
        </w:rPr>
        <w:t>最高限价，否则将作为无效报价处理。</w:t>
      </w:r>
    </w:p>
    <w:p w14:paraId="6D390EC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48"/>
      <w:bookmarkEnd w:id="49"/>
    </w:p>
    <w:p w14:paraId="09098557">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0"/>
        <w:rPr>
          <w:rFonts w:hint="eastAsia" w:asciiTheme="minorEastAsia" w:hAnsiTheme="minorEastAsia" w:eastAsiaTheme="minorEastAsia"/>
          <w:b/>
          <w:color w:val="auto"/>
          <w:sz w:val="28"/>
          <w:highlight w:val="none"/>
        </w:rPr>
      </w:pPr>
      <w:bookmarkStart w:id="50" w:name="_Toc4328"/>
    </w:p>
    <w:p w14:paraId="0AB8B0E0">
      <w:pPr>
        <w:spacing w:line="360" w:lineRule="auto"/>
        <w:jc w:val="both"/>
        <w:outlineLvl w:val="0"/>
        <w:rPr>
          <w:rFonts w:hint="eastAsia" w:asciiTheme="minorEastAsia" w:hAnsiTheme="minorEastAsia" w:eastAsiaTheme="minorEastAsia"/>
          <w:b/>
          <w:color w:val="auto"/>
          <w:sz w:val="28"/>
          <w:highlight w:val="none"/>
        </w:rPr>
      </w:pPr>
    </w:p>
    <w:p w14:paraId="21D1A907">
      <w:pPr>
        <w:spacing w:line="360" w:lineRule="auto"/>
        <w:jc w:val="both"/>
        <w:outlineLvl w:val="0"/>
        <w:rPr>
          <w:rFonts w:hint="eastAsia" w:asciiTheme="minorEastAsia" w:hAnsiTheme="minorEastAsia" w:eastAsiaTheme="minorEastAsia"/>
          <w:b/>
          <w:color w:val="auto"/>
          <w:sz w:val="28"/>
          <w:highlight w:val="none"/>
        </w:rPr>
      </w:pPr>
    </w:p>
    <w:p w14:paraId="273829F1">
      <w:pPr>
        <w:spacing w:line="360" w:lineRule="auto"/>
        <w:jc w:val="both"/>
        <w:outlineLvl w:val="0"/>
        <w:rPr>
          <w:rFonts w:hint="eastAsia" w:asciiTheme="minorEastAsia" w:hAnsiTheme="minorEastAsia" w:eastAsiaTheme="minorEastAsia"/>
          <w:b/>
          <w:color w:val="auto"/>
          <w:sz w:val="28"/>
          <w:highlight w:val="none"/>
        </w:rPr>
      </w:pPr>
    </w:p>
    <w:p w14:paraId="5F0B533E">
      <w:pPr>
        <w:spacing w:line="360" w:lineRule="auto"/>
        <w:jc w:val="both"/>
        <w:outlineLvl w:val="0"/>
        <w:rPr>
          <w:rFonts w:hint="eastAsia" w:asciiTheme="minorEastAsia" w:hAnsiTheme="minorEastAsia" w:eastAsiaTheme="minorEastAsia"/>
          <w:b/>
          <w:color w:val="auto"/>
          <w:sz w:val="28"/>
          <w:highlight w:val="none"/>
        </w:rPr>
      </w:pPr>
    </w:p>
    <w:p w14:paraId="2CA9568C">
      <w:pPr>
        <w:spacing w:line="360" w:lineRule="auto"/>
        <w:jc w:val="both"/>
        <w:outlineLvl w:val="0"/>
        <w:rPr>
          <w:rFonts w:hint="eastAsia" w:asciiTheme="minorEastAsia" w:hAnsiTheme="minorEastAsia" w:eastAsiaTheme="minorEastAsia"/>
          <w:b/>
          <w:color w:val="auto"/>
          <w:sz w:val="28"/>
          <w:highlight w:val="none"/>
        </w:rPr>
      </w:pPr>
    </w:p>
    <w:p w14:paraId="3463A636">
      <w:pPr>
        <w:spacing w:line="360" w:lineRule="auto"/>
        <w:jc w:val="both"/>
        <w:outlineLvl w:val="0"/>
        <w:rPr>
          <w:rFonts w:hint="eastAsia" w:asciiTheme="minorEastAsia" w:hAnsiTheme="minorEastAsia" w:eastAsiaTheme="minorEastAsia"/>
          <w:b/>
          <w:color w:val="auto"/>
          <w:sz w:val="28"/>
          <w:highlight w:val="none"/>
        </w:rPr>
      </w:pPr>
    </w:p>
    <w:p w14:paraId="5A54D280">
      <w:pPr>
        <w:spacing w:line="360" w:lineRule="auto"/>
        <w:jc w:val="both"/>
        <w:outlineLvl w:val="0"/>
        <w:rPr>
          <w:rFonts w:hint="eastAsia" w:asciiTheme="minorEastAsia" w:hAnsiTheme="minorEastAsia" w:eastAsiaTheme="minorEastAsia"/>
          <w:b/>
          <w:color w:val="auto"/>
          <w:sz w:val="28"/>
          <w:highlight w:val="none"/>
        </w:rPr>
      </w:pPr>
    </w:p>
    <w:p w14:paraId="4B6A986C">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50"/>
    </w:p>
    <w:p w14:paraId="536632D6">
      <w:pPr>
        <w:spacing w:line="360" w:lineRule="auto"/>
        <w:ind w:firstLine="437"/>
        <w:outlineLvl w:val="1"/>
        <w:rPr>
          <w:rFonts w:hint="eastAsia" w:asciiTheme="minorEastAsia" w:hAnsiTheme="minorEastAsia" w:eastAsiaTheme="minorEastAsia"/>
          <w:b/>
          <w:color w:val="auto"/>
          <w:sz w:val="24"/>
          <w:highlight w:val="none"/>
        </w:rPr>
      </w:pPr>
      <w:bookmarkStart w:id="51" w:name="_Toc22115"/>
      <w:bookmarkStart w:id="52" w:name="_Toc6560"/>
      <w:r>
        <w:rPr>
          <w:rFonts w:hint="eastAsia" w:asciiTheme="minorEastAsia" w:hAnsiTheme="minorEastAsia" w:eastAsiaTheme="minorEastAsia"/>
          <w:b/>
          <w:color w:val="auto"/>
          <w:sz w:val="24"/>
          <w:highlight w:val="none"/>
        </w:rPr>
        <w:t>一、总则</w:t>
      </w:r>
      <w:bookmarkEnd w:id="51"/>
      <w:bookmarkEnd w:id="52"/>
    </w:p>
    <w:p w14:paraId="12B920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1"/>
        <w:rPr>
          <w:rFonts w:hint="eastAsia" w:asciiTheme="minorEastAsia" w:hAnsiTheme="minorEastAsia" w:eastAsiaTheme="minorEastAsia"/>
          <w:b/>
          <w:color w:val="auto"/>
          <w:sz w:val="24"/>
          <w:highlight w:val="none"/>
        </w:rPr>
      </w:pPr>
      <w:bookmarkStart w:id="53" w:name="_Toc28533"/>
      <w:bookmarkStart w:id="54" w:name="_Toc27343"/>
      <w:r>
        <w:rPr>
          <w:rFonts w:hint="eastAsia" w:asciiTheme="minorEastAsia" w:hAnsiTheme="minorEastAsia" w:eastAsiaTheme="minorEastAsia"/>
          <w:b/>
          <w:color w:val="auto"/>
          <w:sz w:val="24"/>
          <w:highlight w:val="none"/>
        </w:rPr>
        <w:t>二、评标方法</w:t>
      </w:r>
      <w:bookmarkEnd w:id="53"/>
      <w:bookmarkEnd w:id="54"/>
    </w:p>
    <w:p w14:paraId="6E08D27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636"/>
        <w:gridCol w:w="5418"/>
        <w:gridCol w:w="1730"/>
        <w:gridCol w:w="340"/>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 w:type="pct"/>
          <w:trHeight w:val="404" w:hRule="atLeast"/>
          <w:jc w:val="center"/>
        </w:trPr>
        <w:tc>
          <w:tcPr>
            <w:tcW w:w="483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64"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13"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93"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28" w:type="pct"/>
            <w:gridSpan w:val="2"/>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jc w:val="center"/>
        </w:trPr>
        <w:tc>
          <w:tcPr>
            <w:tcW w:w="464" w:type="pct"/>
            <w:tcBorders>
              <w:bottom w:val="single" w:color="auto" w:sz="4" w:space="0"/>
            </w:tcBorders>
            <w:vAlign w:val="center"/>
          </w:tcPr>
          <w:p w14:paraId="232AC12E">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13" w:type="pct"/>
            <w:tcBorders>
              <w:bottom w:val="single" w:color="auto" w:sz="4" w:space="0"/>
            </w:tcBorders>
            <w:vAlign w:val="center"/>
          </w:tcPr>
          <w:p w14:paraId="3A41B749">
            <w:pPr>
              <w:keepNext w:val="0"/>
              <w:keepLines w:val="0"/>
              <w:pageBreakBefore w:val="0"/>
              <w:widowControl w:val="0"/>
              <w:kinsoku/>
              <w:wordWrap/>
              <w:overflowPunct/>
              <w:topLinePunct w:val="0"/>
              <w:autoSpaceDE/>
              <w:autoSpaceDN/>
              <w:bidi w:val="0"/>
              <w:spacing w:line="360" w:lineRule="auto"/>
              <w:ind w:right="-10"/>
              <w:jc w:val="center"/>
              <w:textAlignment w:val="auto"/>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93" w:type="pct"/>
            <w:tcBorders>
              <w:bottom w:val="single" w:color="auto" w:sz="4" w:space="0"/>
            </w:tcBorders>
            <w:vAlign w:val="center"/>
          </w:tcPr>
          <w:p w14:paraId="0621407E">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28" w:type="pct"/>
            <w:gridSpan w:val="2"/>
            <w:vAlign w:val="center"/>
          </w:tcPr>
          <w:p w14:paraId="17A9BE43">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64" w:type="pct"/>
            <w:tcBorders>
              <w:bottom w:val="single" w:color="auto" w:sz="4" w:space="0"/>
            </w:tcBorders>
            <w:vAlign w:val="center"/>
          </w:tcPr>
          <w:p w14:paraId="6CE2AA6C">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13" w:type="pct"/>
            <w:tcBorders>
              <w:bottom w:val="single" w:color="auto" w:sz="4" w:space="0"/>
            </w:tcBorders>
            <w:vAlign w:val="center"/>
          </w:tcPr>
          <w:p w14:paraId="4EB0E7D8">
            <w:pPr>
              <w:keepNext w:val="0"/>
              <w:keepLines w:val="0"/>
              <w:pageBreakBefore w:val="0"/>
              <w:widowControl w:val="0"/>
              <w:kinsoku/>
              <w:wordWrap/>
              <w:overflowPunct/>
              <w:topLinePunct w:val="0"/>
              <w:autoSpaceDE/>
              <w:autoSpaceDN/>
              <w:bidi w:val="0"/>
              <w:spacing w:line="360" w:lineRule="auto"/>
              <w:ind w:right="-10"/>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93" w:type="pct"/>
            <w:tcBorders>
              <w:bottom w:val="single" w:color="auto" w:sz="4" w:space="0"/>
            </w:tcBorders>
            <w:vAlign w:val="center"/>
          </w:tcPr>
          <w:p w14:paraId="73BB37FC">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28" w:type="pct"/>
            <w:gridSpan w:val="2"/>
            <w:vAlign w:val="center"/>
          </w:tcPr>
          <w:p w14:paraId="705FBBA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464" w:type="pct"/>
            <w:vAlign w:val="center"/>
          </w:tcPr>
          <w:p w14:paraId="28D3DBE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13" w:type="pct"/>
            <w:vAlign w:val="center"/>
          </w:tcPr>
          <w:p w14:paraId="62A8D0B0">
            <w:pPr>
              <w:keepNext w:val="0"/>
              <w:keepLines w:val="0"/>
              <w:pageBreakBefore w:val="0"/>
              <w:widowControl w:val="0"/>
              <w:kinsoku/>
              <w:wordWrap/>
              <w:overflowPunct/>
              <w:topLinePunct w:val="0"/>
              <w:autoSpaceDE/>
              <w:autoSpaceDN/>
              <w:bidi w:val="0"/>
              <w:spacing w:line="360" w:lineRule="auto"/>
              <w:ind w:right="-10"/>
              <w:jc w:val="center"/>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93" w:type="pct"/>
            <w:vAlign w:val="center"/>
          </w:tcPr>
          <w:p w14:paraId="015AD59F">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投标人不得存在投标人须知正文第14.2条中的不良信用记录情形</w:t>
            </w:r>
          </w:p>
        </w:tc>
        <w:tc>
          <w:tcPr>
            <w:tcW w:w="1028" w:type="pct"/>
            <w:gridSpan w:val="2"/>
            <w:vAlign w:val="center"/>
          </w:tcPr>
          <w:p w14:paraId="14C1D489">
            <w:pPr>
              <w:keepNext w:val="0"/>
              <w:keepLines w:val="0"/>
              <w:pageBreakBefore w:val="0"/>
              <w:widowControl w:val="0"/>
              <w:kinsoku/>
              <w:wordWrap/>
              <w:overflowPunct/>
              <w:topLinePunct w:val="0"/>
              <w:autoSpaceDE/>
              <w:autoSpaceDN/>
              <w:bidi w:val="0"/>
              <w:spacing w:line="360" w:lineRule="auto"/>
              <w:jc w:val="left"/>
              <w:textAlignment w:val="auto"/>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r w14:paraId="0830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464" w:type="pct"/>
            <w:vAlign w:val="center"/>
          </w:tcPr>
          <w:p w14:paraId="30348E5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rPr>
                <w:rFonts w:hint="eastAsia" w:ascii="宋体" w:hAnsi="宋体" w:eastAsia="宋体"/>
                <w:color w:val="auto"/>
                <w:sz w:val="24"/>
                <w:highlight w:val="none"/>
                <w:lang w:val="en-US" w:eastAsia="zh-CN"/>
              </w:rPr>
            </w:pPr>
            <w:bookmarkStart w:id="55" w:name="_Hlk16461707"/>
            <w:r>
              <w:rPr>
                <w:rFonts w:hint="eastAsia" w:ascii="宋体" w:hAnsi="宋体" w:eastAsia="宋体"/>
                <w:color w:val="auto"/>
                <w:sz w:val="24"/>
                <w:highlight w:val="none"/>
                <w:lang w:val="en-US" w:eastAsia="zh-CN"/>
              </w:rPr>
              <w:t>4</w:t>
            </w:r>
          </w:p>
        </w:tc>
        <w:tc>
          <w:tcPr>
            <w:tcW w:w="813" w:type="pct"/>
            <w:vAlign w:val="center"/>
          </w:tcPr>
          <w:p w14:paraId="7EFAA21D">
            <w:pPr>
              <w:keepNext w:val="0"/>
              <w:keepLines w:val="0"/>
              <w:pageBreakBefore w:val="0"/>
              <w:widowControl w:val="0"/>
              <w:kinsoku/>
              <w:wordWrap/>
              <w:overflowPunct/>
              <w:topLinePunct w:val="0"/>
              <w:autoSpaceDE/>
              <w:autoSpaceDN/>
              <w:bidi w:val="0"/>
              <w:spacing w:line="360" w:lineRule="auto"/>
              <w:ind w:right="-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2693" w:type="pct"/>
            <w:vAlign w:val="center"/>
          </w:tcPr>
          <w:p w14:paraId="0B4FEB08">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投标人为生产厂家时，</w:t>
            </w:r>
            <w:r>
              <w:rPr>
                <w:rFonts w:hint="eastAsia" w:ascii="宋体" w:hAnsi="宋体" w:eastAsia="宋体" w:cs="宋体"/>
                <w:color w:val="auto"/>
                <w:sz w:val="24"/>
                <w:szCs w:val="24"/>
                <w:highlight w:val="none"/>
                <w:lang w:val="zh-CN"/>
              </w:rPr>
              <w:t>提供生产企业卫生许可证</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若投标人为代理商时，提供产品生产企业卫生许可证。</w:t>
            </w:r>
          </w:p>
        </w:tc>
        <w:tc>
          <w:tcPr>
            <w:tcW w:w="1028" w:type="pct"/>
            <w:gridSpan w:val="2"/>
            <w:vAlign w:val="center"/>
          </w:tcPr>
          <w:p w14:paraId="57119D3D">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color w:val="auto"/>
                <w:highlight w:val="none"/>
              </w:rPr>
            </w:pPr>
            <w:r>
              <w:rPr>
                <w:rFonts w:hint="eastAsia" w:ascii="宋体" w:hAnsi="宋体" w:eastAsia="宋体" w:cs="宋体"/>
                <w:color w:val="auto"/>
                <w:szCs w:val="24"/>
                <w:highlight w:val="none"/>
              </w:rPr>
              <w:t>提供材料复印件加盖公章</w:t>
            </w:r>
          </w:p>
          <w:p w14:paraId="2EB80FAA">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rPr>
            </w:pPr>
          </w:p>
        </w:tc>
      </w:tr>
    </w:tbl>
    <w:p w14:paraId="287B667E">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5"/>
    <w:p w14:paraId="2117B41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93"/>
        <w:gridCol w:w="3389"/>
        <w:gridCol w:w="2730"/>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48" w:type="pct"/>
            <w:tcBorders>
              <w:bottom w:val="single" w:color="auto" w:sz="4" w:space="0"/>
            </w:tcBorders>
            <w:vAlign w:val="center"/>
          </w:tcPr>
          <w:p w14:paraId="02AC9FF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41" w:type="pct"/>
            <w:tcBorders>
              <w:bottom w:val="single" w:color="auto" w:sz="4" w:space="0"/>
            </w:tcBorders>
            <w:vAlign w:val="center"/>
          </w:tcPr>
          <w:p w14:paraId="3381E534">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1"/>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4" w:type="pct"/>
            <w:tcBorders>
              <w:bottom w:val="single" w:color="auto" w:sz="4" w:space="0"/>
            </w:tcBorders>
            <w:vAlign w:val="center"/>
          </w:tcPr>
          <w:p w14:paraId="1942DC4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74" w:type="pct"/>
            <w:tcBorders>
              <w:bottom w:val="single" w:color="auto" w:sz="4" w:space="0"/>
            </w:tcBorders>
            <w:vAlign w:val="center"/>
          </w:tcPr>
          <w:p w14:paraId="3508645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48" w:type="pct"/>
            <w:vAlign w:val="center"/>
          </w:tcPr>
          <w:p w14:paraId="55F6BE53">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1" w:type="pct"/>
            <w:vAlign w:val="center"/>
          </w:tcPr>
          <w:p w14:paraId="75F068B7">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4" w:type="pct"/>
            <w:vAlign w:val="center"/>
          </w:tcPr>
          <w:p w14:paraId="22EE2A45">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4" w:type="pct"/>
            <w:vAlign w:val="center"/>
          </w:tcPr>
          <w:p w14:paraId="25D86139">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48" w:type="pct"/>
            <w:vAlign w:val="center"/>
          </w:tcPr>
          <w:p w14:paraId="73CA6ED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1" w:type="pct"/>
            <w:vAlign w:val="center"/>
          </w:tcPr>
          <w:p w14:paraId="380ACA5B">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4" w:type="pct"/>
            <w:vAlign w:val="center"/>
          </w:tcPr>
          <w:p w14:paraId="1101CAF8">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4" w:type="pct"/>
            <w:vAlign w:val="center"/>
          </w:tcPr>
          <w:p w14:paraId="0CD451A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448" w:type="pct"/>
            <w:vAlign w:val="center"/>
          </w:tcPr>
          <w:p w14:paraId="33A0F028">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1" w:type="pct"/>
            <w:vAlign w:val="center"/>
          </w:tcPr>
          <w:p w14:paraId="402A0A52">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4" w:type="pct"/>
            <w:vAlign w:val="center"/>
          </w:tcPr>
          <w:p w14:paraId="27DAB2D3">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4" w:type="pct"/>
            <w:vAlign w:val="center"/>
          </w:tcPr>
          <w:p w14:paraId="0C0B03A0">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48" w:type="pct"/>
            <w:vAlign w:val="center"/>
          </w:tcPr>
          <w:p w14:paraId="3BB93CD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1" w:type="pct"/>
            <w:vAlign w:val="center"/>
          </w:tcPr>
          <w:p w14:paraId="4C604485">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4" w:type="pct"/>
            <w:vAlign w:val="center"/>
          </w:tcPr>
          <w:p w14:paraId="24318D8A">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74" w:type="pct"/>
            <w:vAlign w:val="center"/>
          </w:tcPr>
          <w:p w14:paraId="1C0FBE34">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448" w:type="pct"/>
            <w:vAlign w:val="center"/>
          </w:tcPr>
          <w:p w14:paraId="6644976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41" w:type="pct"/>
            <w:vAlign w:val="center"/>
          </w:tcPr>
          <w:p w14:paraId="7071F0F5">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4" w:type="pct"/>
            <w:vAlign w:val="center"/>
          </w:tcPr>
          <w:p w14:paraId="5E35E854">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74" w:type="pct"/>
            <w:vAlign w:val="center"/>
          </w:tcPr>
          <w:p w14:paraId="551ECC22">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48" w:type="pct"/>
            <w:vAlign w:val="center"/>
          </w:tcPr>
          <w:p w14:paraId="6490AE7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41" w:type="pct"/>
            <w:vAlign w:val="center"/>
          </w:tcPr>
          <w:p w14:paraId="1D81A2E9">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4" w:type="pct"/>
            <w:vAlign w:val="center"/>
          </w:tcPr>
          <w:p w14:paraId="11538769">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74" w:type="pct"/>
            <w:vAlign w:val="center"/>
          </w:tcPr>
          <w:p w14:paraId="4C7E748D">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448" w:type="pct"/>
            <w:vAlign w:val="center"/>
          </w:tcPr>
          <w:p w14:paraId="7903B59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41" w:type="pct"/>
            <w:vAlign w:val="center"/>
          </w:tcPr>
          <w:p w14:paraId="1E597849">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4" w:type="pct"/>
            <w:vAlign w:val="center"/>
          </w:tcPr>
          <w:p w14:paraId="69683EB1">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4" w:type="pct"/>
            <w:vAlign w:val="center"/>
          </w:tcPr>
          <w:p w14:paraId="5F39F2A7">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p>
        </w:tc>
      </w:tr>
    </w:tbl>
    <w:p w14:paraId="31FDE6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%。具体评分细则如下：</w:t>
      </w:r>
    </w:p>
    <w:tbl>
      <w:tblPr>
        <w:tblStyle w:val="27"/>
        <w:tblW w:w="57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176"/>
        <w:gridCol w:w="6262"/>
        <w:gridCol w:w="1257"/>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84" w:type="pct"/>
            <w:tcBorders>
              <w:top w:val="single" w:color="auto" w:sz="4" w:space="0"/>
              <w:left w:val="single" w:color="auto" w:sz="4" w:space="0"/>
              <w:bottom w:val="single" w:color="auto" w:sz="4" w:space="0"/>
              <w:right w:val="single" w:color="auto" w:sz="4" w:space="0"/>
            </w:tcBorders>
            <w:vAlign w:val="center"/>
          </w:tcPr>
          <w:p w14:paraId="0EBADB4D">
            <w:pPr>
              <w:keepNext w:val="0"/>
              <w:keepLines w:val="0"/>
              <w:pageBreakBefore w:val="0"/>
              <w:widowControl w:val="0"/>
              <w:topLinePunct w:val="0"/>
              <w:bidi w:val="0"/>
              <w:spacing w:line="50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597" w:type="pct"/>
            <w:tcBorders>
              <w:top w:val="single" w:color="auto" w:sz="4" w:space="0"/>
              <w:left w:val="single" w:color="auto" w:sz="4" w:space="0"/>
              <w:bottom w:val="single" w:color="auto" w:sz="4" w:space="0"/>
              <w:right w:val="single" w:color="auto" w:sz="4" w:space="0"/>
            </w:tcBorders>
            <w:vAlign w:val="center"/>
          </w:tcPr>
          <w:p w14:paraId="317BCC4D">
            <w:pPr>
              <w:keepNext w:val="0"/>
              <w:keepLines w:val="0"/>
              <w:pageBreakBefore w:val="0"/>
              <w:widowControl w:val="0"/>
              <w:topLinePunct w:val="0"/>
              <w:bidi w:val="0"/>
              <w:spacing w:line="50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179" w:type="pct"/>
            <w:tcBorders>
              <w:top w:val="single" w:color="auto" w:sz="4" w:space="0"/>
              <w:left w:val="single" w:color="auto" w:sz="4" w:space="0"/>
              <w:bottom w:val="single" w:color="auto" w:sz="4" w:space="0"/>
              <w:right w:val="single" w:color="auto" w:sz="4" w:space="0"/>
            </w:tcBorders>
            <w:vAlign w:val="center"/>
          </w:tcPr>
          <w:p w14:paraId="755969B4">
            <w:pPr>
              <w:keepNext w:val="0"/>
              <w:keepLines w:val="0"/>
              <w:pageBreakBefore w:val="0"/>
              <w:widowControl w:val="0"/>
              <w:topLinePunct w:val="0"/>
              <w:bidi w:val="0"/>
              <w:spacing w:line="50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37" w:type="pct"/>
            <w:tcBorders>
              <w:top w:val="single" w:color="auto" w:sz="4" w:space="0"/>
              <w:left w:val="single" w:color="auto" w:sz="4" w:space="0"/>
              <w:bottom w:val="single" w:color="auto" w:sz="4" w:space="0"/>
              <w:right w:val="single" w:color="auto" w:sz="4" w:space="0"/>
            </w:tcBorders>
            <w:vAlign w:val="center"/>
          </w:tcPr>
          <w:p w14:paraId="02392664">
            <w:pPr>
              <w:keepNext w:val="0"/>
              <w:keepLines w:val="0"/>
              <w:pageBreakBefore w:val="0"/>
              <w:widowControl w:val="0"/>
              <w:topLinePunct w:val="0"/>
              <w:bidi w:val="0"/>
              <w:spacing w:line="50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84" w:type="pct"/>
            <w:vMerge w:val="restart"/>
            <w:tcBorders>
              <w:left w:val="single" w:color="auto" w:sz="4" w:space="0"/>
              <w:right w:val="single" w:color="auto" w:sz="4" w:space="0"/>
            </w:tcBorders>
            <w:vAlign w:val="center"/>
          </w:tcPr>
          <w:p w14:paraId="175CA72C">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技术资</w:t>
            </w:r>
          </w:p>
          <w:p w14:paraId="5849AEB8">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信分</w:t>
            </w:r>
          </w:p>
          <w:p w14:paraId="70A1E9CB">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（70分）</w:t>
            </w:r>
          </w:p>
        </w:tc>
        <w:tc>
          <w:tcPr>
            <w:tcW w:w="597" w:type="pct"/>
            <w:tcBorders>
              <w:top w:val="single" w:color="auto" w:sz="4" w:space="0"/>
              <w:left w:val="single" w:color="auto" w:sz="4" w:space="0"/>
              <w:right w:val="single" w:color="auto" w:sz="4" w:space="0"/>
            </w:tcBorders>
            <w:vAlign w:val="center"/>
          </w:tcPr>
          <w:p w14:paraId="0E930650">
            <w:pPr>
              <w:keepNext w:val="0"/>
              <w:keepLines w:val="0"/>
              <w:pageBreakBefore w:val="0"/>
              <w:widowControl w:val="0"/>
              <w:topLinePunct w:val="0"/>
              <w:bidi w:val="0"/>
              <w:spacing w:line="500" w:lineRule="exact"/>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业绩</w:t>
            </w:r>
          </w:p>
        </w:tc>
        <w:tc>
          <w:tcPr>
            <w:tcW w:w="3179" w:type="pct"/>
            <w:tcBorders>
              <w:top w:val="single" w:color="auto" w:sz="4" w:space="0"/>
              <w:left w:val="single" w:color="auto" w:sz="4" w:space="0"/>
              <w:right w:val="single" w:color="auto" w:sz="4" w:space="0"/>
            </w:tcBorders>
            <w:vAlign w:val="center"/>
          </w:tcPr>
          <w:p w14:paraId="2E025512">
            <w:pPr>
              <w:keepNext w:val="0"/>
              <w:keepLines w:val="0"/>
              <w:pageBreakBefore w:val="0"/>
              <w:widowControl w:val="0"/>
              <w:topLinePunct w:val="0"/>
              <w:bidi w:val="0"/>
              <w:spacing w:line="500" w:lineRule="exact"/>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 xml:space="preserve">自 2023年1月1日以来(以合同签订时间为准)，提供一份核心产品业绩的得1分，最高得2分。 </w:t>
            </w:r>
          </w:p>
          <w:p w14:paraId="27E062ED">
            <w:pPr>
              <w:keepNext w:val="0"/>
              <w:keepLines w:val="0"/>
              <w:pageBreakBefore w:val="0"/>
              <w:widowControl w:val="0"/>
              <w:topLinePunct w:val="0"/>
              <w:bidi w:val="0"/>
              <w:spacing w:line="500" w:lineRule="exact"/>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核心产品以采购需求中明确的为准。</w:t>
            </w:r>
          </w:p>
          <w:p w14:paraId="7545DF72">
            <w:pPr>
              <w:keepNext w:val="0"/>
              <w:keepLines w:val="0"/>
              <w:pageBreakBefore w:val="0"/>
              <w:widowControl w:val="0"/>
              <w:topLinePunct w:val="0"/>
              <w:bidi w:val="0"/>
              <w:spacing w:line="500" w:lineRule="exact"/>
              <w:textAlignment w:val="auto"/>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注：（1）投标文件中提供业绩合同，时间以合同签订时间为准；若合同材料中无法体现签订时间、业绩内容等关键评审因素的，须另外提供业主（合同甲方）出具的盖章证明材料扫描件。</w:t>
            </w:r>
          </w:p>
          <w:p w14:paraId="1607EDBF">
            <w:pPr>
              <w:keepNext w:val="0"/>
              <w:keepLines w:val="0"/>
              <w:pageBreakBefore w:val="0"/>
              <w:widowControl w:val="0"/>
              <w:topLinePunct w:val="0"/>
              <w:bidi w:val="0"/>
              <w:spacing w:line="500" w:lineRule="exac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637"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p>
        </w:tc>
      </w:tr>
      <w:tr w14:paraId="252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84" w:type="pct"/>
            <w:vMerge w:val="continue"/>
            <w:tcBorders>
              <w:left w:val="single" w:color="auto" w:sz="4" w:space="0"/>
              <w:right w:val="single" w:color="auto" w:sz="4" w:space="0"/>
            </w:tcBorders>
            <w:vAlign w:val="center"/>
          </w:tcPr>
          <w:p w14:paraId="7C7CF93E">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p>
        </w:tc>
        <w:tc>
          <w:tcPr>
            <w:tcW w:w="597" w:type="pct"/>
            <w:tcBorders>
              <w:top w:val="single" w:color="auto" w:sz="4" w:space="0"/>
              <w:left w:val="single" w:color="auto" w:sz="4" w:space="0"/>
              <w:right w:val="single" w:color="auto" w:sz="4" w:space="0"/>
            </w:tcBorders>
            <w:vAlign w:val="center"/>
          </w:tcPr>
          <w:p w14:paraId="60744BB3">
            <w:pPr>
              <w:keepNext w:val="0"/>
              <w:keepLines w:val="0"/>
              <w:pageBreakBefore w:val="0"/>
              <w:widowControl w:val="0"/>
              <w:topLinePunct w:val="0"/>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zh-CN"/>
              </w:rPr>
              <w:t>技术参数响应</w:t>
            </w:r>
          </w:p>
        </w:tc>
        <w:tc>
          <w:tcPr>
            <w:tcW w:w="3179" w:type="pct"/>
            <w:tcBorders>
              <w:top w:val="single" w:color="auto" w:sz="4" w:space="0"/>
              <w:left w:val="single" w:color="auto" w:sz="4" w:space="0"/>
              <w:right w:val="single" w:color="auto" w:sz="4" w:space="0"/>
            </w:tcBorders>
            <w:vAlign w:val="center"/>
          </w:tcPr>
          <w:p w14:paraId="066D8CFD">
            <w:pPr>
              <w:keepNext w:val="0"/>
              <w:keepLines w:val="0"/>
              <w:pageBreakBefore w:val="0"/>
              <w:widowControl w:val="0"/>
              <w:topLinePunct w:val="0"/>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根根据招标文件货物需求技术参数及要求中技术参数要求的响应情况：</w:t>
            </w:r>
          </w:p>
          <w:p w14:paraId="3360675B">
            <w:pPr>
              <w:keepNext w:val="0"/>
              <w:keepLines w:val="0"/>
              <w:pageBreakBefore w:val="0"/>
              <w:widowControl w:val="0"/>
              <w:topLinePunct w:val="0"/>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本项目产品技术参数共45项，</w:t>
            </w:r>
          </w:p>
          <w:p w14:paraId="319512A5">
            <w:pPr>
              <w:keepNext w:val="0"/>
              <w:keepLines w:val="0"/>
              <w:pageBreakBefore w:val="0"/>
              <w:widowControl w:val="0"/>
              <w:topLinePunct w:val="0"/>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①标注“▲”参数共14项，每有1项满足或优于招标要求的得2分，满分28分；</w:t>
            </w:r>
          </w:p>
          <w:p w14:paraId="266D2E14">
            <w:pPr>
              <w:keepNext w:val="0"/>
              <w:keepLines w:val="0"/>
              <w:pageBreakBefore w:val="0"/>
              <w:widowControl w:val="0"/>
              <w:topLinePunct w:val="0"/>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②未标注“▲”的参数共31项，每有1项满足或优于招标要求的得1分，满分31分；</w:t>
            </w:r>
          </w:p>
          <w:p w14:paraId="5E4B0918">
            <w:pPr>
              <w:keepNext w:val="0"/>
              <w:keepLines w:val="0"/>
              <w:pageBreakBefore w:val="0"/>
              <w:widowControl w:val="0"/>
              <w:topLinePunct w:val="0"/>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所有参数如有标注证明材料的，需按要求提供对应证明材料，标注“▲”的参数均需提供有效证明材料，仅限于产品技术说明书（非白皮书）或产品检验报告（第三方检验报告或注册检验报告或注册检验补充报告）或注册证明文件或铭牌或实机操作界面。未标注“▲”的参数除条目标注明提供证明材料之外的，则无需提供证明材料，但需明确是否响应，未明确是否响应视为不响应，投标人需审慎填写，验收时将复核参数。。</w:t>
            </w:r>
          </w:p>
        </w:tc>
        <w:tc>
          <w:tcPr>
            <w:tcW w:w="637" w:type="pct"/>
            <w:tcBorders>
              <w:top w:val="single" w:color="auto" w:sz="4" w:space="0"/>
              <w:left w:val="single" w:color="auto" w:sz="4" w:space="0"/>
              <w:bottom w:val="single" w:color="auto" w:sz="4" w:space="0"/>
              <w:right w:val="single" w:color="auto" w:sz="4" w:space="0"/>
            </w:tcBorders>
            <w:vAlign w:val="center"/>
          </w:tcPr>
          <w:p w14:paraId="2E1CA7DF">
            <w:pPr>
              <w:keepNext w:val="0"/>
              <w:keepLines w:val="0"/>
              <w:pageBreakBefore w:val="0"/>
              <w:widowControl w:val="0"/>
              <w:wordWrap w:val="0"/>
              <w:topLinePunct w:val="0"/>
              <w:bidi w:val="0"/>
              <w:spacing w:line="500" w:lineRule="exact"/>
              <w:jc w:val="center"/>
              <w:textAlignment w:val="auto"/>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59分</w:t>
            </w:r>
          </w:p>
        </w:tc>
      </w:tr>
      <w:tr w14:paraId="56F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84" w:type="pct"/>
            <w:vMerge w:val="continue"/>
            <w:tcBorders>
              <w:left w:val="single" w:color="auto" w:sz="4" w:space="0"/>
              <w:right w:val="single" w:color="auto" w:sz="4" w:space="0"/>
            </w:tcBorders>
            <w:vAlign w:val="center"/>
          </w:tcPr>
          <w:p w14:paraId="7D450A2F">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p>
        </w:tc>
        <w:tc>
          <w:tcPr>
            <w:tcW w:w="597" w:type="pct"/>
            <w:tcBorders>
              <w:top w:val="single" w:color="auto" w:sz="4" w:space="0"/>
              <w:left w:val="single" w:color="auto" w:sz="4" w:space="0"/>
              <w:right w:val="single" w:color="auto" w:sz="4" w:space="0"/>
            </w:tcBorders>
            <w:shd w:val="clear" w:color="auto" w:fill="auto"/>
            <w:vAlign w:val="center"/>
          </w:tcPr>
          <w:p w14:paraId="72215C64">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sz w:val="24"/>
                <w:szCs w:val="24"/>
                <w:highlight w:val="none"/>
                <w:lang w:bidi="zh-CN"/>
              </w:rPr>
              <w:t>免费质保承诺</w:t>
            </w:r>
          </w:p>
        </w:tc>
        <w:tc>
          <w:tcPr>
            <w:tcW w:w="3179" w:type="pct"/>
            <w:tcBorders>
              <w:top w:val="single" w:color="auto" w:sz="4" w:space="0"/>
              <w:left w:val="single" w:color="auto" w:sz="4" w:space="0"/>
              <w:right w:val="single" w:color="auto" w:sz="4" w:space="0"/>
            </w:tcBorders>
            <w:shd w:val="clear" w:color="auto" w:fill="auto"/>
            <w:vAlign w:val="center"/>
          </w:tcPr>
          <w:p w14:paraId="452A88AA">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投标人须提供免费质保承诺，免费质保期至少为叁年。在叁年的基础上，承诺每延长1年加</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bidi="zh-CN"/>
              </w:rPr>
              <w:t>分（不足1年不加分），本项最高得</w:t>
            </w:r>
            <w:r>
              <w:rPr>
                <w:rFonts w:hint="eastAsia" w:ascii="宋体" w:hAnsi="宋体" w:eastAsia="宋体" w:cs="宋体"/>
                <w:color w:val="auto"/>
                <w:sz w:val="24"/>
                <w:szCs w:val="24"/>
                <w:highlight w:val="none"/>
                <w:lang w:val="en-US" w:eastAsia="zh-CN" w:bidi="zh-CN"/>
              </w:rPr>
              <w:t>6</w:t>
            </w:r>
            <w:r>
              <w:rPr>
                <w:rFonts w:hint="eastAsia" w:ascii="宋体" w:hAnsi="宋体" w:eastAsia="宋体" w:cs="宋体"/>
                <w:color w:val="auto"/>
                <w:sz w:val="24"/>
                <w:szCs w:val="24"/>
                <w:highlight w:val="none"/>
                <w:lang w:bidi="zh-CN"/>
              </w:rPr>
              <w:t>分。</w:t>
            </w:r>
          </w:p>
          <w:p w14:paraId="7C64B800">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b/>
                <w:bCs/>
                <w:color w:val="auto"/>
                <w:sz w:val="24"/>
                <w:szCs w:val="24"/>
                <w:highlight w:val="none"/>
                <w:lang w:bidi="zh-CN"/>
              </w:rPr>
              <w:t>注：提供加盖投标人公章的承诺书（格式自拟），未提供或不符合要求的不得分）</w:t>
            </w:r>
          </w:p>
        </w:tc>
        <w:tc>
          <w:tcPr>
            <w:tcW w:w="637" w:type="pct"/>
            <w:tcBorders>
              <w:top w:val="single" w:color="auto" w:sz="4" w:space="0"/>
              <w:left w:val="single" w:color="auto" w:sz="4" w:space="0"/>
              <w:bottom w:val="single" w:color="auto" w:sz="4" w:space="0"/>
              <w:right w:val="single" w:color="auto" w:sz="4" w:space="0"/>
            </w:tcBorders>
            <w:vAlign w:val="center"/>
          </w:tcPr>
          <w:p w14:paraId="6FC5860D">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6分</w:t>
            </w:r>
          </w:p>
        </w:tc>
      </w:tr>
      <w:tr w14:paraId="1239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84" w:type="pct"/>
            <w:vMerge w:val="continue"/>
            <w:tcBorders>
              <w:left w:val="single" w:color="auto" w:sz="4" w:space="0"/>
              <w:right w:val="single" w:color="auto" w:sz="4" w:space="0"/>
            </w:tcBorders>
            <w:vAlign w:val="center"/>
          </w:tcPr>
          <w:p w14:paraId="1F96529F">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p>
        </w:tc>
        <w:tc>
          <w:tcPr>
            <w:tcW w:w="597" w:type="pct"/>
            <w:tcBorders>
              <w:top w:val="single" w:color="auto" w:sz="4" w:space="0"/>
              <w:left w:val="single" w:color="auto" w:sz="4" w:space="0"/>
              <w:right w:val="single" w:color="auto" w:sz="4" w:space="0"/>
            </w:tcBorders>
            <w:vAlign w:val="center"/>
          </w:tcPr>
          <w:p w14:paraId="1D8D0797">
            <w:pPr>
              <w:keepNext w:val="0"/>
              <w:keepLines w:val="0"/>
              <w:pageBreakBefore w:val="0"/>
              <w:widowControl w:val="0"/>
              <w:kinsoku w:val="0"/>
              <w:overflowPunct w:val="0"/>
              <w:topLinePunct w:val="0"/>
              <w:autoSpaceDE w:val="0"/>
              <w:autoSpaceDN w:val="0"/>
              <w:bidi w:val="0"/>
              <w:adjustRightInd w:val="0"/>
              <w:snapToGrid w:val="0"/>
              <w:spacing w:after="0" w:line="500" w:lineRule="exact"/>
              <w:jc w:val="center"/>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w:t>
            </w:r>
          </w:p>
          <w:p w14:paraId="1989979D">
            <w:pPr>
              <w:keepNext w:val="0"/>
              <w:keepLines w:val="0"/>
              <w:pageBreakBefore w:val="0"/>
              <w:widowControl w:val="0"/>
              <w:kinsoku w:val="0"/>
              <w:overflowPunct w:val="0"/>
              <w:topLinePunct w:val="0"/>
              <w:autoSpaceDE w:val="0"/>
              <w:autoSpaceDN w:val="0"/>
              <w:bidi w:val="0"/>
              <w:adjustRightInd w:val="0"/>
              <w:snapToGrid w:val="0"/>
              <w:spacing w:after="0" w:line="500" w:lineRule="exact"/>
              <w:jc w:val="center"/>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w:t>
            </w:r>
          </w:p>
        </w:tc>
        <w:tc>
          <w:tcPr>
            <w:tcW w:w="3179" w:type="pct"/>
            <w:tcBorders>
              <w:top w:val="single" w:color="auto" w:sz="4" w:space="0"/>
              <w:left w:val="single" w:color="auto" w:sz="4" w:space="0"/>
              <w:right w:val="single" w:color="auto" w:sz="4" w:space="0"/>
            </w:tcBorders>
            <w:vAlign w:val="center"/>
          </w:tcPr>
          <w:p w14:paraId="1EDCCC3B">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w:t>
            </w:r>
            <w:r>
              <w:rPr>
                <w:rFonts w:hint="eastAsia" w:ascii="宋体" w:hAnsi="宋体" w:eastAsia="宋体" w:cs="宋体"/>
                <w:color w:val="auto"/>
                <w:sz w:val="24"/>
                <w:szCs w:val="24"/>
                <w:highlight w:val="none"/>
                <w:lang w:bidi="zh-CN"/>
              </w:rPr>
              <w:t>售后响应时间：2小时以内。</w:t>
            </w:r>
          </w:p>
          <w:p w14:paraId="0AFD4B4D">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2</w:t>
            </w:r>
            <w:r>
              <w:rPr>
                <w:rFonts w:hint="eastAsia" w:ascii="宋体" w:hAnsi="宋体" w:eastAsia="宋体" w:cs="宋体"/>
                <w:color w:val="auto"/>
                <w:sz w:val="24"/>
                <w:szCs w:val="24"/>
                <w:highlight w:val="none"/>
                <w:lang w:val="en-US" w:bidi="zh-CN"/>
              </w:rPr>
              <w:t>.</w:t>
            </w:r>
            <w:r>
              <w:rPr>
                <w:rFonts w:hint="eastAsia" w:ascii="宋体" w:hAnsi="宋体" w:eastAsia="宋体" w:cs="宋体"/>
                <w:color w:val="auto"/>
                <w:sz w:val="24"/>
                <w:szCs w:val="24"/>
                <w:highlight w:val="none"/>
                <w:lang w:bidi="zh-CN"/>
              </w:rPr>
              <w:t>报修后故障修复时间：3个工作日，超过此时间需提供备用机。</w:t>
            </w:r>
          </w:p>
          <w:p w14:paraId="12D6FFBA">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3</w:t>
            </w:r>
            <w:r>
              <w:rPr>
                <w:rFonts w:hint="eastAsia" w:ascii="宋体" w:hAnsi="宋体" w:eastAsia="宋体" w:cs="宋体"/>
                <w:color w:val="auto"/>
                <w:sz w:val="24"/>
                <w:szCs w:val="24"/>
                <w:highlight w:val="none"/>
                <w:lang w:val="en-US" w:bidi="zh-CN"/>
              </w:rPr>
              <w:t>.</w:t>
            </w:r>
            <w:r>
              <w:rPr>
                <w:rFonts w:hint="eastAsia" w:ascii="宋体" w:hAnsi="宋体" w:eastAsia="宋体" w:cs="宋体"/>
                <w:color w:val="auto"/>
                <w:sz w:val="24"/>
                <w:szCs w:val="24"/>
                <w:highlight w:val="none"/>
                <w:lang w:bidi="zh-CN"/>
              </w:rPr>
              <w:t>维保期内每年至少巡检2次。</w:t>
            </w:r>
          </w:p>
          <w:p w14:paraId="75C16120">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投标人须提供售后服务承诺，承诺每满足或优于以上1条加</w:t>
            </w:r>
            <w:r>
              <w:rPr>
                <w:rFonts w:hint="eastAsia" w:ascii="宋体" w:hAnsi="宋体" w:eastAsia="宋体" w:cs="宋体"/>
                <w:color w:val="auto"/>
                <w:sz w:val="24"/>
                <w:szCs w:val="24"/>
                <w:highlight w:val="none"/>
                <w:lang w:val="en-US" w:eastAsia="zh-CN" w:bidi="zh-CN"/>
              </w:rPr>
              <w:t>1</w:t>
            </w:r>
            <w:r>
              <w:rPr>
                <w:rFonts w:hint="eastAsia" w:ascii="宋体" w:hAnsi="宋体" w:eastAsia="宋体" w:cs="宋体"/>
                <w:color w:val="auto"/>
                <w:sz w:val="24"/>
                <w:szCs w:val="24"/>
                <w:highlight w:val="none"/>
                <w:lang w:bidi="zh-CN"/>
              </w:rPr>
              <w:t>分，本项最高得</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bidi="zh-CN"/>
              </w:rPr>
              <w:t>分。</w:t>
            </w:r>
          </w:p>
          <w:p w14:paraId="666B8377">
            <w:pPr>
              <w:keepNext w:val="0"/>
              <w:keepLines w:val="0"/>
              <w:pageBreakBefore w:val="0"/>
              <w:widowControl w:val="0"/>
              <w:wordWrap w:val="0"/>
              <w:topLinePunct w:val="0"/>
              <w:bidi w:val="0"/>
              <w:spacing w:line="500" w:lineRule="exact"/>
              <w:textAlignment w:val="auto"/>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val="en-US" w:bidi="zh-CN"/>
              </w:rPr>
              <w:t>注：</w:t>
            </w:r>
            <w:r>
              <w:rPr>
                <w:rFonts w:hint="eastAsia" w:ascii="宋体" w:hAnsi="宋体" w:eastAsia="宋体" w:cs="宋体"/>
                <w:b/>
                <w:bCs/>
                <w:color w:val="auto"/>
                <w:sz w:val="24"/>
                <w:szCs w:val="24"/>
                <w:highlight w:val="none"/>
                <w:lang w:bidi="zh-CN"/>
              </w:rPr>
              <w:t>提供加盖投标人公章的承诺书（格式自拟），未提供或不符合要求的不得分）</w:t>
            </w:r>
          </w:p>
        </w:tc>
        <w:tc>
          <w:tcPr>
            <w:tcW w:w="637" w:type="pct"/>
            <w:tcBorders>
              <w:top w:val="single" w:color="auto" w:sz="4" w:space="0"/>
              <w:left w:val="single" w:color="auto" w:sz="4" w:space="0"/>
              <w:bottom w:val="single" w:color="auto" w:sz="4" w:space="0"/>
              <w:right w:val="single" w:color="auto" w:sz="4" w:space="0"/>
            </w:tcBorders>
            <w:vAlign w:val="center"/>
          </w:tcPr>
          <w:p w14:paraId="5AFDF979">
            <w:pPr>
              <w:keepNext w:val="0"/>
              <w:keepLines w:val="0"/>
              <w:pageBreakBefore w:val="0"/>
              <w:widowControl w:val="0"/>
              <w:wordWrap w:val="0"/>
              <w:topLinePunct w:val="0"/>
              <w:bidi w:val="0"/>
              <w:spacing w:line="500" w:lineRule="exact"/>
              <w:jc w:val="center"/>
              <w:textAlignment w:val="auto"/>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3分</w:t>
            </w:r>
          </w:p>
        </w:tc>
      </w:tr>
      <w:tr w14:paraId="33E0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584" w:type="pct"/>
            <w:vMerge w:val="restart"/>
            <w:tcBorders>
              <w:left w:val="single" w:color="auto" w:sz="4" w:space="0"/>
              <w:right w:val="single" w:color="auto" w:sz="4" w:space="0"/>
            </w:tcBorders>
            <w:vAlign w:val="center"/>
          </w:tcPr>
          <w:p w14:paraId="6846161E">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63CB6E30">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rPr>
              <w:t>分）</w:t>
            </w:r>
          </w:p>
        </w:tc>
        <w:tc>
          <w:tcPr>
            <w:tcW w:w="597" w:type="pct"/>
            <w:tcBorders>
              <w:top w:val="single" w:color="auto" w:sz="4" w:space="0"/>
              <w:left w:val="single" w:color="auto" w:sz="4" w:space="0"/>
              <w:bottom w:val="single" w:color="auto" w:sz="4" w:space="0"/>
              <w:right w:val="single" w:color="auto" w:sz="4" w:space="0"/>
            </w:tcBorders>
            <w:vAlign w:val="center"/>
          </w:tcPr>
          <w:p w14:paraId="58EC86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壁挂式等离子体空气消毒机价格分（25分）</w:t>
            </w:r>
          </w:p>
        </w:tc>
        <w:tc>
          <w:tcPr>
            <w:tcW w:w="3817" w:type="pct"/>
            <w:gridSpan w:val="2"/>
            <w:tcBorders>
              <w:top w:val="single" w:color="auto" w:sz="4" w:space="0"/>
              <w:left w:val="single" w:color="auto" w:sz="4" w:space="0"/>
              <w:bottom w:val="single" w:color="auto" w:sz="4" w:space="0"/>
              <w:right w:val="single" w:color="auto" w:sz="4" w:space="0"/>
            </w:tcBorders>
            <w:vAlign w:val="center"/>
          </w:tcPr>
          <w:p w14:paraId="582F1E3D">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价格分统一采用低价优先法，即满足招标文件要求且</w:t>
            </w:r>
            <w:r>
              <w:rPr>
                <w:rFonts w:hint="eastAsia" w:ascii="宋体" w:hAnsi="宋体" w:eastAsia="宋体" w:cs="宋体"/>
                <w:b/>
                <w:bCs/>
                <w:color w:val="auto"/>
                <w:sz w:val="24"/>
                <w:szCs w:val="24"/>
                <w:highlight w:val="none"/>
                <w:lang w:bidi="zh-CN"/>
              </w:rPr>
              <w:t>投标价格</w:t>
            </w:r>
            <w:r>
              <w:rPr>
                <w:rFonts w:hint="eastAsia" w:ascii="宋体" w:hAnsi="宋体" w:eastAsia="宋体" w:cs="宋体"/>
                <w:b/>
                <w:bCs/>
                <w:color w:val="auto"/>
                <w:sz w:val="24"/>
                <w:szCs w:val="24"/>
                <w:highlight w:val="none"/>
                <w:lang w:val="en-US" w:eastAsia="zh-CN" w:bidi="zh-CN"/>
              </w:rPr>
              <w:t>/自身所投产品设计使用年限</w:t>
            </w:r>
            <w:r>
              <w:rPr>
                <w:rFonts w:hint="eastAsia" w:ascii="宋体" w:hAnsi="宋体" w:eastAsia="宋体" w:cs="宋体"/>
                <w:color w:val="auto"/>
                <w:sz w:val="24"/>
                <w:szCs w:val="24"/>
                <w:highlight w:val="none"/>
                <w:lang w:bidi="zh-CN"/>
              </w:rPr>
              <w:t>最低的投标报价为评标基准价，其价格分为满分</w:t>
            </w:r>
            <w:r>
              <w:rPr>
                <w:rFonts w:hint="eastAsia" w:ascii="宋体" w:hAnsi="宋体" w:eastAsia="宋体" w:cs="宋体"/>
                <w:color w:val="auto"/>
                <w:sz w:val="24"/>
                <w:szCs w:val="24"/>
                <w:highlight w:val="none"/>
                <w:lang w:val="en-US" w:bidi="zh-CN"/>
              </w:rPr>
              <w:t>25</w:t>
            </w:r>
            <w:r>
              <w:rPr>
                <w:rFonts w:hint="eastAsia" w:ascii="宋体" w:hAnsi="宋体" w:eastAsia="宋体" w:cs="宋体"/>
                <w:color w:val="auto"/>
                <w:sz w:val="24"/>
                <w:szCs w:val="24"/>
                <w:highlight w:val="none"/>
                <w:lang w:bidi="zh-CN"/>
              </w:rPr>
              <w:t>分。其他投标人的价格分统一按照下列公式计算：</w:t>
            </w:r>
          </w:p>
          <w:p w14:paraId="0E797F75">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投标报价得分＝【评标基准价/</w:t>
            </w:r>
            <w:r>
              <w:rPr>
                <w:rFonts w:hint="eastAsia" w:ascii="宋体" w:hAnsi="宋体" w:eastAsia="宋体" w:cs="宋体"/>
                <w:color w:val="auto"/>
                <w:sz w:val="24"/>
                <w:szCs w:val="24"/>
                <w:highlight w:val="none"/>
                <w:lang w:eastAsia="zh-CN" w:bidi="zh-CN"/>
              </w:rPr>
              <w:t>（</w:t>
            </w:r>
            <w:r>
              <w:rPr>
                <w:rFonts w:hint="eastAsia" w:ascii="宋体" w:hAnsi="宋体" w:eastAsia="宋体" w:cs="宋体"/>
                <w:color w:val="auto"/>
                <w:sz w:val="24"/>
                <w:szCs w:val="24"/>
                <w:highlight w:val="none"/>
                <w:lang w:bidi="zh-CN"/>
              </w:rPr>
              <w:t>投标报价</w:t>
            </w:r>
            <w:r>
              <w:rPr>
                <w:rFonts w:hint="eastAsia" w:ascii="宋体" w:hAnsi="宋体" w:eastAsia="宋体" w:cs="宋体"/>
                <w:color w:val="auto"/>
                <w:sz w:val="24"/>
                <w:szCs w:val="24"/>
                <w:highlight w:val="none"/>
                <w:lang w:val="en-US" w:eastAsia="zh-CN" w:bidi="zh-CN"/>
              </w:rPr>
              <w:t>/自身所投产品设计使用年限</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25</w:t>
            </w:r>
            <w:r>
              <w:rPr>
                <w:rFonts w:hint="eastAsia" w:ascii="宋体" w:hAnsi="宋体" w:eastAsia="宋体" w:cs="宋体"/>
                <w:color w:val="auto"/>
                <w:sz w:val="24"/>
                <w:szCs w:val="24"/>
                <w:highlight w:val="none"/>
                <w:lang w:bidi="zh-CN"/>
              </w:rPr>
              <w:t>×100％，</w:t>
            </w:r>
            <w:r>
              <w:rPr>
                <w:rFonts w:ascii="宋体" w:hAnsi="宋体" w:eastAsia="宋体" w:cs="宋体"/>
                <w:b/>
                <w:bCs/>
                <w:color w:val="auto"/>
                <w:sz w:val="24"/>
                <w:szCs w:val="24"/>
                <w:highlight w:val="none"/>
              </w:rPr>
              <w:t>设计年限以所投机型说明书/铭牌上或加盖厂家公章的技术白皮书上标注的为准。（</w:t>
            </w:r>
            <w:r>
              <w:rPr>
                <w:rFonts w:hint="eastAsia" w:ascii="宋体" w:hAnsi="宋体" w:eastAsia="宋体" w:cs="宋体"/>
                <w:b/>
                <w:bCs/>
                <w:color w:val="auto"/>
                <w:sz w:val="24"/>
                <w:szCs w:val="24"/>
                <w:highlight w:val="none"/>
                <w:lang w:val="en-US" w:eastAsia="zh-CN"/>
              </w:rPr>
              <w:t>投标人需</w:t>
            </w:r>
            <w:r>
              <w:rPr>
                <w:rFonts w:ascii="宋体" w:hAnsi="宋体" w:eastAsia="宋体" w:cs="宋体"/>
                <w:b/>
                <w:bCs/>
                <w:color w:val="auto"/>
                <w:sz w:val="24"/>
                <w:szCs w:val="24"/>
                <w:highlight w:val="none"/>
              </w:rPr>
              <w:t>提供说明书或铭牌或加盖厂家公章的技术白皮书）。</w:t>
            </w:r>
          </w:p>
        </w:tc>
      </w:tr>
      <w:tr w14:paraId="25D5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84" w:type="pct"/>
            <w:vMerge w:val="continue"/>
            <w:tcBorders>
              <w:left w:val="single" w:color="auto" w:sz="4" w:space="0"/>
              <w:right w:val="single" w:color="auto" w:sz="4" w:space="0"/>
            </w:tcBorders>
            <w:vAlign w:val="center"/>
          </w:tcPr>
          <w:p w14:paraId="6740E644">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289359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移动式等离子体空气消毒机价格分</w:t>
            </w:r>
          </w:p>
          <w:p w14:paraId="3E3D50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3817" w:type="pct"/>
            <w:gridSpan w:val="2"/>
            <w:tcBorders>
              <w:top w:val="single" w:color="auto" w:sz="4" w:space="0"/>
              <w:left w:val="single" w:color="auto" w:sz="4" w:space="0"/>
              <w:bottom w:val="single" w:color="auto" w:sz="4" w:space="0"/>
              <w:right w:val="single" w:color="auto" w:sz="4" w:space="0"/>
            </w:tcBorders>
            <w:vAlign w:val="center"/>
          </w:tcPr>
          <w:p w14:paraId="2D1E96E8">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价格分统一采用低价优先法，即满足招标文件要求且</w:t>
            </w:r>
            <w:r>
              <w:rPr>
                <w:rFonts w:hint="eastAsia" w:ascii="宋体" w:hAnsi="宋体" w:eastAsia="宋体" w:cs="宋体"/>
                <w:b/>
                <w:bCs/>
                <w:color w:val="auto"/>
                <w:sz w:val="24"/>
                <w:szCs w:val="24"/>
                <w:highlight w:val="none"/>
                <w:lang w:bidi="zh-CN"/>
              </w:rPr>
              <w:t>投标价格</w:t>
            </w:r>
            <w:r>
              <w:rPr>
                <w:rFonts w:hint="eastAsia" w:ascii="宋体" w:hAnsi="宋体" w:eastAsia="宋体" w:cs="宋体"/>
                <w:b/>
                <w:bCs/>
                <w:color w:val="auto"/>
                <w:sz w:val="24"/>
                <w:szCs w:val="24"/>
                <w:highlight w:val="none"/>
                <w:lang w:val="en-US" w:eastAsia="zh-CN" w:bidi="zh-CN"/>
              </w:rPr>
              <w:t>/自身所投产品设计使用年限</w:t>
            </w:r>
            <w:r>
              <w:rPr>
                <w:rFonts w:hint="eastAsia" w:ascii="宋体" w:hAnsi="宋体" w:eastAsia="宋体" w:cs="宋体"/>
                <w:color w:val="auto"/>
                <w:sz w:val="24"/>
                <w:szCs w:val="24"/>
                <w:highlight w:val="none"/>
                <w:lang w:bidi="zh-CN"/>
              </w:rPr>
              <w:t>最低的投标报价为评标基准价，其价格分为满分</w:t>
            </w:r>
            <w:r>
              <w:rPr>
                <w:rFonts w:hint="eastAsia" w:ascii="宋体" w:hAnsi="宋体" w:eastAsia="宋体" w:cs="宋体"/>
                <w:color w:val="auto"/>
                <w:sz w:val="24"/>
                <w:szCs w:val="24"/>
                <w:highlight w:val="none"/>
                <w:lang w:val="en-US" w:bidi="zh-CN"/>
              </w:rPr>
              <w:t>5</w:t>
            </w:r>
            <w:r>
              <w:rPr>
                <w:rFonts w:hint="eastAsia" w:ascii="宋体" w:hAnsi="宋体" w:eastAsia="宋体" w:cs="宋体"/>
                <w:color w:val="auto"/>
                <w:sz w:val="24"/>
                <w:szCs w:val="24"/>
                <w:highlight w:val="none"/>
                <w:lang w:bidi="zh-CN"/>
              </w:rPr>
              <w:t>分。其他投标人的价格分统一按照下列公式计算：</w:t>
            </w:r>
          </w:p>
          <w:p w14:paraId="14F78701">
            <w:pPr>
              <w:keepNext w:val="0"/>
              <w:keepLines w:val="0"/>
              <w:pageBreakBefore w:val="0"/>
              <w:widowControl w:val="0"/>
              <w:kinsoku w:val="0"/>
              <w:overflowPunct w:val="0"/>
              <w:topLinePunct w:val="0"/>
              <w:autoSpaceDE w:val="0"/>
              <w:autoSpaceDN w:val="0"/>
              <w:bidi w:val="0"/>
              <w:adjustRightInd w:val="0"/>
              <w:snapToGrid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投标报价得分＝【评标基准价/</w:t>
            </w:r>
            <w:r>
              <w:rPr>
                <w:rFonts w:hint="eastAsia" w:ascii="宋体" w:hAnsi="宋体" w:eastAsia="宋体" w:cs="宋体"/>
                <w:color w:val="auto"/>
                <w:sz w:val="24"/>
                <w:szCs w:val="24"/>
                <w:highlight w:val="none"/>
                <w:lang w:eastAsia="zh-CN" w:bidi="zh-CN"/>
              </w:rPr>
              <w:t>（</w:t>
            </w:r>
            <w:r>
              <w:rPr>
                <w:rFonts w:hint="eastAsia" w:ascii="宋体" w:hAnsi="宋体" w:eastAsia="宋体" w:cs="宋体"/>
                <w:color w:val="auto"/>
                <w:sz w:val="24"/>
                <w:szCs w:val="24"/>
                <w:highlight w:val="none"/>
                <w:lang w:bidi="zh-CN"/>
              </w:rPr>
              <w:t>投标报价</w:t>
            </w:r>
            <w:r>
              <w:rPr>
                <w:rFonts w:hint="eastAsia" w:ascii="宋体" w:hAnsi="宋体" w:eastAsia="宋体" w:cs="宋体"/>
                <w:color w:val="auto"/>
                <w:sz w:val="24"/>
                <w:szCs w:val="24"/>
                <w:highlight w:val="none"/>
                <w:lang w:val="en-US" w:eastAsia="zh-CN" w:bidi="zh-CN"/>
              </w:rPr>
              <w:t>/自身所投产品设计使用年限</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5</w:t>
            </w:r>
            <w:r>
              <w:rPr>
                <w:rFonts w:hint="eastAsia" w:ascii="宋体" w:hAnsi="宋体" w:eastAsia="宋体" w:cs="宋体"/>
                <w:color w:val="auto"/>
                <w:sz w:val="24"/>
                <w:szCs w:val="24"/>
                <w:highlight w:val="none"/>
                <w:lang w:bidi="zh-CN"/>
              </w:rPr>
              <w:t>×100％，</w:t>
            </w:r>
            <w:r>
              <w:rPr>
                <w:rFonts w:ascii="宋体" w:hAnsi="宋体" w:eastAsia="宋体" w:cs="宋体"/>
                <w:b/>
                <w:bCs/>
                <w:color w:val="auto"/>
                <w:sz w:val="24"/>
                <w:szCs w:val="24"/>
                <w:highlight w:val="none"/>
              </w:rPr>
              <w:t>设计年限以所投机型说明书/铭牌上或加盖厂家公章的技术白皮书上标注的为准。（</w:t>
            </w:r>
            <w:r>
              <w:rPr>
                <w:rFonts w:hint="eastAsia" w:ascii="宋体" w:hAnsi="宋体" w:eastAsia="宋体" w:cs="宋体"/>
                <w:b/>
                <w:bCs/>
                <w:color w:val="auto"/>
                <w:sz w:val="24"/>
                <w:szCs w:val="24"/>
                <w:highlight w:val="none"/>
                <w:lang w:val="en-US" w:eastAsia="zh-CN"/>
              </w:rPr>
              <w:t>投标人需</w:t>
            </w:r>
            <w:r>
              <w:rPr>
                <w:rFonts w:ascii="宋体" w:hAnsi="宋体" w:eastAsia="宋体" w:cs="宋体"/>
                <w:b/>
                <w:bCs/>
                <w:color w:val="auto"/>
                <w:sz w:val="24"/>
                <w:szCs w:val="24"/>
                <w:highlight w:val="none"/>
              </w:rPr>
              <w:t>提供说明书或铭牌或加盖厂家公章的技术白皮书）。</w:t>
            </w:r>
          </w:p>
        </w:tc>
      </w:tr>
    </w:tbl>
    <w:p w14:paraId="72037C7E">
      <w:pPr>
        <w:keepNext w:val="0"/>
        <w:keepLines w:val="0"/>
        <w:pageBreakBefore w:val="0"/>
        <w:widowControl w:val="0"/>
        <w:topLinePunct w:val="0"/>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keepNext w:val="0"/>
        <w:keepLines w:val="0"/>
        <w:pageBreakBefore w:val="0"/>
        <w:widowControl w:val="0"/>
        <w:topLinePunct w:val="0"/>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keepNext w:val="0"/>
        <w:keepLines w:val="0"/>
        <w:pageBreakBefore w:val="0"/>
        <w:widowControl w:val="0"/>
        <w:topLinePunct w:val="0"/>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074364C">
      <w:pPr>
        <w:spacing w:line="360" w:lineRule="auto"/>
        <w:ind w:firstLine="435"/>
        <w:rPr>
          <w:rFonts w:hint="eastAsia" w:asciiTheme="minorEastAsia" w:hAnsiTheme="minorEastAsia" w:eastAsiaTheme="minorEastAsia"/>
          <w:color w:val="auto"/>
          <w:sz w:val="24"/>
          <w:highlight w:val="none"/>
        </w:rPr>
      </w:pPr>
    </w:p>
    <w:p w14:paraId="6DB3DB52">
      <w:pPr>
        <w:spacing w:line="360" w:lineRule="auto"/>
        <w:ind w:firstLine="435"/>
        <w:rPr>
          <w:rFonts w:hint="eastAsia" w:asciiTheme="minorEastAsia" w:hAnsiTheme="minorEastAsia" w:eastAsiaTheme="minorEastAsia"/>
          <w:color w:val="auto"/>
          <w:sz w:val="24"/>
          <w:highlight w:val="none"/>
        </w:rPr>
      </w:pPr>
    </w:p>
    <w:p w14:paraId="4979E0AA">
      <w:pPr>
        <w:spacing w:line="360" w:lineRule="auto"/>
        <w:ind w:firstLine="435"/>
        <w:rPr>
          <w:rFonts w:hint="eastAsia" w:asciiTheme="minorEastAsia" w:hAnsiTheme="minorEastAsia" w:eastAsiaTheme="minorEastAsia"/>
          <w:color w:val="auto"/>
          <w:sz w:val="24"/>
          <w:highlight w:val="none"/>
        </w:rPr>
      </w:pPr>
    </w:p>
    <w:p w14:paraId="6C9F5467">
      <w:pPr>
        <w:spacing w:line="360" w:lineRule="auto"/>
        <w:ind w:firstLine="435"/>
        <w:rPr>
          <w:rFonts w:hint="eastAsia" w:asciiTheme="minorEastAsia" w:hAnsiTheme="minorEastAsia" w:eastAsiaTheme="minorEastAsia"/>
          <w:color w:val="auto"/>
          <w:sz w:val="24"/>
          <w:highlight w:val="none"/>
        </w:rPr>
      </w:pPr>
    </w:p>
    <w:p w14:paraId="441683E8">
      <w:pPr>
        <w:spacing w:line="360" w:lineRule="auto"/>
        <w:ind w:firstLine="435"/>
        <w:rPr>
          <w:rFonts w:hint="eastAsia" w:asciiTheme="minorEastAsia" w:hAnsiTheme="minorEastAsia" w:eastAsiaTheme="minorEastAsia"/>
          <w:color w:val="auto"/>
          <w:sz w:val="24"/>
          <w:highlight w:val="none"/>
        </w:rPr>
      </w:pPr>
    </w:p>
    <w:p w14:paraId="6377E864">
      <w:pPr>
        <w:spacing w:line="360" w:lineRule="auto"/>
        <w:ind w:firstLine="435"/>
        <w:rPr>
          <w:rFonts w:hint="eastAsia" w:asciiTheme="minorEastAsia" w:hAnsiTheme="minorEastAsia" w:eastAsiaTheme="minorEastAsia"/>
          <w:color w:val="auto"/>
          <w:sz w:val="24"/>
          <w:highlight w:val="none"/>
        </w:rPr>
      </w:pPr>
    </w:p>
    <w:p w14:paraId="4685E141">
      <w:pPr>
        <w:spacing w:line="360" w:lineRule="auto"/>
        <w:ind w:firstLine="435"/>
        <w:rPr>
          <w:rFonts w:hint="eastAsia" w:asciiTheme="minorEastAsia" w:hAnsiTheme="minorEastAsia" w:eastAsiaTheme="minorEastAsia"/>
          <w:color w:val="auto"/>
          <w:sz w:val="24"/>
          <w:highlight w:val="none"/>
        </w:rPr>
      </w:pPr>
    </w:p>
    <w:p w14:paraId="1A0E8746">
      <w:pPr>
        <w:spacing w:line="360" w:lineRule="auto"/>
        <w:ind w:firstLine="435"/>
        <w:rPr>
          <w:rFonts w:hint="eastAsia" w:asciiTheme="minorEastAsia" w:hAnsiTheme="minorEastAsia" w:eastAsiaTheme="minorEastAsia"/>
          <w:color w:val="auto"/>
          <w:sz w:val="24"/>
          <w:highlight w:val="none"/>
        </w:rPr>
      </w:pPr>
    </w:p>
    <w:p w14:paraId="5ACF6BE9">
      <w:pPr>
        <w:spacing w:line="360" w:lineRule="auto"/>
        <w:ind w:firstLine="435"/>
        <w:rPr>
          <w:rFonts w:hint="eastAsia" w:asciiTheme="minorEastAsia" w:hAnsiTheme="minorEastAsia" w:eastAsiaTheme="minorEastAsia"/>
          <w:color w:val="auto"/>
          <w:sz w:val="24"/>
          <w:highlight w:val="none"/>
        </w:rPr>
      </w:pPr>
    </w:p>
    <w:p w14:paraId="3D239476">
      <w:pPr>
        <w:spacing w:line="360" w:lineRule="auto"/>
        <w:ind w:firstLine="435"/>
        <w:rPr>
          <w:rFonts w:hint="eastAsia" w:asciiTheme="minorEastAsia" w:hAnsiTheme="minorEastAsia" w:eastAsiaTheme="minorEastAsia"/>
          <w:color w:val="auto"/>
          <w:sz w:val="24"/>
          <w:highlight w:val="none"/>
        </w:rPr>
      </w:pPr>
    </w:p>
    <w:p w14:paraId="398D2A73">
      <w:pPr>
        <w:spacing w:line="360" w:lineRule="auto"/>
        <w:ind w:firstLine="435"/>
        <w:rPr>
          <w:rFonts w:hint="eastAsia" w:asciiTheme="minorEastAsia" w:hAnsiTheme="minorEastAsia" w:eastAsiaTheme="minorEastAsia"/>
          <w:color w:val="auto"/>
          <w:sz w:val="24"/>
          <w:highlight w:val="none"/>
        </w:rPr>
      </w:pPr>
    </w:p>
    <w:p w14:paraId="183B3D0D">
      <w:pPr>
        <w:spacing w:line="360" w:lineRule="auto"/>
        <w:ind w:firstLine="435"/>
        <w:rPr>
          <w:rFonts w:hint="eastAsia" w:asciiTheme="minorEastAsia" w:hAnsiTheme="minorEastAsia" w:eastAsiaTheme="minorEastAsia"/>
          <w:color w:val="auto"/>
          <w:sz w:val="24"/>
          <w:highlight w:val="none"/>
        </w:rPr>
      </w:pPr>
    </w:p>
    <w:p w14:paraId="62587B77">
      <w:pPr>
        <w:spacing w:line="360" w:lineRule="auto"/>
        <w:ind w:firstLine="435"/>
        <w:rPr>
          <w:rFonts w:hint="eastAsia" w:asciiTheme="minorEastAsia" w:hAnsiTheme="minorEastAsia" w:eastAsiaTheme="minorEastAsia"/>
          <w:color w:val="auto"/>
          <w:sz w:val="24"/>
          <w:highlight w:val="none"/>
        </w:rPr>
      </w:pPr>
    </w:p>
    <w:p w14:paraId="0C0C1582">
      <w:pPr>
        <w:spacing w:line="360" w:lineRule="auto"/>
        <w:ind w:firstLine="435"/>
        <w:rPr>
          <w:rFonts w:hint="eastAsia" w:asciiTheme="minorEastAsia" w:hAnsiTheme="minorEastAsia" w:eastAsiaTheme="minorEastAsia"/>
          <w:color w:val="auto"/>
          <w:sz w:val="24"/>
          <w:highlight w:val="none"/>
        </w:rPr>
      </w:pPr>
    </w:p>
    <w:p w14:paraId="2C8AD7F8">
      <w:pPr>
        <w:spacing w:line="360" w:lineRule="auto"/>
        <w:ind w:firstLine="435"/>
        <w:rPr>
          <w:rFonts w:hint="eastAsia" w:asciiTheme="minorEastAsia" w:hAnsiTheme="minorEastAsia" w:eastAsiaTheme="minorEastAsia"/>
          <w:color w:val="auto"/>
          <w:sz w:val="24"/>
          <w:highlight w:val="none"/>
        </w:rPr>
      </w:pPr>
    </w:p>
    <w:p w14:paraId="523E384E">
      <w:pPr>
        <w:spacing w:line="360" w:lineRule="auto"/>
        <w:ind w:firstLine="435"/>
        <w:rPr>
          <w:rFonts w:hint="eastAsia" w:asciiTheme="minorEastAsia" w:hAnsiTheme="minorEastAsia" w:eastAsiaTheme="minorEastAsia"/>
          <w:color w:val="auto"/>
          <w:sz w:val="24"/>
          <w:highlight w:val="none"/>
        </w:rPr>
      </w:pPr>
    </w:p>
    <w:p w14:paraId="45075DDC">
      <w:pPr>
        <w:spacing w:line="360" w:lineRule="auto"/>
        <w:ind w:firstLine="435"/>
        <w:rPr>
          <w:rFonts w:hint="eastAsia" w:asciiTheme="minorEastAsia" w:hAnsiTheme="minorEastAsia" w:eastAsiaTheme="minorEastAsia"/>
          <w:color w:val="auto"/>
          <w:sz w:val="24"/>
          <w:highlight w:val="none"/>
        </w:rPr>
      </w:pPr>
    </w:p>
    <w:p w14:paraId="156A582B">
      <w:pPr>
        <w:spacing w:line="360" w:lineRule="auto"/>
        <w:ind w:firstLine="435"/>
        <w:rPr>
          <w:rFonts w:hint="eastAsia" w:asciiTheme="minorEastAsia" w:hAnsiTheme="minorEastAsia" w:eastAsiaTheme="minorEastAsia"/>
          <w:color w:val="auto"/>
          <w:sz w:val="24"/>
          <w:highlight w:val="none"/>
        </w:rPr>
      </w:pPr>
    </w:p>
    <w:p w14:paraId="3E9982E1">
      <w:pPr>
        <w:widowControl/>
        <w:numPr>
          <w:ilvl w:val="0"/>
          <w:numId w:val="1"/>
        </w:numPr>
        <w:jc w:val="center"/>
        <w:rPr>
          <w:rFonts w:asciiTheme="minorEastAsia" w:hAnsiTheme="minorEastAsia" w:eastAsiaTheme="minorEastAsia"/>
          <w:b/>
          <w:color w:val="auto"/>
          <w:sz w:val="28"/>
          <w:highlight w:val="none"/>
        </w:rPr>
      </w:pPr>
      <w:bookmarkStart w:id="56" w:name="_Toc4682"/>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政府采购合同</w:t>
      </w:r>
      <w:bookmarkEnd w:id="56"/>
    </w:p>
    <w:p w14:paraId="76110EF8">
      <w:pPr>
        <w:widowControl/>
        <w:numPr>
          <w:ilvl w:val="0"/>
          <w:numId w:val="0"/>
        </w:numPr>
        <w:jc w:val="center"/>
        <w:rPr>
          <w:rFonts w:hint="eastAsia" w:asciiTheme="minorEastAsia" w:hAnsiTheme="minorEastAsia" w:eastAsiaTheme="minorEastAsia"/>
          <w:b/>
          <w:color w:val="auto"/>
          <w:sz w:val="28"/>
          <w:highlight w:val="none"/>
        </w:rPr>
      </w:pPr>
    </w:p>
    <w:p w14:paraId="29357B18">
      <w:pPr>
        <w:widowControl/>
        <w:numPr>
          <w:ilvl w:val="0"/>
          <w:numId w:val="0"/>
        </w:numPr>
        <w:jc w:val="center"/>
        <w:rPr>
          <w:rFonts w:hint="eastAsia" w:asciiTheme="minorEastAsia" w:hAnsiTheme="minorEastAsia" w:eastAsiaTheme="minorEastAsia"/>
          <w:b/>
          <w:color w:val="auto"/>
          <w:sz w:val="28"/>
          <w:highlight w:val="none"/>
        </w:rPr>
      </w:pPr>
    </w:p>
    <w:p w14:paraId="71A785C1">
      <w:pPr>
        <w:widowControl/>
        <w:numPr>
          <w:ilvl w:val="0"/>
          <w:numId w:val="0"/>
        </w:numPr>
        <w:jc w:val="center"/>
        <w:rPr>
          <w:rFonts w:hint="eastAsia" w:asciiTheme="minorEastAsia" w:hAnsiTheme="minorEastAsia" w:eastAsiaTheme="minorEastAsia"/>
          <w:b/>
          <w:color w:val="auto"/>
          <w:sz w:val="28"/>
          <w:highlight w:val="none"/>
        </w:rPr>
      </w:pPr>
    </w:p>
    <w:p w14:paraId="47F94323">
      <w:pPr>
        <w:pStyle w:val="9"/>
        <w:spacing w:after="0" w:line="360" w:lineRule="auto"/>
        <w:jc w:val="center"/>
        <w:rPr>
          <w:rFonts w:hint="default" w:ascii="宋体" w:hAnsi="宋体" w:eastAsia="宋体" w:cs="宋体"/>
          <w:b/>
          <w:bCs/>
          <w:color w:val="auto"/>
          <w:spacing w:val="-20"/>
          <w:kern w:val="44"/>
          <w:sz w:val="30"/>
          <w:szCs w:val="30"/>
          <w:highlight w:val="none"/>
          <w:lang w:val="en-US" w:eastAsia="zh-CN"/>
        </w:rPr>
      </w:pPr>
      <w:bookmarkStart w:id="57" w:name="_Toc22492"/>
      <w:r>
        <w:rPr>
          <w:rFonts w:hint="eastAsia" w:ascii="宋体" w:hAnsi="宋体" w:eastAsia="宋体" w:cs="宋体"/>
          <w:b/>
          <w:bCs/>
          <w:color w:val="auto"/>
          <w:spacing w:val="-20"/>
          <w:kern w:val="44"/>
          <w:sz w:val="30"/>
          <w:szCs w:val="30"/>
          <w:highlight w:val="none"/>
          <w:lang w:val="en-US" w:eastAsia="zh-CN"/>
        </w:rPr>
        <w:t>（此格式合格仅供参考）</w:t>
      </w:r>
    </w:p>
    <w:p w14:paraId="35B51E81">
      <w:pPr>
        <w:pStyle w:val="9"/>
        <w:spacing w:after="0" w:line="360" w:lineRule="auto"/>
        <w:jc w:val="center"/>
        <w:rPr>
          <w:rFonts w:hint="eastAsia" w:ascii="宋体" w:hAnsi="宋体" w:eastAsia="宋体" w:cs="宋体"/>
          <w:b/>
          <w:bCs/>
          <w:color w:val="auto"/>
          <w:spacing w:val="-20"/>
          <w:kern w:val="44"/>
          <w:sz w:val="24"/>
          <w:highlight w:val="none"/>
        </w:rPr>
      </w:pPr>
    </w:p>
    <w:p w14:paraId="5D8504E7">
      <w:pPr>
        <w:pStyle w:val="9"/>
        <w:spacing w:after="0" w:line="360" w:lineRule="auto"/>
        <w:jc w:val="center"/>
        <w:rPr>
          <w:rFonts w:hint="eastAsia" w:ascii="宋体" w:hAnsi="宋体" w:eastAsia="宋体" w:cs="宋体"/>
          <w:b/>
          <w:bCs/>
          <w:color w:val="auto"/>
          <w:spacing w:val="-20"/>
          <w:kern w:val="44"/>
          <w:sz w:val="24"/>
          <w:highlight w:val="none"/>
        </w:rPr>
      </w:pPr>
    </w:p>
    <w:p w14:paraId="5319F98B">
      <w:pPr>
        <w:pStyle w:val="9"/>
        <w:spacing w:after="0" w:line="360" w:lineRule="auto"/>
        <w:jc w:val="center"/>
        <w:rPr>
          <w:rFonts w:hint="eastAsia" w:ascii="宋体" w:hAnsi="宋体" w:eastAsia="宋体" w:cs="宋体"/>
          <w:b/>
          <w:bCs/>
          <w:color w:val="auto"/>
          <w:spacing w:val="-20"/>
          <w:kern w:val="44"/>
          <w:sz w:val="24"/>
          <w:highlight w:val="none"/>
        </w:rPr>
      </w:pPr>
    </w:p>
    <w:p w14:paraId="26872B5B">
      <w:pPr>
        <w:pStyle w:val="9"/>
        <w:spacing w:after="0" w:line="360" w:lineRule="auto"/>
        <w:jc w:val="center"/>
        <w:rPr>
          <w:rFonts w:hint="eastAsia" w:ascii="宋体" w:hAnsi="宋体" w:eastAsia="宋体" w:cs="宋体"/>
          <w:b/>
          <w:bCs/>
          <w:color w:val="auto"/>
          <w:spacing w:val="-20"/>
          <w:kern w:val="44"/>
          <w:sz w:val="24"/>
          <w:highlight w:val="none"/>
        </w:rPr>
      </w:pPr>
    </w:p>
    <w:p w14:paraId="2A96FE14">
      <w:pPr>
        <w:spacing w:line="360" w:lineRule="auto"/>
        <w:rPr>
          <w:rFonts w:hint="eastAsia" w:ascii="宋体" w:hAnsi="宋体" w:eastAsia="宋体" w:cs="宋体"/>
          <w:b/>
          <w:bCs/>
          <w:color w:val="auto"/>
          <w:spacing w:val="-20"/>
          <w:kern w:val="44"/>
          <w:sz w:val="24"/>
          <w:szCs w:val="24"/>
          <w:highlight w:val="none"/>
        </w:rPr>
      </w:pPr>
    </w:p>
    <w:p w14:paraId="7268F44B">
      <w:pPr>
        <w:pStyle w:val="9"/>
        <w:rPr>
          <w:rFonts w:hint="eastAsia" w:ascii="宋体" w:hAnsi="宋体" w:eastAsia="宋体" w:cs="宋体"/>
          <w:b/>
          <w:bCs/>
          <w:color w:val="auto"/>
          <w:spacing w:val="-20"/>
          <w:kern w:val="44"/>
          <w:sz w:val="24"/>
          <w:highlight w:val="none"/>
        </w:rPr>
      </w:pPr>
    </w:p>
    <w:p w14:paraId="3333A1FA">
      <w:pPr>
        <w:pStyle w:val="9"/>
        <w:rPr>
          <w:rFonts w:hint="eastAsia" w:ascii="宋体" w:hAnsi="宋体" w:eastAsia="宋体" w:cs="宋体"/>
          <w:b/>
          <w:bCs/>
          <w:color w:val="auto"/>
          <w:spacing w:val="-20"/>
          <w:kern w:val="44"/>
          <w:sz w:val="24"/>
          <w:highlight w:val="none"/>
        </w:rPr>
      </w:pPr>
    </w:p>
    <w:p w14:paraId="5ED9C677">
      <w:pPr>
        <w:spacing w:line="360" w:lineRule="auto"/>
        <w:rPr>
          <w:rFonts w:hint="eastAsia" w:ascii="宋体" w:hAnsi="宋体" w:eastAsia="宋体" w:cs="宋体"/>
          <w:b/>
          <w:bCs/>
          <w:color w:val="auto"/>
          <w:spacing w:val="-20"/>
          <w:kern w:val="44"/>
          <w:sz w:val="24"/>
          <w:szCs w:val="24"/>
          <w:highlight w:val="none"/>
        </w:rPr>
      </w:pPr>
    </w:p>
    <w:p w14:paraId="639FAA7B">
      <w:pPr>
        <w:pStyle w:val="9"/>
        <w:spacing w:line="360" w:lineRule="auto"/>
        <w:rPr>
          <w:rFonts w:hint="eastAsia"/>
          <w:color w:val="auto"/>
          <w:highlight w:val="none"/>
        </w:rPr>
      </w:pPr>
    </w:p>
    <w:p w14:paraId="7F5C160F">
      <w:pPr>
        <w:spacing w:line="360" w:lineRule="auto"/>
        <w:rPr>
          <w:rFonts w:hint="eastAsia" w:ascii="宋体" w:hAnsi="宋体" w:eastAsia="宋体" w:cs="宋体"/>
          <w:b/>
          <w:bCs/>
          <w:color w:val="auto"/>
          <w:spacing w:val="-20"/>
          <w:kern w:val="44"/>
          <w:sz w:val="24"/>
          <w:szCs w:val="24"/>
          <w:highlight w:val="none"/>
        </w:rPr>
      </w:pPr>
    </w:p>
    <w:p w14:paraId="0AC73470">
      <w:pPr>
        <w:spacing w:line="360" w:lineRule="auto"/>
        <w:ind w:left="420" w:leftChars="200"/>
        <w:rPr>
          <w:rFonts w:hint="eastAsia" w:ascii="宋体" w:hAnsi="宋体" w:eastAsia="宋体" w:cs="Times New Roman"/>
          <w:i/>
          <w:iCs/>
          <w:color w:val="auto"/>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滁州市第一人民医院</w:t>
      </w:r>
      <w:r>
        <w:rPr>
          <w:rFonts w:hint="eastAsia" w:ascii="宋体" w:hAnsi="宋体" w:eastAsia="宋体" w:cs="宋体"/>
          <w:color w:val="auto"/>
          <w:sz w:val="24"/>
          <w:szCs w:val="24"/>
          <w:highlight w:val="none"/>
          <w:u w:val="single"/>
          <w:lang w:eastAsia="zh-CN"/>
        </w:rPr>
        <w:t>等离子体空气消毒机采购项目</w:t>
      </w:r>
    </w:p>
    <w:p w14:paraId="17337140">
      <w:pPr>
        <w:spacing w:line="360" w:lineRule="auto"/>
        <w:ind w:left="420" w:leftChars="200"/>
        <w:rPr>
          <w:rFonts w:hint="eastAsia" w:eastAsia="宋体"/>
          <w:color w:val="auto"/>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CZYY-2026-</w:t>
      </w:r>
      <w:r>
        <w:rPr>
          <w:rFonts w:hint="eastAsia" w:ascii="宋体" w:hAnsi="宋体" w:eastAsia="宋体" w:cs="宋体"/>
          <w:color w:val="auto"/>
          <w:sz w:val="24"/>
          <w:szCs w:val="24"/>
          <w:highlight w:val="none"/>
          <w:u w:val="single"/>
          <w:lang w:val="en-US" w:eastAsia="zh-CN"/>
        </w:rPr>
        <w:t xml:space="preserve">6 </w:t>
      </w:r>
    </w:p>
    <w:p w14:paraId="2B8C5F72">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rPr>
          <w:rFonts w:hint="eastAsia" w:ascii="宋体" w:hAnsi="宋体" w:eastAsia="宋体" w:cs="宋体"/>
          <w:color w:val="auto"/>
          <w:sz w:val="24"/>
          <w:szCs w:val="24"/>
          <w:highlight w:val="none"/>
        </w:rPr>
      </w:pPr>
    </w:p>
    <w:p w14:paraId="3A46AF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rPr>
          <w:rFonts w:hint="eastAsia" w:ascii="宋体" w:hAnsi="宋体" w:eastAsia="宋体" w:cs="宋体"/>
          <w:color w:val="auto"/>
          <w:sz w:val="24"/>
          <w:szCs w:val="24"/>
          <w:highlight w:val="none"/>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auto"/>
          <w:sz w:val="24"/>
          <w:highlight w:val="none"/>
        </w:rPr>
      </w:pPr>
      <w:bookmarkStart w:id="58" w:name="_Toc22209"/>
      <w:r>
        <w:rPr>
          <w:rFonts w:hint="eastAsia" w:ascii="宋体" w:hAnsi="宋体" w:eastAsia="宋体"/>
          <w:b/>
          <w:color w:val="auto"/>
          <w:sz w:val="24"/>
          <w:highlight w:val="none"/>
        </w:rPr>
        <w:t>第一节 政府采购合同协议书</w:t>
      </w:r>
      <w:bookmarkEnd w:id="58"/>
    </w:p>
    <w:p w14:paraId="0E5D5595">
      <w:pPr>
        <w:adjustRightInd w:val="0"/>
        <w:snapToGrid w:val="0"/>
        <w:spacing w:line="360" w:lineRule="auto"/>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滁州市第一人民医院等离子体空气消毒机采购项目</w:t>
      </w:r>
      <w:r>
        <w:rPr>
          <w:rFonts w:hint="eastAsia" w:ascii="宋体" w:hAnsi="宋体" w:eastAsia="宋体" w:cs="宋体"/>
          <w:color w:val="auto"/>
          <w:sz w:val="24"/>
          <w:szCs w:val="24"/>
          <w:highlight w:val="none"/>
          <w:u w:val="single"/>
        </w:rPr>
        <w:t xml:space="preserve"> </w:t>
      </w:r>
    </w:p>
    <w:p w14:paraId="212B3DE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w:t>
      </w:r>
      <w:r>
        <w:rPr>
          <w:rFonts w:hint="eastAsia" w:ascii="宋体" w:hAnsi="宋体" w:eastAsia="宋体" w:cs="宋体"/>
          <w:color w:val="auto"/>
          <w:sz w:val="24"/>
          <w:szCs w:val="24"/>
          <w:highlight w:val="none"/>
          <w:u w:val="single"/>
          <w:lang w:val="en-US" w:eastAsia="zh-CN"/>
        </w:rPr>
        <w:t xml:space="preserve">6 </w:t>
      </w:r>
    </w:p>
    <w:p w14:paraId="12F31C8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4"/>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3D782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8D7E5">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签订时间</w:t>
            </w:r>
          </w:p>
        </w:tc>
        <w:tc>
          <w:tcPr>
            <w:tcW w:w="1436" w:type="pct"/>
            <w:tcBorders>
              <w:top w:val="single" w:color="auto" w:sz="2" w:space="0"/>
              <w:left w:val="single" w:color="auto" w:sz="2" w:space="0"/>
              <w:bottom w:val="single" w:color="auto" w:sz="2" w:space="0"/>
              <w:right w:val="single" w:color="auto" w:sz="2" w:space="0"/>
            </w:tcBorders>
            <w:vAlign w:val="center"/>
          </w:tcPr>
          <w:p w14:paraId="15A35ED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3779A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签订时间</w:t>
            </w:r>
          </w:p>
        </w:tc>
        <w:tc>
          <w:tcPr>
            <w:tcW w:w="1260" w:type="pct"/>
            <w:tcBorders>
              <w:top w:val="single" w:color="auto" w:sz="2" w:space="0"/>
              <w:left w:val="single" w:color="auto" w:sz="2" w:space="0"/>
              <w:bottom w:val="single" w:color="auto" w:sz="2" w:space="0"/>
            </w:tcBorders>
            <w:vAlign w:val="center"/>
          </w:tcPr>
          <w:p w14:paraId="014A1050">
            <w:pPr>
              <w:adjustRightInd w:val="0"/>
              <w:snapToGrid w:val="0"/>
              <w:spacing w:line="360" w:lineRule="auto"/>
              <w:jc w:val="center"/>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bookmarkStart w:id="59" w:name="_Toc27624"/>
      <w:r>
        <w:rPr>
          <w:rFonts w:hint="eastAsia" w:ascii="宋体" w:hAnsi="宋体" w:eastAsia="宋体" w:cs="@仿宋_GB2312"/>
          <w:bCs w:val="0"/>
          <w:color w:val="auto"/>
          <w:sz w:val="24"/>
          <w:szCs w:val="20"/>
          <w:highlight w:val="none"/>
        </w:rPr>
        <w:t>第二节 政府采购合同通用条款</w:t>
      </w:r>
      <w:bookmarkEnd w:id="59"/>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5"/>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6"/>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3"/>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0"/>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7"/>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8"/>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p>
    <w:p w14:paraId="33DE33A7">
      <w:pPr>
        <w:rPr>
          <w:rFonts w:hint="eastAsia" w:asciiTheme="minorEastAsia" w:hAnsiTheme="minorEastAsia" w:eastAsiaTheme="minorEastAsia"/>
          <w:b/>
          <w:color w:val="auto"/>
          <w:sz w:val="24"/>
          <w:highlight w:val="none"/>
        </w:rPr>
      </w:pPr>
    </w:p>
    <w:p w14:paraId="6E704C9B">
      <w:pPr>
        <w:rPr>
          <w:rFonts w:hint="eastAsia" w:asciiTheme="minorEastAsia" w:hAnsiTheme="minorEastAsia" w:eastAsiaTheme="minorEastAsia"/>
          <w:b/>
          <w:color w:val="auto"/>
          <w:sz w:val="24"/>
          <w:highlight w:val="none"/>
        </w:rPr>
      </w:pPr>
    </w:p>
    <w:p w14:paraId="6537C653">
      <w:pPr>
        <w:rPr>
          <w:rFonts w:hint="eastAsia" w:asciiTheme="minorEastAsia" w:hAnsiTheme="minorEastAsia" w:eastAsiaTheme="minorEastAsia"/>
          <w:b/>
          <w:color w:val="auto"/>
          <w:sz w:val="24"/>
          <w:highlight w:val="none"/>
        </w:rPr>
      </w:pPr>
    </w:p>
    <w:p w14:paraId="27C04D46">
      <w:pPr>
        <w:rPr>
          <w:rFonts w:hint="eastAsia" w:asciiTheme="minorEastAsia" w:hAnsiTheme="minorEastAsia" w:eastAsiaTheme="minorEastAsia"/>
          <w:b/>
          <w:color w:val="auto"/>
          <w:sz w:val="24"/>
          <w:highlight w:val="none"/>
        </w:rPr>
      </w:pPr>
    </w:p>
    <w:p w14:paraId="17613838">
      <w:pPr>
        <w:rPr>
          <w:rFonts w:hint="eastAsia" w:asciiTheme="minorEastAsia" w:hAnsiTheme="minorEastAsia" w:eastAsiaTheme="minorEastAsia"/>
          <w:b/>
          <w:color w:val="auto"/>
          <w:sz w:val="24"/>
          <w:highlight w:val="none"/>
        </w:rPr>
      </w:pPr>
    </w:p>
    <w:p w14:paraId="07B68241">
      <w:pPr>
        <w:rPr>
          <w:rFonts w:hint="eastAsia" w:asciiTheme="minorEastAsia" w:hAnsiTheme="minorEastAsia" w:eastAsiaTheme="minorEastAsia"/>
          <w:b/>
          <w:color w:val="auto"/>
          <w:sz w:val="24"/>
          <w:highlight w:val="none"/>
        </w:rPr>
      </w:pPr>
    </w:p>
    <w:p w14:paraId="7FAFBD25">
      <w:pPr>
        <w:rPr>
          <w:rFonts w:hint="eastAsia" w:asciiTheme="minorEastAsia" w:hAnsiTheme="minorEastAsia" w:eastAsiaTheme="minorEastAsia"/>
          <w:b/>
          <w:color w:val="auto"/>
          <w:sz w:val="24"/>
          <w:highlight w:val="none"/>
        </w:rPr>
      </w:pPr>
    </w:p>
    <w:p w14:paraId="13F823DD">
      <w:pPr>
        <w:rPr>
          <w:rFonts w:hint="eastAsia" w:asciiTheme="minorEastAsia" w:hAnsiTheme="minorEastAsia" w:eastAsiaTheme="minorEastAsia"/>
          <w:b/>
          <w:color w:val="auto"/>
          <w:sz w:val="24"/>
          <w:highlight w:val="none"/>
        </w:rPr>
      </w:pPr>
    </w:p>
    <w:p w14:paraId="31848CA9">
      <w:pPr>
        <w:rPr>
          <w:rFonts w:hint="eastAsia" w:asciiTheme="minorEastAsia" w:hAnsiTheme="minorEastAsia" w:eastAsiaTheme="minorEastAsia"/>
          <w:b/>
          <w:color w:val="auto"/>
          <w:sz w:val="24"/>
          <w:highlight w:val="none"/>
        </w:rPr>
      </w:pPr>
    </w:p>
    <w:p w14:paraId="4514EBC9">
      <w:pPr>
        <w:rPr>
          <w:rFonts w:hint="eastAsia" w:asciiTheme="minorEastAsia" w:hAnsiTheme="minorEastAsia" w:eastAsiaTheme="minorEastAsia"/>
          <w:b/>
          <w:color w:val="auto"/>
          <w:sz w:val="24"/>
          <w:highlight w:val="none"/>
        </w:rPr>
      </w:pPr>
    </w:p>
    <w:p w14:paraId="4EA6674B">
      <w:pPr>
        <w:rPr>
          <w:rFonts w:hint="eastAsia" w:asciiTheme="minorEastAsia" w:hAnsiTheme="minorEastAsia" w:eastAsiaTheme="minorEastAsia"/>
          <w:b/>
          <w:color w:val="auto"/>
          <w:sz w:val="24"/>
          <w:highlight w:val="none"/>
        </w:rPr>
      </w:pPr>
    </w:p>
    <w:p w14:paraId="60D589F3">
      <w:pPr>
        <w:rPr>
          <w:rFonts w:hint="eastAsia" w:asciiTheme="minorEastAsia" w:hAnsiTheme="minorEastAsia" w:eastAsiaTheme="minorEastAsia"/>
          <w:b/>
          <w:color w:val="auto"/>
          <w:sz w:val="24"/>
          <w:highlight w:val="none"/>
        </w:rPr>
      </w:pPr>
    </w:p>
    <w:p w14:paraId="7B1A2A15">
      <w:pPr>
        <w:rPr>
          <w:rFonts w:hint="eastAsia" w:asciiTheme="minorEastAsia" w:hAnsiTheme="minorEastAsia" w:eastAsiaTheme="minorEastAsia"/>
          <w:b/>
          <w:color w:val="auto"/>
          <w:sz w:val="24"/>
          <w:highlight w:val="none"/>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rPr>
                <w:rFonts w:hint="eastAsia" w:ascii="宋体" w:hAnsi="宋体" w:eastAsia="宋体" w:cs="宋体"/>
                <w:color w:val="auto"/>
                <w:sz w:val="24"/>
                <w:szCs w:val="24"/>
                <w:highlight w:val="none"/>
              </w:rPr>
            </w:pPr>
          </w:p>
        </w:tc>
      </w:tr>
    </w:tbl>
    <w:p w14:paraId="1353A40C">
      <w:pPr>
        <w:rPr>
          <w:rFonts w:hint="eastAsia" w:ascii="宋体" w:hAnsi="宋体" w:eastAsia="宋体" w:cs="宋体"/>
          <w:color w:val="auto"/>
          <w:sz w:val="24"/>
          <w:szCs w:val="24"/>
          <w:highlight w:val="none"/>
        </w:rPr>
      </w:pPr>
    </w:p>
    <w:p w14:paraId="0AC92512">
      <w:pPr>
        <w:spacing w:line="360" w:lineRule="auto"/>
        <w:jc w:val="center"/>
        <w:outlineLvl w:val="0"/>
        <w:rPr>
          <w:rFonts w:hint="eastAsia" w:asciiTheme="minorEastAsia" w:hAnsiTheme="minorEastAsia" w:eastAsiaTheme="minorEastAsia"/>
          <w:b/>
          <w:color w:val="auto"/>
          <w:sz w:val="28"/>
          <w:highlight w:val="none"/>
        </w:rPr>
      </w:pPr>
    </w:p>
    <w:p w14:paraId="619FECAB">
      <w:pPr>
        <w:spacing w:line="360" w:lineRule="auto"/>
        <w:jc w:val="center"/>
        <w:outlineLvl w:val="0"/>
        <w:rPr>
          <w:rFonts w:hint="eastAsia" w:asciiTheme="minorEastAsia" w:hAnsiTheme="minorEastAsia" w:eastAsiaTheme="minorEastAsia"/>
          <w:b/>
          <w:color w:val="auto"/>
          <w:sz w:val="28"/>
          <w:highlight w:val="none"/>
        </w:rPr>
      </w:pPr>
    </w:p>
    <w:p w14:paraId="4F4740C0">
      <w:pPr>
        <w:spacing w:line="360" w:lineRule="auto"/>
        <w:jc w:val="center"/>
        <w:outlineLvl w:val="0"/>
        <w:rPr>
          <w:rFonts w:hint="eastAsia" w:asciiTheme="minorEastAsia" w:hAnsiTheme="minorEastAsia" w:eastAsiaTheme="minorEastAsia"/>
          <w:b/>
          <w:color w:val="auto"/>
          <w:sz w:val="28"/>
          <w:highlight w:val="none"/>
        </w:rPr>
      </w:pPr>
    </w:p>
    <w:p w14:paraId="7B8BDD6A">
      <w:pPr>
        <w:spacing w:line="360" w:lineRule="auto"/>
        <w:jc w:val="center"/>
        <w:outlineLvl w:val="0"/>
        <w:rPr>
          <w:rFonts w:hint="eastAsia" w:asciiTheme="minorEastAsia" w:hAnsiTheme="minorEastAsia" w:eastAsiaTheme="minorEastAsia"/>
          <w:b/>
          <w:color w:val="auto"/>
          <w:sz w:val="28"/>
          <w:highlight w:val="none"/>
        </w:rPr>
      </w:pPr>
    </w:p>
    <w:p w14:paraId="3FBA1947">
      <w:pPr>
        <w:spacing w:line="360" w:lineRule="auto"/>
        <w:jc w:val="center"/>
        <w:outlineLvl w:val="0"/>
        <w:rPr>
          <w:rFonts w:hint="eastAsia" w:asciiTheme="minorEastAsia" w:hAnsiTheme="minorEastAsia" w:eastAsiaTheme="minorEastAsia"/>
          <w:b/>
          <w:color w:val="auto"/>
          <w:sz w:val="28"/>
          <w:highlight w:val="none"/>
        </w:rPr>
      </w:pPr>
    </w:p>
    <w:p w14:paraId="616896AD">
      <w:pPr>
        <w:spacing w:line="360" w:lineRule="auto"/>
        <w:jc w:val="center"/>
        <w:outlineLvl w:val="0"/>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7"/>
    </w:p>
    <w:p w14:paraId="6888C9ED">
      <w:pPr>
        <w:jc w:val="center"/>
        <w:rPr>
          <w:rFonts w:hint="eastAsia" w:eastAsia="黑体"/>
          <w:color w:val="auto"/>
          <w:sz w:val="20"/>
          <w:highlight w:val="none"/>
        </w:rPr>
      </w:pPr>
      <w:bookmarkStart w:id="61" w:name="_Toc5555"/>
      <w:bookmarkStart w:id="62" w:name="_Toc28960"/>
    </w:p>
    <w:p w14:paraId="62B78268">
      <w:pPr>
        <w:rPr>
          <w:rFonts w:hint="eastAsia" w:eastAsia="黑体"/>
          <w:color w:val="auto"/>
          <w:sz w:val="20"/>
          <w:highlight w:val="none"/>
        </w:rPr>
      </w:pPr>
    </w:p>
    <w:p w14:paraId="3512AC8B">
      <w:pPr>
        <w:spacing w:line="900" w:lineRule="exact"/>
        <w:jc w:val="center"/>
        <w:outlineLvl w:val="1"/>
        <w:rPr>
          <w:rFonts w:hint="eastAsia" w:asciiTheme="minorEastAsia" w:hAnsiTheme="minorEastAsia" w:eastAsiaTheme="minorEastAsia"/>
          <w:b/>
          <w:color w:val="auto"/>
          <w:sz w:val="72"/>
          <w:highlight w:val="none"/>
        </w:rPr>
      </w:pPr>
      <w:bookmarkStart w:id="63" w:name="_Toc651"/>
      <w:r>
        <w:rPr>
          <w:rFonts w:hint="eastAsia" w:asciiTheme="minorEastAsia" w:hAnsiTheme="minorEastAsia" w:eastAsiaTheme="minorEastAsia"/>
          <w:b/>
          <w:color w:val="auto"/>
          <w:sz w:val="72"/>
          <w:highlight w:val="none"/>
        </w:rPr>
        <w:t>投</w:t>
      </w:r>
      <w:bookmarkEnd w:id="63"/>
    </w:p>
    <w:p w14:paraId="28722564">
      <w:pPr>
        <w:spacing w:line="900" w:lineRule="exact"/>
        <w:jc w:val="center"/>
        <w:rPr>
          <w:rFonts w:hint="eastAsia" w:asciiTheme="minorEastAsia" w:hAnsiTheme="minorEastAsia" w:eastAsiaTheme="minorEastAsia"/>
          <w:b/>
          <w:color w:val="auto"/>
          <w:sz w:val="72"/>
          <w:highlight w:val="none"/>
        </w:rPr>
      </w:pPr>
    </w:p>
    <w:p w14:paraId="3E113F73">
      <w:pPr>
        <w:spacing w:line="900" w:lineRule="exact"/>
        <w:jc w:val="center"/>
        <w:outlineLvl w:val="1"/>
        <w:rPr>
          <w:rFonts w:hint="eastAsia" w:asciiTheme="minorEastAsia" w:hAnsiTheme="minorEastAsia" w:eastAsiaTheme="minorEastAsia"/>
          <w:b/>
          <w:color w:val="auto"/>
          <w:sz w:val="72"/>
          <w:highlight w:val="none"/>
        </w:rPr>
      </w:pPr>
      <w:bookmarkStart w:id="64" w:name="_Toc6148"/>
      <w:r>
        <w:rPr>
          <w:rFonts w:hint="eastAsia" w:asciiTheme="minorEastAsia" w:hAnsiTheme="minorEastAsia" w:eastAsiaTheme="minorEastAsia"/>
          <w:b/>
          <w:color w:val="auto"/>
          <w:sz w:val="72"/>
          <w:highlight w:val="none"/>
        </w:rPr>
        <w:t>标</w:t>
      </w:r>
      <w:bookmarkEnd w:id="64"/>
    </w:p>
    <w:p w14:paraId="36BBFB9D">
      <w:pPr>
        <w:spacing w:line="900" w:lineRule="exact"/>
        <w:jc w:val="center"/>
        <w:rPr>
          <w:rFonts w:hint="eastAsia" w:asciiTheme="minorEastAsia" w:hAnsiTheme="minorEastAsia" w:eastAsiaTheme="minorEastAsia"/>
          <w:b/>
          <w:color w:val="auto"/>
          <w:sz w:val="72"/>
          <w:highlight w:val="none"/>
        </w:rPr>
      </w:pPr>
    </w:p>
    <w:p w14:paraId="64B091E5">
      <w:pPr>
        <w:spacing w:line="900" w:lineRule="exact"/>
        <w:jc w:val="center"/>
        <w:outlineLvl w:val="1"/>
        <w:rPr>
          <w:rFonts w:hint="eastAsia" w:asciiTheme="minorEastAsia" w:hAnsiTheme="minorEastAsia" w:eastAsiaTheme="minorEastAsia"/>
          <w:b/>
          <w:color w:val="auto"/>
          <w:sz w:val="72"/>
          <w:highlight w:val="none"/>
        </w:rPr>
      </w:pPr>
      <w:bookmarkStart w:id="65" w:name="_Toc1338"/>
      <w:r>
        <w:rPr>
          <w:rFonts w:hint="eastAsia" w:asciiTheme="minorEastAsia" w:hAnsiTheme="minorEastAsia" w:eastAsiaTheme="minorEastAsia"/>
          <w:b/>
          <w:color w:val="auto"/>
          <w:sz w:val="72"/>
          <w:highlight w:val="none"/>
        </w:rPr>
        <w:t>文</w:t>
      </w:r>
      <w:bookmarkEnd w:id="65"/>
    </w:p>
    <w:p w14:paraId="64D9F28E">
      <w:pPr>
        <w:spacing w:line="900" w:lineRule="exact"/>
        <w:jc w:val="center"/>
        <w:rPr>
          <w:rFonts w:hint="eastAsia" w:asciiTheme="minorEastAsia" w:hAnsiTheme="minorEastAsia" w:eastAsiaTheme="minorEastAsia"/>
          <w:b/>
          <w:color w:val="auto"/>
          <w:sz w:val="72"/>
          <w:highlight w:val="none"/>
        </w:rPr>
      </w:pPr>
    </w:p>
    <w:p w14:paraId="183B0ECD">
      <w:pPr>
        <w:jc w:val="center"/>
        <w:outlineLvl w:val="1"/>
        <w:rPr>
          <w:rFonts w:hint="eastAsia" w:asciiTheme="minorEastAsia" w:hAnsiTheme="minorEastAsia" w:eastAsiaTheme="minorEastAsia"/>
          <w:b/>
          <w:color w:val="auto"/>
          <w:sz w:val="72"/>
          <w:highlight w:val="none"/>
        </w:rPr>
      </w:pPr>
      <w:bookmarkStart w:id="66" w:name="_Toc10796"/>
      <w:r>
        <w:rPr>
          <w:rFonts w:hint="eastAsia" w:asciiTheme="minorEastAsia" w:hAnsiTheme="minorEastAsia" w:eastAsiaTheme="minorEastAsia"/>
          <w:b/>
          <w:color w:val="auto"/>
          <w:sz w:val="72"/>
          <w:highlight w:val="none"/>
        </w:rPr>
        <w:t>件</w:t>
      </w:r>
      <w:bookmarkEnd w:id="66"/>
    </w:p>
    <w:p w14:paraId="2CB38074">
      <w:pPr>
        <w:rPr>
          <w:rFonts w:hint="eastAsia" w:ascii="宋体" w:hAnsi="宋体" w:eastAsia="宋体" w:cs="宋体"/>
          <w:color w:val="auto"/>
          <w:sz w:val="28"/>
          <w:szCs w:val="28"/>
          <w:highlight w:val="none"/>
        </w:rPr>
      </w:pPr>
    </w:p>
    <w:p w14:paraId="7D539B88">
      <w:pPr>
        <w:rPr>
          <w:rFonts w:hint="eastAsia" w:ascii="宋体" w:hAnsi="宋体" w:eastAsia="宋体" w:cs="宋体"/>
          <w:color w:val="auto"/>
          <w:sz w:val="28"/>
          <w:szCs w:val="28"/>
          <w:highlight w:val="none"/>
        </w:rPr>
      </w:pPr>
    </w:p>
    <w:p w14:paraId="0B82B5DB">
      <w:pPr>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rPr>
          <w:rFonts w:hint="eastAsia" w:ascii="宋体" w:hAnsi="宋体" w:eastAsia="宋体" w:cs="宋体"/>
          <w:color w:val="auto"/>
          <w:sz w:val="28"/>
          <w:szCs w:val="28"/>
          <w:highlight w:val="none"/>
        </w:rPr>
      </w:pPr>
    </w:p>
    <w:p w14:paraId="77AB283E">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rPr>
          <w:rFonts w:hint="eastAsia" w:ascii="宋体" w:hAnsi="宋体" w:eastAsia="宋体" w:cs="宋体"/>
          <w:b/>
          <w:color w:val="auto"/>
          <w:sz w:val="28"/>
          <w:szCs w:val="28"/>
          <w:highlight w:val="none"/>
          <w:lang w:bidi="ar"/>
        </w:rPr>
      </w:pPr>
    </w:p>
    <w:p w14:paraId="44D31C76">
      <w:pPr>
        <w:spacing w:line="360" w:lineRule="auto"/>
        <w:jc w:val="center"/>
        <w:outlineLvl w:val="1"/>
        <w:rPr>
          <w:rFonts w:hint="eastAsia" w:asciiTheme="minorEastAsia" w:hAnsiTheme="minorEastAsia" w:eastAsiaTheme="minorEastAsia"/>
          <w:b/>
          <w:color w:val="auto"/>
          <w:sz w:val="24"/>
          <w:highlight w:val="none"/>
        </w:rPr>
      </w:pPr>
    </w:p>
    <w:p w14:paraId="72BDE891">
      <w:pPr>
        <w:spacing w:line="360" w:lineRule="auto"/>
        <w:jc w:val="center"/>
        <w:outlineLvl w:val="1"/>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222A2E40">
      <w:pPr>
        <w:spacing w:line="360" w:lineRule="auto"/>
        <w:ind w:firstLine="484" w:firstLineChars="202"/>
        <w:rPr>
          <w:rFonts w:hint="eastAsia" w:ascii="宋体" w:hAnsi="宋体" w:eastAsia="宋体" w:cs="宋体"/>
          <w:color w:val="auto"/>
          <w:sz w:val="24"/>
          <w:szCs w:val="24"/>
          <w:highlight w:val="none"/>
        </w:rPr>
      </w:pPr>
    </w:p>
    <w:p w14:paraId="36F4D016">
      <w:pPr>
        <w:spacing w:line="360" w:lineRule="auto"/>
        <w:ind w:firstLine="484" w:firstLineChars="202"/>
        <w:rPr>
          <w:rFonts w:hint="eastAsia" w:ascii="宋体" w:hAnsi="宋体" w:eastAsia="宋体" w:cs="宋体"/>
          <w:color w:val="auto"/>
          <w:sz w:val="24"/>
          <w:szCs w:val="24"/>
          <w:highlight w:val="none"/>
        </w:rPr>
      </w:pP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7" w:firstLineChars="20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ascii="宋体" w:hAnsi="宋体" w:eastAsia="宋体" w:cs="宋体"/>
          <w:b/>
          <w:bCs/>
          <w:color w:val="auto"/>
          <w:spacing w:val="9"/>
          <w:sz w:val="24"/>
          <w:szCs w:val="24"/>
          <w:highlight w:val="none"/>
        </w:rPr>
        <w:t>营业执照等证明</w:t>
      </w:r>
      <w:r>
        <w:rPr>
          <w:rFonts w:ascii="宋体" w:hAnsi="宋体" w:eastAsia="宋体" w:cs="宋体"/>
          <w:b/>
          <w:bCs/>
          <w:color w:val="auto"/>
          <w:spacing w:val="-3"/>
          <w:sz w:val="24"/>
          <w:szCs w:val="24"/>
          <w:highlight w:val="none"/>
        </w:rPr>
        <w:t>文件</w:t>
      </w:r>
      <w:r>
        <w:rPr>
          <w:rFonts w:hint="eastAsia" w:ascii="宋体" w:hAnsi="宋体" w:eastAsia="宋体" w:cs="宋体"/>
          <w:b/>
          <w:bCs/>
          <w:color w:val="auto"/>
          <w:sz w:val="24"/>
          <w:szCs w:val="24"/>
          <w:highlight w:val="none"/>
        </w:rPr>
        <w:t>；</w:t>
      </w:r>
    </w:p>
    <w:p w14:paraId="7028888D">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eastAsia="zh-CN" w:bidi="ar"/>
        </w:rPr>
        <w:t>：</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bookmarkStart w:id="115" w:name="_GoBack"/>
      <w:bookmarkEnd w:id="115"/>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63592D48">
      <w:pPr>
        <w:spacing w:line="360" w:lineRule="auto"/>
        <w:jc w:val="center"/>
        <w:outlineLvl w:val="1"/>
        <w:rPr>
          <w:rFonts w:hint="eastAsia" w:asciiTheme="minorEastAsia" w:hAnsiTheme="minorEastAsia" w:eastAsiaTheme="minorEastAsia"/>
          <w:b/>
          <w:color w:val="auto"/>
          <w:sz w:val="24"/>
          <w:highlight w:val="none"/>
        </w:rPr>
      </w:pPr>
    </w:p>
    <w:p w14:paraId="05154688">
      <w:pPr>
        <w:pStyle w:val="42"/>
        <w:rPr>
          <w:rFonts w:hint="eastAsia" w:asciiTheme="minorEastAsia" w:hAnsiTheme="minorEastAsia" w:eastAsiaTheme="minorEastAsia"/>
          <w:b/>
          <w:color w:val="auto"/>
          <w:sz w:val="24"/>
          <w:highlight w:val="none"/>
        </w:rPr>
      </w:pPr>
    </w:p>
    <w:p w14:paraId="2A1C624A">
      <w:pPr>
        <w:pStyle w:val="42"/>
        <w:rPr>
          <w:rFonts w:hint="eastAsia" w:asciiTheme="minorEastAsia" w:hAnsiTheme="minorEastAsia" w:eastAsiaTheme="minorEastAsia"/>
          <w:b/>
          <w:color w:val="auto"/>
          <w:sz w:val="24"/>
          <w:highlight w:val="none"/>
        </w:rPr>
      </w:pPr>
    </w:p>
    <w:p w14:paraId="3FDCC0F8">
      <w:pPr>
        <w:pStyle w:val="42"/>
        <w:rPr>
          <w:rFonts w:hint="eastAsia" w:asciiTheme="minorEastAsia" w:hAnsiTheme="minorEastAsia" w:eastAsiaTheme="minorEastAsia"/>
          <w:b/>
          <w:color w:val="auto"/>
          <w:sz w:val="24"/>
          <w:highlight w:val="none"/>
        </w:rPr>
      </w:pPr>
    </w:p>
    <w:p w14:paraId="14A074FC">
      <w:pPr>
        <w:pStyle w:val="42"/>
        <w:rPr>
          <w:rFonts w:hint="eastAsia" w:asciiTheme="minorEastAsia" w:hAnsiTheme="minorEastAsia" w:eastAsiaTheme="minorEastAsia"/>
          <w:b/>
          <w:color w:val="auto"/>
          <w:sz w:val="24"/>
          <w:highlight w:val="none"/>
        </w:rPr>
      </w:pPr>
    </w:p>
    <w:p w14:paraId="29C580D6">
      <w:pPr>
        <w:pStyle w:val="42"/>
        <w:rPr>
          <w:rFonts w:hint="eastAsia" w:asciiTheme="minorEastAsia" w:hAnsiTheme="minorEastAsia" w:eastAsiaTheme="minorEastAsia"/>
          <w:b/>
          <w:color w:val="auto"/>
          <w:sz w:val="24"/>
          <w:highlight w:val="none"/>
        </w:rPr>
      </w:pPr>
    </w:p>
    <w:p w14:paraId="644D6AAF">
      <w:pPr>
        <w:pStyle w:val="42"/>
        <w:rPr>
          <w:rFonts w:hint="eastAsia" w:asciiTheme="minorEastAsia" w:hAnsiTheme="minorEastAsia" w:eastAsiaTheme="minorEastAsia"/>
          <w:b/>
          <w:color w:val="auto"/>
          <w:sz w:val="24"/>
          <w:highlight w:val="none"/>
        </w:rPr>
      </w:pPr>
    </w:p>
    <w:p w14:paraId="6AAC4271">
      <w:pPr>
        <w:pStyle w:val="42"/>
        <w:rPr>
          <w:rFonts w:hint="eastAsia" w:asciiTheme="minorEastAsia" w:hAnsiTheme="minorEastAsia" w:eastAsiaTheme="minorEastAsia"/>
          <w:b/>
          <w:color w:val="auto"/>
          <w:sz w:val="24"/>
          <w:highlight w:val="none"/>
        </w:rPr>
      </w:pPr>
    </w:p>
    <w:p w14:paraId="28CBBDB6">
      <w:pPr>
        <w:pStyle w:val="42"/>
        <w:rPr>
          <w:rFonts w:hint="eastAsia" w:asciiTheme="minorEastAsia" w:hAnsiTheme="minorEastAsia" w:eastAsiaTheme="minorEastAsia"/>
          <w:b/>
          <w:color w:val="auto"/>
          <w:sz w:val="24"/>
          <w:highlight w:val="none"/>
        </w:rPr>
      </w:pPr>
    </w:p>
    <w:p w14:paraId="58FB038B">
      <w:pPr>
        <w:pStyle w:val="42"/>
        <w:rPr>
          <w:rFonts w:hint="eastAsia" w:asciiTheme="minorEastAsia" w:hAnsiTheme="minorEastAsia" w:eastAsiaTheme="minorEastAsia"/>
          <w:b/>
          <w:color w:val="auto"/>
          <w:sz w:val="24"/>
          <w:highlight w:val="none"/>
        </w:rPr>
      </w:pPr>
    </w:p>
    <w:p w14:paraId="1A354231">
      <w:pPr>
        <w:pStyle w:val="42"/>
        <w:rPr>
          <w:rFonts w:hint="eastAsia" w:asciiTheme="minorEastAsia" w:hAnsiTheme="minorEastAsia" w:eastAsiaTheme="minorEastAsia"/>
          <w:b/>
          <w:color w:val="auto"/>
          <w:sz w:val="24"/>
          <w:highlight w:val="none"/>
        </w:rPr>
      </w:pPr>
    </w:p>
    <w:p w14:paraId="1AFFA9B5">
      <w:pPr>
        <w:pStyle w:val="42"/>
        <w:rPr>
          <w:rFonts w:hint="eastAsia" w:asciiTheme="minorEastAsia" w:hAnsiTheme="minorEastAsia" w:eastAsiaTheme="minorEastAsia"/>
          <w:b/>
          <w:color w:val="auto"/>
          <w:sz w:val="24"/>
          <w:highlight w:val="none"/>
        </w:rPr>
      </w:pPr>
    </w:p>
    <w:p w14:paraId="34BEAB32">
      <w:pPr>
        <w:pStyle w:val="42"/>
        <w:rPr>
          <w:rFonts w:hint="eastAsia" w:asciiTheme="minorEastAsia" w:hAnsiTheme="minorEastAsia" w:eastAsiaTheme="minorEastAsia"/>
          <w:b/>
          <w:color w:val="auto"/>
          <w:sz w:val="24"/>
          <w:highlight w:val="none"/>
        </w:rPr>
      </w:pPr>
    </w:p>
    <w:p w14:paraId="0DFBADD6">
      <w:pPr>
        <w:pStyle w:val="42"/>
        <w:rPr>
          <w:rFonts w:hint="eastAsia" w:asciiTheme="minorEastAsia" w:hAnsiTheme="minorEastAsia" w:eastAsiaTheme="minorEastAsia"/>
          <w:b/>
          <w:color w:val="auto"/>
          <w:sz w:val="24"/>
          <w:highlight w:val="none"/>
        </w:rPr>
      </w:pPr>
    </w:p>
    <w:p w14:paraId="22BB177D">
      <w:pPr>
        <w:spacing w:line="360" w:lineRule="auto"/>
        <w:jc w:val="center"/>
        <w:outlineLvl w:val="1"/>
        <w:rPr>
          <w:rFonts w:hint="eastAsia" w:asciiTheme="minorEastAsia" w:hAnsiTheme="minorEastAsia" w:eastAsiaTheme="minorEastAsia"/>
          <w:b/>
          <w:color w:val="auto"/>
          <w:sz w:val="24"/>
          <w:highlight w:val="none"/>
        </w:rPr>
      </w:pPr>
    </w:p>
    <w:p w14:paraId="2FE8AF60">
      <w:pPr>
        <w:spacing w:line="360" w:lineRule="auto"/>
        <w:jc w:val="center"/>
        <w:outlineLvl w:val="1"/>
        <w:rPr>
          <w:rFonts w:hint="eastAsia" w:asciiTheme="minorEastAsia" w:hAnsiTheme="minorEastAsia" w:eastAsiaTheme="minorEastAsia"/>
          <w:b/>
          <w:color w:val="auto"/>
          <w:sz w:val="24"/>
          <w:highlight w:val="none"/>
        </w:rPr>
      </w:pPr>
    </w:p>
    <w:p w14:paraId="6B89B6EB">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1D3B4325">
      <w:pPr>
        <w:pStyle w:val="22"/>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43CEAB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2"/>
        <w:spacing w:before="0" w:after="120" w:afterAutospacing="0"/>
        <w:ind w:firstLine="482"/>
        <w:jc w:val="center"/>
        <w:rPr>
          <w:rFonts w:hint="eastAsia"/>
          <w:b/>
          <w:color w:val="auto"/>
          <w:highlight w:val="none"/>
          <w:lang w:bidi="ar"/>
        </w:rPr>
      </w:pPr>
    </w:p>
    <w:p w14:paraId="6025F8DF">
      <w:pPr>
        <w:pStyle w:val="22"/>
        <w:spacing w:before="0" w:after="120" w:afterAutospacing="0"/>
        <w:ind w:firstLine="482"/>
        <w:jc w:val="center"/>
        <w:rPr>
          <w:rFonts w:hint="eastAsia"/>
          <w:b/>
          <w:color w:val="auto"/>
          <w:highlight w:val="none"/>
          <w:lang w:bidi="ar"/>
        </w:rPr>
      </w:pPr>
    </w:p>
    <w:p w14:paraId="2BC96DF0">
      <w:pPr>
        <w:pStyle w:val="22"/>
        <w:spacing w:before="0" w:after="120" w:afterAutospacing="0"/>
        <w:ind w:firstLine="482"/>
        <w:jc w:val="center"/>
        <w:rPr>
          <w:rFonts w:hint="eastAsia"/>
          <w:b/>
          <w:color w:val="auto"/>
          <w:highlight w:val="none"/>
          <w:lang w:bidi="ar"/>
        </w:rPr>
      </w:pPr>
    </w:p>
    <w:p w14:paraId="698B4B61">
      <w:pPr>
        <w:pStyle w:val="22"/>
        <w:spacing w:before="0" w:after="120" w:afterAutospacing="0"/>
        <w:ind w:firstLine="482"/>
        <w:jc w:val="center"/>
        <w:rPr>
          <w:rFonts w:hint="eastAsia"/>
          <w:b/>
          <w:color w:val="auto"/>
          <w:highlight w:val="none"/>
          <w:lang w:bidi="ar"/>
        </w:rPr>
      </w:pPr>
    </w:p>
    <w:p w14:paraId="6EAE62B7">
      <w:pPr>
        <w:pStyle w:val="22"/>
        <w:spacing w:before="0" w:after="120" w:afterAutospacing="0"/>
        <w:ind w:firstLine="482"/>
        <w:jc w:val="center"/>
        <w:rPr>
          <w:rFonts w:hint="eastAsia" w:ascii="宋体" w:hAnsi="宋体" w:eastAsia="宋体" w:cs="宋体"/>
          <w:b/>
          <w:color w:val="auto"/>
          <w:szCs w:val="24"/>
          <w:highlight w:val="none"/>
          <w:lang w:bidi="ar"/>
        </w:rPr>
      </w:pPr>
    </w:p>
    <w:p w14:paraId="7E232A55">
      <w:pPr>
        <w:pStyle w:val="22"/>
        <w:spacing w:before="0" w:after="120" w:afterAutospacing="0"/>
        <w:ind w:firstLine="482"/>
        <w:jc w:val="center"/>
        <w:rPr>
          <w:rFonts w:hint="eastAsia" w:ascii="宋体" w:hAnsi="宋体" w:eastAsia="宋体" w:cs="宋体"/>
          <w:b/>
          <w:color w:val="auto"/>
          <w:szCs w:val="24"/>
          <w:highlight w:val="none"/>
          <w:lang w:bidi="ar"/>
        </w:rPr>
      </w:pPr>
    </w:p>
    <w:p w14:paraId="4394A2CE">
      <w:pPr>
        <w:pStyle w:val="22"/>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2"/>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393237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8893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09539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BB35D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B08F07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1.本项目只允许有唯一的投标人授权代表，提供身份证明复印件；</w:t>
      </w:r>
    </w:p>
    <w:p w14:paraId="50FDDC8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1"/>
        <w:rPr>
          <w:rFonts w:hint="eastAsia" w:asciiTheme="minorEastAsia" w:hAnsiTheme="minorEastAsia" w:eastAsiaTheme="minorEastAsia"/>
          <w:b/>
          <w:color w:val="auto"/>
          <w:sz w:val="24"/>
          <w:highlight w:val="none"/>
        </w:rPr>
      </w:pPr>
    </w:p>
    <w:p w14:paraId="736269F2">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75265B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u w:val="none"/>
                <w:lang w:val="en-US" w:eastAsia="zh-CN" w:bidi="zh-CN"/>
              </w:rPr>
            </w:pPr>
            <w:r>
              <w:rPr>
                <w:rFonts w:hint="eastAsia" w:ascii="宋体" w:hAnsi="宋体" w:eastAsia="宋体" w:cs="宋体"/>
                <w:b/>
                <w:bCs/>
                <w:color w:val="auto"/>
                <w:kern w:val="2"/>
                <w:sz w:val="24"/>
                <w:szCs w:val="24"/>
                <w:highlight w:val="none"/>
                <w:lang w:val="en-US" w:eastAsia="zh-CN" w:bidi="zh-CN"/>
              </w:rPr>
              <w:t>1.</w:t>
            </w:r>
            <w:r>
              <w:rPr>
                <w:rFonts w:hint="eastAsia" w:asciiTheme="minorEastAsia" w:hAnsiTheme="minorEastAsia" w:eastAsiaTheme="minorEastAsia"/>
                <w:b/>
                <w:color w:val="auto"/>
                <w:sz w:val="24"/>
                <w:highlight w:val="none"/>
                <w:lang w:val="en-US" w:eastAsia="zh-CN"/>
              </w:rPr>
              <w:t>壁挂式等离子体空气消毒机自身所投产</w:t>
            </w:r>
            <w:r>
              <w:rPr>
                <w:rFonts w:hint="eastAsia" w:ascii="宋体" w:hAnsi="宋体" w:eastAsia="宋体" w:cs="宋体"/>
                <w:b/>
                <w:bCs/>
                <w:color w:val="auto"/>
                <w:sz w:val="24"/>
                <w:szCs w:val="24"/>
                <w:highlight w:val="none"/>
                <w:lang w:val="en-US" w:eastAsia="zh-CN" w:bidi="zh-CN"/>
              </w:rPr>
              <w:t>品设计使用年限：</w:t>
            </w:r>
            <w:r>
              <w:rPr>
                <w:rFonts w:hint="eastAsia" w:ascii="宋体" w:hAnsi="宋体" w:eastAsia="宋体" w:cs="宋体"/>
                <w:b/>
                <w:bCs/>
                <w:color w:val="auto"/>
                <w:sz w:val="24"/>
                <w:szCs w:val="24"/>
                <w:highlight w:val="none"/>
                <w:u w:val="single"/>
                <w:lang w:val="en-US" w:eastAsia="zh-CN" w:bidi="zh-CN"/>
              </w:rPr>
              <w:t xml:space="preserve">         年</w:t>
            </w:r>
            <w:r>
              <w:rPr>
                <w:rFonts w:hint="eastAsia" w:ascii="宋体" w:hAnsi="宋体" w:eastAsia="宋体" w:cs="宋体"/>
                <w:b/>
                <w:bCs/>
                <w:color w:val="auto"/>
                <w:sz w:val="24"/>
                <w:szCs w:val="24"/>
                <w:highlight w:val="none"/>
                <w:u w:val="none"/>
                <w:lang w:val="en-US" w:eastAsia="zh-CN" w:bidi="zh-CN"/>
              </w:rPr>
              <w:t>。</w:t>
            </w:r>
          </w:p>
          <w:p w14:paraId="5A1271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zh-CN"/>
              </w:rPr>
              <w:br w:type="textWrapping"/>
            </w:r>
            <w:r>
              <w:rPr>
                <w:rFonts w:hint="eastAsia" w:asciiTheme="minorEastAsia" w:hAnsiTheme="minorEastAsia" w:eastAsiaTheme="minorEastAsia"/>
                <w:b/>
                <w:color w:val="auto"/>
                <w:sz w:val="24"/>
                <w:highlight w:val="none"/>
                <w:lang w:val="en-US" w:eastAsia="zh-CN"/>
              </w:rPr>
              <w:t>2.移动式等离子体空气消毒机自身</w:t>
            </w:r>
            <w:r>
              <w:rPr>
                <w:rFonts w:hint="eastAsia" w:ascii="宋体" w:hAnsi="宋体" w:eastAsia="宋体" w:cs="宋体"/>
                <w:b/>
                <w:bCs/>
                <w:color w:val="auto"/>
                <w:sz w:val="24"/>
                <w:szCs w:val="24"/>
                <w:highlight w:val="none"/>
                <w:lang w:val="en-US" w:eastAsia="zh-CN" w:bidi="zh-CN"/>
              </w:rPr>
              <w:t>所投产品设计使用年限：</w:t>
            </w:r>
            <w:r>
              <w:rPr>
                <w:rFonts w:hint="eastAsia" w:ascii="宋体" w:hAnsi="宋体" w:eastAsia="宋体" w:cs="宋体"/>
                <w:b/>
                <w:bCs/>
                <w:color w:val="auto"/>
                <w:sz w:val="24"/>
                <w:szCs w:val="24"/>
                <w:highlight w:val="none"/>
                <w:u w:val="single"/>
                <w:lang w:val="en-US" w:eastAsia="zh-CN" w:bidi="zh-CN"/>
              </w:rPr>
              <w:t xml:space="preserve">         年</w:t>
            </w:r>
            <w:r>
              <w:rPr>
                <w:rFonts w:hint="eastAsia" w:ascii="宋体" w:hAnsi="宋体" w:eastAsia="宋体" w:cs="宋体"/>
                <w:b/>
                <w:bCs/>
                <w:color w:val="auto"/>
                <w:sz w:val="24"/>
                <w:szCs w:val="24"/>
                <w:highlight w:val="none"/>
                <w:u w:val="none"/>
                <w:lang w:val="en-US" w:eastAsia="zh-CN" w:bidi="zh-CN"/>
              </w:rPr>
              <w:t>。</w:t>
            </w:r>
            <w:r>
              <w:rPr>
                <w:rFonts w:hint="eastAsia" w:ascii="宋体" w:hAnsi="宋体" w:eastAsia="宋体" w:cs="宋体"/>
                <w:b/>
                <w:bCs/>
                <w:color w:val="auto"/>
                <w:sz w:val="24"/>
                <w:szCs w:val="24"/>
                <w:highlight w:val="none"/>
                <w:lang w:val="en-US" w:eastAsia="zh-CN" w:bidi="zh-CN"/>
              </w:rPr>
              <w:br w:type="textWrapping"/>
            </w:r>
          </w:p>
          <w:p w14:paraId="5F20753A">
            <w:pPr>
              <w:rPr>
                <w:rFonts w:hint="eastAsia" w:ascii="宋体" w:hAnsi="宋体" w:eastAsia="宋体" w:cs="宋体"/>
                <w:i w:val="0"/>
                <w:iCs w:val="0"/>
                <w:color w:val="auto"/>
                <w:sz w:val="24"/>
                <w:szCs w:val="24"/>
                <w:highlight w:val="none"/>
                <w:lang w:val="en-US" w:eastAsia="zh-CN"/>
              </w:rPr>
            </w:pPr>
          </w:p>
          <w:p w14:paraId="28934168">
            <w:pPr>
              <w:spacing w:line="360" w:lineRule="auto"/>
              <w:jc w:val="left"/>
              <w:rPr>
                <w:rFonts w:hint="eastAsia" w:asciiTheme="minorEastAsia" w:hAnsiTheme="minorEastAsia" w:eastAsiaTheme="minorEastAsia"/>
                <w:color w:val="auto"/>
                <w:sz w:val="24"/>
                <w:szCs w:val="28"/>
                <w:highlight w:val="none"/>
              </w:rPr>
            </w:pPr>
          </w:p>
        </w:tc>
      </w:tr>
    </w:tbl>
    <w:p w14:paraId="6E94D68B">
      <w:pPr>
        <w:spacing w:line="360" w:lineRule="auto"/>
        <w:ind w:firstLine="4320" w:firstLineChars="1800"/>
        <w:jc w:val="center"/>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059D0E4F">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任何有选择或有条件的投标报价，或者表中填写多个报价，均为无效报价。</w:t>
      </w:r>
    </w:p>
    <w:p w14:paraId="52D51B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479272FE">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color w:val="auto"/>
          <w:sz w:val="24"/>
          <w:highlight w:val="none"/>
        </w:rPr>
      </w:pPr>
    </w:p>
    <w:p w14:paraId="52247BF4">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rPr>
          <w:rFonts w:hint="eastAsia" w:ascii="宋体" w:hAnsi="宋体" w:eastAsia="宋体"/>
          <w:color w:val="auto"/>
          <w:sz w:val="24"/>
          <w:highlight w:val="none"/>
          <w:u w:val="single"/>
        </w:rPr>
      </w:pPr>
    </w:p>
    <w:p w14:paraId="6A35DEFA">
      <w:pPr>
        <w:numPr>
          <w:ilvl w:val="0"/>
          <w:numId w:val="9"/>
        </w:numPr>
        <w:spacing w:line="360" w:lineRule="auto"/>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2"/>
              <w:spacing w:before="0" w:beforeAutospacing="0" w:after="0" w:afterAutospacing="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bidi="ar"/>
              </w:rPr>
              <w:t>1</w:t>
            </w:r>
          </w:p>
        </w:tc>
        <w:tc>
          <w:tcPr>
            <w:tcW w:w="852" w:type="pct"/>
            <w:tcBorders>
              <w:top w:val="single" w:color="auto" w:sz="4" w:space="0"/>
              <w:left w:val="single" w:color="auto" w:sz="4" w:space="0"/>
              <w:right w:val="single" w:color="auto" w:sz="4" w:space="0"/>
            </w:tcBorders>
            <w:shd w:val="clear" w:color="auto" w:fill="auto"/>
            <w:vAlign w:val="center"/>
          </w:tcPr>
          <w:p w14:paraId="5201B25E">
            <w:pPr>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jc w:val="center"/>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jc w:val="center"/>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jc w:val="center"/>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jc w:val="center"/>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rPr>
                <w:rFonts w:hint="eastAsia" w:ascii="宋体" w:hAnsi="宋体" w:eastAsia="宋体"/>
                <w:color w:val="auto"/>
                <w:sz w:val="24"/>
                <w:szCs w:val="24"/>
                <w:highlight w:val="none"/>
              </w:rPr>
            </w:pPr>
          </w:p>
        </w:tc>
      </w:tr>
      <w:tr w14:paraId="0DD8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3834D7AA">
            <w:pPr>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2</w:t>
            </w:r>
          </w:p>
        </w:tc>
        <w:tc>
          <w:tcPr>
            <w:tcW w:w="852" w:type="pct"/>
            <w:tcBorders>
              <w:top w:val="single" w:color="auto" w:sz="4" w:space="0"/>
              <w:left w:val="single" w:color="auto" w:sz="4" w:space="0"/>
              <w:right w:val="single" w:color="auto" w:sz="4" w:space="0"/>
            </w:tcBorders>
            <w:shd w:val="clear" w:color="auto" w:fill="auto"/>
            <w:vAlign w:val="center"/>
          </w:tcPr>
          <w:p w14:paraId="60CCAED1">
            <w:pPr>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45675915">
            <w:pPr>
              <w:jc w:val="center"/>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04B540D5">
            <w:pPr>
              <w:jc w:val="center"/>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4A6B4D7B">
            <w:pPr>
              <w:jc w:val="center"/>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7EA011EB">
            <w:pPr>
              <w:jc w:val="center"/>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742FED7B">
            <w:pPr>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39A70AD">
            <w:pPr>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7EDD3CC3">
            <w:pPr>
              <w:rPr>
                <w:rFonts w:hint="eastAsia" w:ascii="宋体" w:hAnsi="宋体" w:eastAsia="宋体"/>
                <w:color w:val="auto"/>
                <w:sz w:val="24"/>
                <w:szCs w:val="24"/>
                <w:highlight w:val="none"/>
              </w:rPr>
            </w:pP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rPr>
          <w:rFonts w:hint="eastAsia"/>
          <w:color w:val="auto"/>
          <w:highlight w:val="none"/>
        </w:rPr>
      </w:pPr>
    </w:p>
    <w:p w14:paraId="525560F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rPr>
          <w:rFonts w:hint="default" w:eastAsia="宋体"/>
          <w:color w:val="auto"/>
          <w:highlight w:val="none"/>
          <w:lang w:val="en-US" w:eastAsia="zh-CN"/>
        </w:rPr>
      </w:pPr>
    </w:p>
    <w:p w14:paraId="25025A75">
      <w:pPr>
        <w:widowControl/>
        <w:jc w:val="center"/>
        <w:rPr>
          <w:rFonts w:hint="eastAsia" w:ascii="宋体" w:hAnsi="宋体" w:eastAsia="宋体" w:cs="宋体"/>
          <w:b/>
          <w:color w:val="auto"/>
          <w:sz w:val="24"/>
          <w:szCs w:val="24"/>
          <w:highlight w:val="none"/>
          <w:lang w:bidi="ar"/>
        </w:rPr>
      </w:pPr>
    </w:p>
    <w:p w14:paraId="6654F95E">
      <w:pPr>
        <w:jc w:val="center"/>
        <w:rPr>
          <w:rFonts w:hint="eastAsia" w:ascii="宋体" w:hAnsi="宋体" w:eastAsia="宋体" w:cs="宋体"/>
          <w:b/>
          <w:color w:val="auto"/>
          <w:sz w:val="36"/>
          <w:szCs w:val="36"/>
          <w:highlight w:val="none"/>
        </w:rPr>
      </w:pPr>
    </w:p>
    <w:p w14:paraId="64EF7432">
      <w:pPr>
        <w:spacing w:line="360" w:lineRule="auto"/>
        <w:jc w:val="center"/>
        <w:rPr>
          <w:rFonts w:hint="eastAsia" w:ascii="宋体" w:hAnsi="宋体" w:eastAsia="宋体" w:cs="宋体"/>
          <w:b/>
          <w:color w:val="auto"/>
          <w:sz w:val="24"/>
          <w:szCs w:val="24"/>
          <w:highlight w:val="none"/>
          <w:lang w:bidi="ar"/>
        </w:rPr>
      </w:pPr>
    </w:p>
    <w:p w14:paraId="51499554">
      <w:pPr>
        <w:spacing w:line="360" w:lineRule="auto"/>
        <w:jc w:val="center"/>
        <w:rPr>
          <w:rFonts w:hint="eastAsia" w:ascii="宋体" w:hAnsi="宋体" w:eastAsia="宋体" w:cs="宋体"/>
          <w:b/>
          <w:color w:val="auto"/>
          <w:sz w:val="24"/>
          <w:szCs w:val="24"/>
          <w:highlight w:val="none"/>
          <w:lang w:bidi="ar"/>
        </w:rPr>
      </w:pPr>
    </w:p>
    <w:p w14:paraId="0EF29854">
      <w:pPr>
        <w:spacing w:line="360" w:lineRule="auto"/>
        <w:jc w:val="center"/>
        <w:rPr>
          <w:rFonts w:hint="eastAsia" w:ascii="宋体" w:hAnsi="宋体" w:eastAsia="宋体" w:cs="宋体"/>
          <w:b/>
          <w:color w:val="auto"/>
          <w:sz w:val="24"/>
          <w:szCs w:val="24"/>
          <w:highlight w:val="none"/>
          <w:lang w:bidi="ar"/>
        </w:rPr>
      </w:pPr>
    </w:p>
    <w:p w14:paraId="0BCA75B5">
      <w:pPr>
        <w:spacing w:line="360" w:lineRule="auto"/>
        <w:jc w:val="center"/>
        <w:rPr>
          <w:rFonts w:hint="eastAsia" w:ascii="宋体" w:hAnsi="宋体" w:eastAsia="宋体" w:cs="宋体"/>
          <w:b/>
          <w:color w:val="auto"/>
          <w:sz w:val="24"/>
          <w:szCs w:val="24"/>
          <w:highlight w:val="none"/>
          <w:lang w:bidi="ar"/>
        </w:rPr>
      </w:pPr>
    </w:p>
    <w:p w14:paraId="71125427">
      <w:pPr>
        <w:spacing w:line="360" w:lineRule="auto"/>
        <w:jc w:val="center"/>
        <w:rPr>
          <w:rFonts w:hint="eastAsia" w:ascii="宋体" w:hAnsi="宋体" w:eastAsia="宋体" w:cs="宋体"/>
          <w:b/>
          <w:color w:val="auto"/>
          <w:sz w:val="24"/>
          <w:szCs w:val="24"/>
          <w:highlight w:val="none"/>
          <w:lang w:bidi="ar"/>
        </w:rPr>
      </w:pPr>
    </w:p>
    <w:p w14:paraId="4092C595">
      <w:pPr>
        <w:spacing w:line="360" w:lineRule="auto"/>
        <w:jc w:val="center"/>
        <w:rPr>
          <w:rFonts w:hint="eastAsia" w:ascii="宋体" w:hAnsi="宋体" w:eastAsia="宋体" w:cs="宋体"/>
          <w:b/>
          <w:color w:val="auto"/>
          <w:sz w:val="24"/>
          <w:szCs w:val="24"/>
          <w:highlight w:val="none"/>
          <w:lang w:bidi="ar"/>
        </w:rPr>
      </w:pPr>
    </w:p>
    <w:p w14:paraId="224E8B84">
      <w:pPr>
        <w:spacing w:line="360" w:lineRule="auto"/>
        <w:jc w:val="center"/>
        <w:rPr>
          <w:rFonts w:hint="eastAsia" w:ascii="宋体" w:hAnsi="宋体" w:eastAsia="宋体" w:cs="宋体"/>
          <w:b/>
          <w:color w:val="auto"/>
          <w:sz w:val="24"/>
          <w:szCs w:val="24"/>
          <w:highlight w:val="none"/>
          <w:lang w:bidi="ar"/>
        </w:rPr>
      </w:pPr>
    </w:p>
    <w:p w14:paraId="0A13D758">
      <w:pPr>
        <w:spacing w:line="360" w:lineRule="auto"/>
        <w:jc w:val="center"/>
        <w:rPr>
          <w:rFonts w:hint="eastAsia" w:ascii="宋体" w:hAnsi="宋体" w:eastAsia="宋体" w:cs="宋体"/>
          <w:b/>
          <w:color w:val="auto"/>
          <w:sz w:val="24"/>
          <w:szCs w:val="24"/>
          <w:highlight w:val="none"/>
          <w:lang w:bidi="ar"/>
        </w:rPr>
      </w:pPr>
    </w:p>
    <w:p w14:paraId="703E6277">
      <w:pPr>
        <w:spacing w:line="360" w:lineRule="auto"/>
        <w:jc w:val="center"/>
        <w:rPr>
          <w:rFonts w:hint="eastAsia" w:ascii="宋体" w:hAnsi="宋体" w:eastAsia="宋体" w:cs="宋体"/>
          <w:b/>
          <w:color w:val="auto"/>
          <w:sz w:val="24"/>
          <w:szCs w:val="24"/>
          <w:highlight w:val="none"/>
          <w:lang w:bidi="ar"/>
        </w:rPr>
      </w:pPr>
    </w:p>
    <w:p w14:paraId="08A329FF">
      <w:pPr>
        <w:spacing w:line="360" w:lineRule="auto"/>
        <w:jc w:val="center"/>
        <w:rPr>
          <w:rFonts w:hint="eastAsia" w:ascii="宋体" w:hAnsi="宋体" w:eastAsia="宋体" w:cs="宋体"/>
          <w:b/>
          <w:color w:val="auto"/>
          <w:sz w:val="24"/>
          <w:szCs w:val="24"/>
          <w:highlight w:val="none"/>
          <w:lang w:bidi="ar"/>
        </w:rPr>
      </w:pPr>
    </w:p>
    <w:p w14:paraId="5645E14E">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6227D7D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2B0CE00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6E0C08C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2"/>
              <w:spacing w:before="0" w:beforeAutospacing="0" w:after="0" w:afterAutospacing="0"/>
              <w:jc w:val="center"/>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789A64FF">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质保期限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color w:val="auto"/>
                <w:sz w:val="24"/>
                <w:szCs w:val="24"/>
                <w:highlight w:val="none"/>
              </w:rPr>
            </w:pPr>
          </w:p>
        </w:tc>
      </w:tr>
    </w:tbl>
    <w:p w14:paraId="17C30BEC">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color w:val="auto"/>
                <w:sz w:val="24"/>
                <w:szCs w:val="24"/>
                <w:highlight w:val="none"/>
              </w:rPr>
            </w:pPr>
          </w:p>
        </w:tc>
      </w:tr>
    </w:tbl>
    <w:p w14:paraId="04A5524E">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七、诚信履约承诺函</w:t>
      </w:r>
    </w:p>
    <w:p w14:paraId="7C724922">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7A6944AF">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single"/>
          <w:lang w:val="en-US" w:eastAsia="zh-CN" w:bidi="ar"/>
        </w:rPr>
        <w:t>我公司</w:t>
      </w:r>
      <w:r>
        <w:rPr>
          <w:rFonts w:hint="eastAsia" w:ascii="宋体" w:hAnsi="宋体" w:eastAsia="宋体" w:cs="宋体"/>
          <w:color w:val="auto"/>
          <w:kern w:val="0"/>
          <w:sz w:val="24"/>
          <w:szCs w:val="24"/>
          <w:highlight w:val="none"/>
          <w:u w:val="single"/>
          <w:lang w:bidi="ar"/>
        </w:rPr>
        <w:t>或</w:t>
      </w:r>
      <w:r>
        <w:rPr>
          <w:rFonts w:hint="eastAsia" w:ascii="宋体" w:hAnsi="宋体" w:eastAsia="宋体" w:cs="宋体"/>
          <w:color w:val="auto"/>
          <w:sz w:val="24"/>
          <w:szCs w:val="24"/>
          <w:highlight w:val="none"/>
          <w:u w:val="single"/>
          <w:lang w:val="en-US" w:eastAsia="zh-CN" w:bidi="ar"/>
        </w:rPr>
        <w:t>我公司</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1"/>
        <w:rPr>
          <w:rFonts w:hint="eastAsia" w:asciiTheme="minorEastAsia" w:hAnsiTheme="minorEastAsia" w:eastAsiaTheme="minorEastAsia"/>
          <w:b/>
          <w:color w:val="auto"/>
          <w:sz w:val="24"/>
          <w:highlight w:val="none"/>
        </w:rPr>
      </w:pPr>
      <w:bookmarkStart w:id="67" w:name="_Toc2683"/>
      <w:bookmarkStart w:id="68" w:name="_Toc3263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7"/>
      <w:bookmarkEnd w:id="68"/>
    </w:p>
    <w:p w14:paraId="0A7CD8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color w:val="auto"/>
          <w:sz w:val="24"/>
          <w:highlight w:val="none"/>
        </w:rPr>
      </w:pPr>
    </w:p>
    <w:p w14:paraId="7E0AFF18">
      <w:pPr>
        <w:widowControl/>
        <w:jc w:val="left"/>
        <w:rPr>
          <w:rFonts w:hint="eastAsia" w:asciiTheme="minorEastAsia" w:hAnsiTheme="minorEastAsia" w:eastAsiaTheme="minorEastAsia"/>
          <w:color w:val="auto"/>
          <w:sz w:val="24"/>
          <w:highlight w:val="none"/>
        </w:rPr>
      </w:pPr>
    </w:p>
    <w:bookmarkEnd w:id="61"/>
    <w:bookmarkEnd w:id="62"/>
    <w:p w14:paraId="06E93961">
      <w:pPr>
        <w:widowControl/>
        <w:jc w:val="center"/>
        <w:rPr>
          <w:rFonts w:hint="eastAsia" w:ascii="宋体" w:hAnsi="宋体" w:eastAsia="宋体" w:cs="宋体"/>
          <w:b/>
          <w:color w:val="auto"/>
          <w:sz w:val="24"/>
          <w:szCs w:val="24"/>
          <w:highlight w:val="none"/>
          <w:lang w:bidi="ar"/>
        </w:rPr>
      </w:pPr>
      <w:bookmarkStart w:id="69" w:name="_Toc18131"/>
      <w:bookmarkStart w:id="70" w:name="_Toc6435"/>
    </w:p>
    <w:p w14:paraId="3C4AE2E1">
      <w:pPr>
        <w:widowControl/>
        <w:jc w:val="center"/>
        <w:rPr>
          <w:rFonts w:hint="eastAsia" w:ascii="宋体" w:hAnsi="宋体" w:eastAsia="宋体" w:cs="宋体"/>
          <w:b/>
          <w:color w:val="auto"/>
          <w:sz w:val="24"/>
          <w:szCs w:val="24"/>
          <w:highlight w:val="none"/>
          <w:lang w:bidi="ar"/>
        </w:rPr>
      </w:pPr>
    </w:p>
    <w:p w14:paraId="1FEEA4C3">
      <w:pPr>
        <w:widowControl/>
        <w:jc w:val="center"/>
        <w:rPr>
          <w:rFonts w:hint="eastAsia" w:ascii="宋体" w:hAnsi="宋体" w:eastAsia="宋体" w:cs="宋体"/>
          <w:b/>
          <w:color w:val="auto"/>
          <w:sz w:val="24"/>
          <w:szCs w:val="24"/>
          <w:highlight w:val="none"/>
          <w:lang w:bidi="ar"/>
        </w:rPr>
      </w:pPr>
    </w:p>
    <w:p w14:paraId="21338A35">
      <w:pPr>
        <w:widowControl/>
        <w:jc w:val="center"/>
        <w:rPr>
          <w:rFonts w:hint="eastAsia" w:ascii="宋体" w:hAnsi="宋体" w:eastAsia="宋体" w:cs="宋体"/>
          <w:b/>
          <w:color w:val="auto"/>
          <w:sz w:val="24"/>
          <w:szCs w:val="24"/>
          <w:highlight w:val="none"/>
          <w:lang w:bidi="ar"/>
        </w:rPr>
      </w:pPr>
    </w:p>
    <w:p w14:paraId="5149E407">
      <w:pPr>
        <w:widowControl/>
        <w:jc w:val="center"/>
        <w:rPr>
          <w:rFonts w:hint="eastAsia" w:ascii="宋体" w:hAnsi="宋体" w:eastAsia="宋体" w:cs="宋体"/>
          <w:b/>
          <w:color w:val="auto"/>
          <w:sz w:val="24"/>
          <w:szCs w:val="24"/>
          <w:highlight w:val="none"/>
          <w:lang w:bidi="ar"/>
        </w:rPr>
      </w:pPr>
    </w:p>
    <w:p w14:paraId="1ABDB30B">
      <w:pPr>
        <w:widowControl/>
        <w:jc w:val="center"/>
        <w:rPr>
          <w:rFonts w:hint="eastAsia" w:ascii="宋体" w:hAnsi="宋体" w:eastAsia="宋体" w:cs="宋体"/>
          <w:b/>
          <w:color w:val="auto"/>
          <w:sz w:val="24"/>
          <w:szCs w:val="24"/>
          <w:highlight w:val="none"/>
          <w:lang w:bidi="ar"/>
        </w:rPr>
      </w:pPr>
    </w:p>
    <w:p w14:paraId="7A8A5FF2">
      <w:pPr>
        <w:widowControl/>
        <w:jc w:val="center"/>
        <w:rPr>
          <w:rFonts w:hint="eastAsia" w:ascii="宋体" w:hAnsi="宋体" w:eastAsia="宋体" w:cs="宋体"/>
          <w:b/>
          <w:color w:val="auto"/>
          <w:sz w:val="24"/>
          <w:szCs w:val="24"/>
          <w:highlight w:val="none"/>
          <w:lang w:bidi="ar"/>
        </w:rPr>
      </w:pPr>
    </w:p>
    <w:p w14:paraId="298FB489">
      <w:pPr>
        <w:widowControl/>
        <w:jc w:val="center"/>
        <w:rPr>
          <w:rFonts w:hint="eastAsia" w:ascii="宋体" w:hAnsi="宋体" w:eastAsia="宋体" w:cs="宋体"/>
          <w:b/>
          <w:color w:val="auto"/>
          <w:sz w:val="24"/>
          <w:szCs w:val="24"/>
          <w:highlight w:val="none"/>
          <w:lang w:bidi="ar"/>
        </w:rPr>
      </w:pPr>
    </w:p>
    <w:p w14:paraId="090DBBB9">
      <w:pPr>
        <w:widowControl/>
        <w:jc w:val="center"/>
        <w:rPr>
          <w:rFonts w:hint="eastAsia" w:ascii="宋体" w:hAnsi="宋体" w:eastAsia="宋体" w:cs="宋体"/>
          <w:b/>
          <w:color w:val="auto"/>
          <w:sz w:val="24"/>
          <w:szCs w:val="24"/>
          <w:highlight w:val="none"/>
          <w:lang w:bidi="ar"/>
        </w:rPr>
      </w:pPr>
    </w:p>
    <w:p w14:paraId="6EE7546A">
      <w:pPr>
        <w:widowControl/>
        <w:jc w:val="center"/>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61CE60AA">
      <w:pPr>
        <w:widowControl/>
        <w:jc w:val="center"/>
        <w:rPr>
          <w:rFonts w:hint="eastAsia" w:ascii="宋体" w:hAnsi="宋体" w:eastAsia="宋体" w:cs="宋体"/>
          <w:b/>
          <w:color w:val="auto"/>
          <w:sz w:val="24"/>
          <w:szCs w:val="24"/>
          <w:highlight w:val="none"/>
          <w:lang w:bidi="ar"/>
        </w:rPr>
      </w:pPr>
    </w:p>
    <w:p w14:paraId="455F504B">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69"/>
      <w:bookmarkEnd w:id="70"/>
    </w:p>
    <w:p w14:paraId="79374884">
      <w:pPr>
        <w:spacing w:line="360" w:lineRule="auto"/>
        <w:jc w:val="center"/>
        <w:outlineLvl w:val="1"/>
        <w:rPr>
          <w:rFonts w:hint="eastAsia" w:ascii="仿宋" w:hAnsi="仿宋" w:eastAsia="仿宋" w:cs="仿宋"/>
          <w:b/>
          <w:bCs/>
          <w:color w:val="auto"/>
          <w:sz w:val="32"/>
          <w:szCs w:val="44"/>
          <w:highlight w:val="none"/>
        </w:rPr>
      </w:pPr>
      <w:bookmarkStart w:id="71" w:name="_Toc27159"/>
      <w:bookmarkStart w:id="72" w:name="_Toc27489"/>
      <w:r>
        <w:rPr>
          <w:rFonts w:hint="eastAsia" w:ascii="仿宋" w:hAnsi="仿宋" w:eastAsia="仿宋" w:cs="仿宋"/>
          <w:b/>
          <w:bCs/>
          <w:color w:val="auto"/>
          <w:sz w:val="32"/>
          <w:szCs w:val="44"/>
          <w:highlight w:val="none"/>
        </w:rPr>
        <w:t>询问函范本</w:t>
      </w:r>
      <w:bookmarkEnd w:id="71"/>
      <w:bookmarkEnd w:id="72"/>
    </w:p>
    <w:p w14:paraId="58E5EE6E">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3" w:name="_Toc13899"/>
      <w:r>
        <w:rPr>
          <w:rFonts w:hint="eastAsia" w:cs="仿宋" w:asciiTheme="minorEastAsia" w:hAnsiTheme="minorEastAsia" w:eastAsiaTheme="minorEastAsia"/>
          <w:color w:val="auto"/>
          <w:sz w:val="24"/>
          <w:szCs w:val="24"/>
          <w:highlight w:val="none"/>
        </w:rPr>
        <w:t>一、(事项一)</w:t>
      </w:r>
      <w:bookmarkEnd w:id="73"/>
    </w:p>
    <w:p w14:paraId="783A1DF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4" w:name="_Toc3352"/>
      <w:r>
        <w:rPr>
          <w:rFonts w:hint="eastAsia" w:cs="仿宋" w:asciiTheme="minorEastAsia" w:hAnsiTheme="minorEastAsia" w:eastAsiaTheme="minorEastAsia"/>
          <w:color w:val="auto"/>
          <w:sz w:val="24"/>
          <w:szCs w:val="24"/>
          <w:highlight w:val="none"/>
        </w:rPr>
        <w:t>二、(事项二)</w:t>
      </w:r>
      <w:bookmarkEnd w:id="74"/>
    </w:p>
    <w:p w14:paraId="0578BF9A">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1"/>
        <w:rPr>
          <w:rFonts w:hint="eastAsia" w:ascii="仿宋" w:hAnsi="仿宋" w:eastAsia="仿宋" w:cs="仿宋"/>
          <w:b/>
          <w:bCs/>
          <w:color w:val="auto"/>
          <w:sz w:val="32"/>
          <w:szCs w:val="44"/>
          <w:highlight w:val="none"/>
        </w:rPr>
      </w:pPr>
      <w:bookmarkStart w:id="75" w:name="_Toc1575"/>
      <w:bookmarkStart w:id="76" w:name="_Toc3245"/>
      <w:r>
        <w:rPr>
          <w:rFonts w:hint="eastAsia" w:ascii="仿宋" w:hAnsi="仿宋" w:eastAsia="仿宋" w:cs="仿宋"/>
          <w:b/>
          <w:bCs/>
          <w:color w:val="auto"/>
          <w:sz w:val="32"/>
          <w:szCs w:val="44"/>
          <w:highlight w:val="none"/>
        </w:rPr>
        <w:t>质疑函范本</w:t>
      </w:r>
      <w:bookmarkEnd w:id="75"/>
      <w:bookmarkEnd w:id="76"/>
    </w:p>
    <w:p w14:paraId="3783D166">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77" w:name="_Toc21381"/>
      <w:r>
        <w:rPr>
          <w:rFonts w:hint="eastAsia" w:cs="仿宋" w:asciiTheme="minorEastAsia" w:hAnsiTheme="minorEastAsia" w:eastAsiaTheme="minorEastAsia"/>
          <w:b/>
          <w:bCs/>
          <w:color w:val="auto"/>
          <w:sz w:val="24"/>
          <w:szCs w:val="24"/>
          <w:highlight w:val="none"/>
        </w:rPr>
        <w:t>一、质疑供应商基本信息</w:t>
      </w:r>
      <w:bookmarkEnd w:id="77"/>
    </w:p>
    <w:p w14:paraId="5705130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8" w:name="_Toc28415"/>
      <w:r>
        <w:rPr>
          <w:rFonts w:hint="eastAsia" w:cs="仿宋" w:asciiTheme="minorEastAsia" w:hAnsiTheme="minorEastAsia" w:eastAsiaTheme="minorEastAsia"/>
          <w:b/>
          <w:bCs/>
          <w:color w:val="auto"/>
          <w:sz w:val="24"/>
          <w:szCs w:val="24"/>
          <w:highlight w:val="none"/>
        </w:rPr>
        <w:t>二、质疑项目基本情况</w:t>
      </w:r>
      <w:bookmarkEnd w:id="78"/>
    </w:p>
    <w:p w14:paraId="03F55C5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9" w:name="_Toc19014"/>
      <w:r>
        <w:rPr>
          <w:rFonts w:hint="eastAsia" w:cs="仿宋" w:asciiTheme="minorEastAsia" w:hAnsiTheme="minorEastAsia" w:eastAsiaTheme="minorEastAsia"/>
          <w:b/>
          <w:bCs/>
          <w:color w:val="auto"/>
          <w:sz w:val="24"/>
          <w:szCs w:val="24"/>
          <w:highlight w:val="none"/>
        </w:rPr>
        <w:t>三、质疑事项具体内容</w:t>
      </w:r>
      <w:bookmarkEnd w:id="79"/>
    </w:p>
    <w:p w14:paraId="7B7BAEC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80" w:name="_Toc17919"/>
      <w:r>
        <w:rPr>
          <w:rFonts w:hint="eastAsia" w:cs="仿宋" w:asciiTheme="minorEastAsia" w:hAnsiTheme="minorEastAsia" w:eastAsiaTheme="minorEastAsia"/>
          <w:b/>
          <w:bCs/>
          <w:color w:val="auto"/>
          <w:sz w:val="24"/>
          <w:szCs w:val="24"/>
          <w:highlight w:val="none"/>
        </w:rPr>
        <w:t>四、与质疑事项相关的质疑请求</w:t>
      </w:r>
      <w:bookmarkEnd w:id="80"/>
    </w:p>
    <w:p w14:paraId="2B897F43">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0"/>
        <w:rPr>
          <w:rFonts w:hint="eastAsia" w:asciiTheme="minorEastAsia" w:hAnsiTheme="minorEastAsia" w:eastAsiaTheme="minorEastAsia"/>
          <w:b/>
          <w:color w:val="auto"/>
          <w:sz w:val="28"/>
          <w:szCs w:val="32"/>
          <w:highlight w:val="none"/>
        </w:rPr>
      </w:pPr>
      <w:bookmarkStart w:id="81" w:name="_Toc9754"/>
      <w:bookmarkStart w:id="82" w:name="_Toc26836"/>
      <w:r>
        <w:rPr>
          <w:rFonts w:hint="eastAsia" w:asciiTheme="minorEastAsia" w:hAnsiTheme="minorEastAsia" w:eastAsiaTheme="minorEastAsia"/>
          <w:b/>
          <w:color w:val="auto"/>
          <w:sz w:val="28"/>
          <w:szCs w:val="32"/>
          <w:highlight w:val="none"/>
        </w:rPr>
        <w:t>质疑函制作说明：</w:t>
      </w:r>
      <w:bookmarkEnd w:id="81"/>
      <w:bookmarkEnd w:id="82"/>
    </w:p>
    <w:p w14:paraId="1725DA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color w:val="auto"/>
          <w:sz w:val="24"/>
          <w:highlight w:val="none"/>
        </w:rPr>
      </w:pPr>
    </w:p>
    <w:p w14:paraId="5BB8CFA4">
      <w:pPr>
        <w:spacing w:line="360" w:lineRule="auto"/>
        <w:ind w:firstLine="435"/>
        <w:rPr>
          <w:rFonts w:hint="eastAsia" w:asciiTheme="minorEastAsia" w:hAnsiTheme="minorEastAsia" w:eastAsiaTheme="minorEastAsia"/>
          <w:color w:val="auto"/>
          <w:sz w:val="24"/>
          <w:highlight w:val="none"/>
        </w:rPr>
      </w:pPr>
    </w:p>
    <w:p w14:paraId="5C02AA88">
      <w:pPr>
        <w:spacing w:line="360" w:lineRule="auto"/>
        <w:ind w:firstLine="435"/>
        <w:rPr>
          <w:rFonts w:hint="eastAsia" w:asciiTheme="minorEastAsia" w:hAnsiTheme="minorEastAsia" w:eastAsiaTheme="minorEastAsia"/>
          <w:color w:val="auto"/>
          <w:sz w:val="24"/>
          <w:highlight w:val="none"/>
        </w:rPr>
      </w:pPr>
    </w:p>
    <w:p w14:paraId="6D550915">
      <w:pPr>
        <w:spacing w:line="360" w:lineRule="auto"/>
        <w:ind w:firstLine="435"/>
        <w:rPr>
          <w:rFonts w:hint="eastAsia" w:asciiTheme="minorEastAsia" w:hAnsiTheme="minorEastAsia" w:eastAsiaTheme="minorEastAsia"/>
          <w:color w:val="auto"/>
          <w:sz w:val="24"/>
          <w:highlight w:val="none"/>
        </w:rPr>
      </w:pPr>
    </w:p>
    <w:p w14:paraId="724A571F">
      <w:pPr>
        <w:spacing w:line="360" w:lineRule="auto"/>
        <w:ind w:firstLine="435"/>
        <w:rPr>
          <w:rFonts w:hint="eastAsia" w:asciiTheme="minorEastAsia" w:hAnsiTheme="minorEastAsia" w:eastAsiaTheme="minorEastAsia"/>
          <w:color w:val="auto"/>
          <w:sz w:val="24"/>
          <w:highlight w:val="none"/>
        </w:rPr>
      </w:pPr>
    </w:p>
    <w:p w14:paraId="28FD4111">
      <w:pPr>
        <w:spacing w:line="360" w:lineRule="auto"/>
        <w:ind w:firstLine="435"/>
        <w:rPr>
          <w:rFonts w:hint="eastAsia" w:asciiTheme="minorEastAsia" w:hAnsiTheme="minorEastAsia" w:eastAsiaTheme="minorEastAsia"/>
          <w:color w:val="auto"/>
          <w:sz w:val="24"/>
          <w:highlight w:val="none"/>
        </w:rPr>
      </w:pPr>
    </w:p>
    <w:p w14:paraId="16B5E5F2">
      <w:pPr>
        <w:spacing w:line="360" w:lineRule="auto"/>
        <w:ind w:firstLine="435"/>
        <w:rPr>
          <w:rFonts w:hint="eastAsia" w:asciiTheme="minorEastAsia" w:hAnsiTheme="minorEastAsia" w:eastAsiaTheme="minorEastAsia"/>
          <w:color w:val="auto"/>
          <w:sz w:val="24"/>
          <w:highlight w:val="none"/>
        </w:rPr>
      </w:pPr>
    </w:p>
    <w:p w14:paraId="5B43344D">
      <w:pPr>
        <w:spacing w:line="360" w:lineRule="auto"/>
        <w:ind w:firstLine="435"/>
        <w:rPr>
          <w:rFonts w:hint="eastAsia" w:asciiTheme="minorEastAsia" w:hAnsiTheme="minorEastAsia" w:eastAsiaTheme="minorEastAsia"/>
          <w:color w:val="auto"/>
          <w:sz w:val="24"/>
          <w:highlight w:val="none"/>
        </w:rPr>
      </w:pPr>
    </w:p>
    <w:p w14:paraId="3C3A6170">
      <w:pPr>
        <w:spacing w:line="360" w:lineRule="auto"/>
        <w:ind w:firstLine="435"/>
        <w:rPr>
          <w:rFonts w:hint="eastAsia" w:asciiTheme="minorEastAsia" w:hAnsiTheme="minorEastAsia" w:eastAsiaTheme="minorEastAsia"/>
          <w:color w:val="auto"/>
          <w:sz w:val="24"/>
          <w:highlight w:val="none"/>
        </w:rPr>
      </w:pPr>
    </w:p>
    <w:p w14:paraId="26B8DC02">
      <w:pPr>
        <w:spacing w:line="360" w:lineRule="auto"/>
        <w:ind w:firstLine="435"/>
        <w:rPr>
          <w:rFonts w:hint="eastAsia" w:asciiTheme="minorEastAsia" w:hAnsiTheme="minorEastAsia" w:eastAsiaTheme="minorEastAsia"/>
          <w:color w:val="auto"/>
          <w:sz w:val="24"/>
          <w:highlight w:val="none"/>
        </w:rPr>
      </w:pPr>
    </w:p>
    <w:p w14:paraId="1CDCF5CC">
      <w:pPr>
        <w:spacing w:line="360" w:lineRule="auto"/>
        <w:ind w:firstLine="435"/>
        <w:rPr>
          <w:rFonts w:hint="eastAsia" w:asciiTheme="minorEastAsia" w:hAnsiTheme="minorEastAsia" w:eastAsiaTheme="minorEastAsia"/>
          <w:color w:val="auto"/>
          <w:sz w:val="24"/>
          <w:highlight w:val="none"/>
        </w:rPr>
      </w:pPr>
    </w:p>
    <w:p w14:paraId="63CE4802">
      <w:pPr>
        <w:spacing w:line="360" w:lineRule="auto"/>
        <w:ind w:firstLine="435"/>
        <w:rPr>
          <w:rFonts w:hint="eastAsia" w:asciiTheme="minorEastAsia" w:hAnsiTheme="minorEastAsia" w:eastAsiaTheme="minorEastAsia"/>
          <w:color w:val="auto"/>
          <w:sz w:val="24"/>
          <w:highlight w:val="none"/>
        </w:rPr>
      </w:pPr>
    </w:p>
    <w:p w14:paraId="7BAD57B4">
      <w:pPr>
        <w:spacing w:line="360" w:lineRule="auto"/>
        <w:ind w:firstLine="435"/>
        <w:rPr>
          <w:rFonts w:hint="eastAsia" w:asciiTheme="minorEastAsia" w:hAnsiTheme="minorEastAsia" w:eastAsiaTheme="minorEastAsia"/>
          <w:color w:val="auto"/>
          <w:sz w:val="24"/>
          <w:highlight w:val="none"/>
        </w:rPr>
      </w:pPr>
    </w:p>
    <w:p w14:paraId="440A9292">
      <w:pPr>
        <w:spacing w:line="360" w:lineRule="auto"/>
        <w:ind w:firstLine="435"/>
        <w:rPr>
          <w:rFonts w:hint="eastAsia" w:asciiTheme="minorEastAsia" w:hAnsiTheme="minorEastAsia" w:eastAsiaTheme="minorEastAsia"/>
          <w:color w:val="auto"/>
          <w:sz w:val="24"/>
          <w:highlight w:val="none"/>
        </w:rPr>
      </w:pPr>
    </w:p>
    <w:p w14:paraId="64A5C061">
      <w:pPr>
        <w:spacing w:line="360" w:lineRule="auto"/>
        <w:ind w:firstLine="435"/>
        <w:rPr>
          <w:rFonts w:hint="eastAsia" w:asciiTheme="minorEastAsia" w:hAnsiTheme="minorEastAsia" w:eastAsiaTheme="minorEastAsia"/>
          <w:color w:val="auto"/>
          <w:sz w:val="24"/>
          <w:highlight w:val="none"/>
        </w:rPr>
      </w:pPr>
    </w:p>
    <w:p w14:paraId="45D2452B">
      <w:pPr>
        <w:spacing w:line="360" w:lineRule="auto"/>
        <w:ind w:firstLine="435"/>
        <w:rPr>
          <w:rFonts w:hint="eastAsia" w:asciiTheme="minorEastAsia" w:hAnsiTheme="minorEastAsia" w:eastAsiaTheme="minorEastAsia"/>
          <w:color w:val="auto"/>
          <w:sz w:val="24"/>
          <w:highlight w:val="none"/>
        </w:rPr>
      </w:pPr>
    </w:p>
    <w:p w14:paraId="2EB46D18">
      <w:pPr>
        <w:spacing w:line="360" w:lineRule="auto"/>
        <w:ind w:firstLine="435"/>
        <w:rPr>
          <w:rFonts w:hint="eastAsia" w:asciiTheme="minorEastAsia" w:hAnsiTheme="minorEastAsia" w:eastAsiaTheme="minorEastAsia"/>
          <w:color w:val="auto"/>
          <w:sz w:val="24"/>
          <w:highlight w:val="none"/>
        </w:rPr>
      </w:pPr>
    </w:p>
    <w:p w14:paraId="5ACA0FD4">
      <w:pPr>
        <w:spacing w:line="360" w:lineRule="auto"/>
        <w:ind w:firstLine="435"/>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83"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83"/>
    </w:p>
    <w:p w14:paraId="7214B33A">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84" w:name="OLE_LINK93"/>
      <w:bookmarkEnd w:id="84"/>
      <w:bookmarkStart w:id="85" w:name="OLE_LINK92"/>
      <w:bookmarkEnd w:id="85"/>
      <w:bookmarkStart w:id="86" w:name="OLE_LINK91"/>
      <w:bookmarkEnd w:id="86"/>
      <w:bookmarkStart w:id="87" w:name="OLE_LINK103"/>
      <w:r>
        <w:rPr>
          <w:rFonts w:hint="eastAsia" w:ascii="宋体" w:hAnsi="宋体" w:eastAsia="宋体" w:cs="宋体"/>
          <w:color w:val="auto"/>
          <w:sz w:val="24"/>
          <w:szCs w:val="24"/>
          <w:highlight w:val="none"/>
          <w:lang w:bidi="ar"/>
        </w:rPr>
        <w:t>投标人、法定代表人及其项目经理(建造师)</w:t>
      </w:r>
      <w:bookmarkEnd w:id="87"/>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88" w:name="OLE_LINK86"/>
      <w:bookmarkEnd w:id="88"/>
      <w:bookmarkStart w:id="89" w:name="OLE_LINK87"/>
      <w:bookmarkEnd w:id="89"/>
      <w:bookmarkStart w:id="90" w:name="OLE_LINK119"/>
      <w:bookmarkEnd w:id="90"/>
      <w:bookmarkStart w:id="91" w:name="OLE_LINK94"/>
      <w:r>
        <w:rPr>
          <w:rFonts w:hint="eastAsia" w:ascii="宋体" w:hAnsi="宋体" w:eastAsia="宋体" w:cs="宋体"/>
          <w:color w:val="auto"/>
          <w:sz w:val="24"/>
          <w:szCs w:val="24"/>
          <w:highlight w:val="none"/>
          <w:lang w:bidi="ar"/>
        </w:rPr>
        <w:t>①被列入“失信被执行人”的;</w:t>
      </w:r>
      <w:bookmarkEnd w:id="91"/>
    </w:p>
    <w:p w14:paraId="696CB48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92" w:name="OLE_LINK117"/>
      <w:bookmarkEnd w:id="92"/>
      <w:bookmarkStart w:id="93" w:name="OLE_LINK115"/>
      <w:bookmarkEnd w:id="93"/>
      <w:bookmarkStart w:id="94" w:name="OLE_LINK116"/>
      <w:bookmarkEnd w:id="94"/>
      <w:bookmarkStart w:id="95" w:name="OLE_LINK118"/>
      <w:r>
        <w:rPr>
          <w:rFonts w:hint="eastAsia" w:ascii="宋体" w:hAnsi="宋体" w:eastAsia="宋体" w:cs="宋体"/>
          <w:color w:val="auto"/>
          <w:sz w:val="24"/>
          <w:szCs w:val="24"/>
          <w:highlight w:val="none"/>
          <w:lang w:bidi="ar"/>
        </w:rPr>
        <w:t>“重大税收违法失信主体”</w:t>
      </w:r>
      <w:bookmarkEnd w:id="95"/>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96" w:name="OLE_LINK85"/>
      <w:bookmarkEnd w:id="96"/>
      <w:bookmarkStart w:id="97" w:name="OLE_LINK84"/>
      <w:r>
        <w:rPr>
          <w:rFonts w:hint="eastAsia" w:ascii="宋体" w:hAnsi="宋体" w:eastAsia="宋体" w:cs="宋体"/>
          <w:color w:val="auto"/>
          <w:sz w:val="24"/>
          <w:szCs w:val="24"/>
          <w:highlight w:val="none"/>
          <w:lang w:bidi="ar"/>
        </w:rPr>
        <w:t>农民工工资失信联合惩戒对象</w:t>
      </w:r>
      <w:bookmarkEnd w:id="97"/>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98" w:name="OLE_LINK130"/>
      <w:r>
        <w:rPr>
          <w:rFonts w:hint="eastAsia" w:ascii="宋体" w:hAnsi="宋体" w:eastAsia="宋体" w:cs="宋体"/>
          <w:color w:val="auto"/>
          <w:sz w:val="24"/>
          <w:szCs w:val="24"/>
          <w:highlight w:val="none"/>
          <w:lang w:bidi="ar"/>
        </w:rPr>
        <w:t>国家企业信用信息公示系统网站</w:t>
      </w:r>
      <w:bookmarkEnd w:id="98"/>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99" w:name="OLE_LINK121"/>
      <w:bookmarkEnd w:id="99"/>
      <w:bookmarkStart w:id="100" w:name="OLE_LINK120"/>
      <w:bookmarkEnd w:id="100"/>
      <w:bookmarkStart w:id="101" w:name="OLE_LINK122"/>
      <w:r>
        <w:rPr>
          <w:rFonts w:hint="eastAsia" w:ascii="宋体" w:hAnsi="宋体" w:eastAsia="宋体" w:cs="宋体"/>
          <w:color w:val="auto"/>
          <w:sz w:val="24"/>
          <w:szCs w:val="24"/>
          <w:highlight w:val="none"/>
          <w:lang w:bidi="ar"/>
        </w:rPr>
        <w:t>①被列入“经营异常名录”或者“严重违法失信名单”的。</w:t>
      </w:r>
      <w:bookmarkEnd w:id="101"/>
    </w:p>
    <w:p w14:paraId="7D2EC5B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102" w:name="OLE_LINK123"/>
      <w:bookmarkEnd w:id="102"/>
      <w:bookmarkStart w:id="103" w:name="OLE_LINK124"/>
      <w:r>
        <w:rPr>
          <w:rFonts w:hint="eastAsia" w:ascii="宋体" w:hAnsi="宋体" w:eastAsia="宋体" w:cs="宋体"/>
          <w:color w:val="auto"/>
          <w:sz w:val="24"/>
          <w:szCs w:val="24"/>
          <w:highlight w:val="none"/>
          <w:lang w:bidi="ar"/>
        </w:rPr>
        <w:t>①</w:t>
      </w:r>
      <w:bookmarkEnd w:id="103"/>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04" w:name="OLE_LINK108"/>
      <w:bookmarkEnd w:id="104"/>
      <w:bookmarkStart w:id="105"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05"/>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06" w:name="OLE_LINK100"/>
      <w:bookmarkEnd w:id="106"/>
      <w:bookmarkStart w:id="107" w:name="OLE_LINK102"/>
      <w:bookmarkEnd w:id="107"/>
      <w:bookmarkStart w:id="108" w:name="OLE_LINK101"/>
      <w:r>
        <w:rPr>
          <w:rFonts w:hint="eastAsia" w:ascii="宋体" w:hAnsi="宋体" w:eastAsia="宋体" w:cs="宋体"/>
          <w:color w:val="auto"/>
          <w:sz w:val="24"/>
          <w:szCs w:val="24"/>
          <w:highlight w:val="none"/>
          <w:lang w:bidi="ar"/>
        </w:rPr>
        <w:t>被列入“经营异常名录”或者“严重违法失信名单”的</w:t>
      </w:r>
      <w:bookmarkEnd w:id="108"/>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09" w:name="OLE_LINK95"/>
      <w:bookmarkEnd w:id="109"/>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10" w:name="OLE_LINK105"/>
      <w:bookmarkEnd w:id="110"/>
      <w:bookmarkStart w:id="111" w:name="OLE_LINK106"/>
      <w:bookmarkEnd w:id="111"/>
      <w:bookmarkStart w:id="112" w:name="OLE_LINK104"/>
      <w:r>
        <w:rPr>
          <w:rFonts w:hint="eastAsia" w:ascii="宋体" w:hAnsi="宋体" w:eastAsia="宋体" w:cs="宋体"/>
          <w:color w:val="auto"/>
          <w:sz w:val="24"/>
          <w:szCs w:val="24"/>
          <w:highlight w:val="none"/>
          <w:lang w:bidi="ar"/>
        </w:rPr>
        <w:t>被列入“政府采购严重违法失信行为信息记录”的</w:t>
      </w:r>
      <w:bookmarkEnd w:id="112"/>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113" w:name="_Toc4556"/>
      <w:bookmarkEnd w:id="113"/>
      <w:bookmarkStart w:id="114"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14"/>
    </w:p>
    <w:p w14:paraId="458263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rPr>
          <w:rFonts w:hint="eastAsia" w:ascii="宋体" w:hAnsi="宋体" w:eastAsia="宋体" w:cs="宋体"/>
          <w:b/>
          <w:color w:val="auto"/>
          <w:sz w:val="24"/>
          <w:szCs w:val="24"/>
          <w:highlight w:val="none"/>
        </w:rPr>
      </w:pPr>
    </w:p>
    <w:p w14:paraId="65312475">
      <w:pPr>
        <w:spacing w:line="380" w:lineRule="exact"/>
        <w:ind w:firstLine="487" w:firstLineChars="2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rPr>
          <w:rFonts w:hint="eastAsia" w:ascii="宋体" w:hAnsi="宋体" w:eastAsia="宋体" w:cs="宋体"/>
          <w:color w:val="auto"/>
          <w:sz w:val="24"/>
          <w:szCs w:val="24"/>
          <w:highlight w:val="none"/>
        </w:rPr>
      </w:pPr>
    </w:p>
    <w:p w14:paraId="1284D55B">
      <w:pPr>
        <w:spacing w:line="360" w:lineRule="auto"/>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方正行楷简体">
    <w:panose1 w:val="02010601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abstractNum w:abstractNumId="8">
    <w:nsid w:val="5E0F6D7A"/>
    <w:multiLevelType w:val="singleLevel"/>
    <w:tmpl w:val="5E0F6D7A"/>
    <w:lvl w:ilvl="0" w:tentative="0">
      <w:start w:val="5"/>
      <w:numFmt w:val="chineseCounting"/>
      <w:suff w:val="space"/>
      <w:lvlText w:val="第%1章"/>
      <w:lvlJc w:val="left"/>
      <w:rPr>
        <w:rFonts w:hint="eastAsia"/>
      </w:rPr>
    </w:lvl>
  </w:abstractNum>
  <w:num w:numId="1">
    <w:abstractNumId w:val="8"/>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03B"/>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0B5904"/>
    <w:rsid w:val="02110D66"/>
    <w:rsid w:val="0214602E"/>
    <w:rsid w:val="02380E83"/>
    <w:rsid w:val="025F774E"/>
    <w:rsid w:val="029A6E6A"/>
    <w:rsid w:val="02D435F7"/>
    <w:rsid w:val="03486B27"/>
    <w:rsid w:val="040A094E"/>
    <w:rsid w:val="04671EF4"/>
    <w:rsid w:val="04B35139"/>
    <w:rsid w:val="05595CE0"/>
    <w:rsid w:val="056F201D"/>
    <w:rsid w:val="05940AC6"/>
    <w:rsid w:val="05B664D4"/>
    <w:rsid w:val="064B485A"/>
    <w:rsid w:val="06823FBC"/>
    <w:rsid w:val="068C65C4"/>
    <w:rsid w:val="07076C01"/>
    <w:rsid w:val="071C12AC"/>
    <w:rsid w:val="077C7A64"/>
    <w:rsid w:val="07A934B3"/>
    <w:rsid w:val="07EB6287"/>
    <w:rsid w:val="07EC4BEA"/>
    <w:rsid w:val="0806421B"/>
    <w:rsid w:val="0822060B"/>
    <w:rsid w:val="08D77648"/>
    <w:rsid w:val="09215C24"/>
    <w:rsid w:val="094A3686"/>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0F534B"/>
    <w:rsid w:val="0C685EAE"/>
    <w:rsid w:val="0C992C37"/>
    <w:rsid w:val="0CBD6F29"/>
    <w:rsid w:val="0D5B011C"/>
    <w:rsid w:val="0D727688"/>
    <w:rsid w:val="0D7C07BE"/>
    <w:rsid w:val="0D8633EB"/>
    <w:rsid w:val="0DB55A7E"/>
    <w:rsid w:val="0E810642"/>
    <w:rsid w:val="0E9113ED"/>
    <w:rsid w:val="0EAC50D3"/>
    <w:rsid w:val="0EDB1514"/>
    <w:rsid w:val="0EEA6FC1"/>
    <w:rsid w:val="0F790928"/>
    <w:rsid w:val="0F8400D8"/>
    <w:rsid w:val="10086339"/>
    <w:rsid w:val="102636A0"/>
    <w:rsid w:val="107C607B"/>
    <w:rsid w:val="108113B9"/>
    <w:rsid w:val="10CD72BB"/>
    <w:rsid w:val="111625C1"/>
    <w:rsid w:val="115031A6"/>
    <w:rsid w:val="12197477"/>
    <w:rsid w:val="12314985"/>
    <w:rsid w:val="1264785B"/>
    <w:rsid w:val="12925FE9"/>
    <w:rsid w:val="12E05F13"/>
    <w:rsid w:val="12F16504"/>
    <w:rsid w:val="131B5CD3"/>
    <w:rsid w:val="13776448"/>
    <w:rsid w:val="1382549E"/>
    <w:rsid w:val="139C44D2"/>
    <w:rsid w:val="144F070C"/>
    <w:rsid w:val="1466407E"/>
    <w:rsid w:val="146E27F8"/>
    <w:rsid w:val="14834E28"/>
    <w:rsid w:val="148E7D65"/>
    <w:rsid w:val="149363ED"/>
    <w:rsid w:val="14C34F24"/>
    <w:rsid w:val="15225379"/>
    <w:rsid w:val="15231BF9"/>
    <w:rsid w:val="15515573"/>
    <w:rsid w:val="15565D98"/>
    <w:rsid w:val="15664F78"/>
    <w:rsid w:val="15C4546D"/>
    <w:rsid w:val="16881F81"/>
    <w:rsid w:val="16EA2C3C"/>
    <w:rsid w:val="17365652"/>
    <w:rsid w:val="1743376D"/>
    <w:rsid w:val="18BE612E"/>
    <w:rsid w:val="195A07CF"/>
    <w:rsid w:val="19A03A86"/>
    <w:rsid w:val="1A064976"/>
    <w:rsid w:val="1A361CF4"/>
    <w:rsid w:val="1A3B68AA"/>
    <w:rsid w:val="1A3E1C1E"/>
    <w:rsid w:val="1AC437A4"/>
    <w:rsid w:val="1B6F4F40"/>
    <w:rsid w:val="1B8E0BB7"/>
    <w:rsid w:val="1C0A315F"/>
    <w:rsid w:val="1C141836"/>
    <w:rsid w:val="1C33473D"/>
    <w:rsid w:val="1C5A786C"/>
    <w:rsid w:val="1C76537D"/>
    <w:rsid w:val="1CB87339"/>
    <w:rsid w:val="1CF2638E"/>
    <w:rsid w:val="1D7847A6"/>
    <w:rsid w:val="1D9C6312"/>
    <w:rsid w:val="1E1265D5"/>
    <w:rsid w:val="1E2E78B2"/>
    <w:rsid w:val="1E4449D5"/>
    <w:rsid w:val="1E6B6A14"/>
    <w:rsid w:val="1E9857FA"/>
    <w:rsid w:val="1F370744"/>
    <w:rsid w:val="1F933745"/>
    <w:rsid w:val="1FD16A32"/>
    <w:rsid w:val="20550D9A"/>
    <w:rsid w:val="209B6D55"/>
    <w:rsid w:val="20AC3611"/>
    <w:rsid w:val="20D12777"/>
    <w:rsid w:val="21221225"/>
    <w:rsid w:val="21845C9E"/>
    <w:rsid w:val="218E2416"/>
    <w:rsid w:val="226915FE"/>
    <w:rsid w:val="227000D6"/>
    <w:rsid w:val="22702106"/>
    <w:rsid w:val="22A85809"/>
    <w:rsid w:val="234F4B80"/>
    <w:rsid w:val="2411199F"/>
    <w:rsid w:val="241804A5"/>
    <w:rsid w:val="24214489"/>
    <w:rsid w:val="245D47C2"/>
    <w:rsid w:val="24B97929"/>
    <w:rsid w:val="24D632D7"/>
    <w:rsid w:val="25381017"/>
    <w:rsid w:val="25714529"/>
    <w:rsid w:val="25EA1E77"/>
    <w:rsid w:val="265A4FBD"/>
    <w:rsid w:val="26E10E4C"/>
    <w:rsid w:val="270A5A82"/>
    <w:rsid w:val="271E0BB2"/>
    <w:rsid w:val="276021F9"/>
    <w:rsid w:val="27710810"/>
    <w:rsid w:val="27CD5A5E"/>
    <w:rsid w:val="27D65DBA"/>
    <w:rsid w:val="283A6824"/>
    <w:rsid w:val="285F40CA"/>
    <w:rsid w:val="289E1AF0"/>
    <w:rsid w:val="28C01ECB"/>
    <w:rsid w:val="29253660"/>
    <w:rsid w:val="29BF71E3"/>
    <w:rsid w:val="29D6387F"/>
    <w:rsid w:val="29E03A2B"/>
    <w:rsid w:val="2A127B63"/>
    <w:rsid w:val="2A186477"/>
    <w:rsid w:val="2A451A6C"/>
    <w:rsid w:val="2A950CB9"/>
    <w:rsid w:val="2AAA4765"/>
    <w:rsid w:val="2AC21606"/>
    <w:rsid w:val="2B365FF8"/>
    <w:rsid w:val="2B446269"/>
    <w:rsid w:val="2B7E7608"/>
    <w:rsid w:val="2B7F04E9"/>
    <w:rsid w:val="2B8B554A"/>
    <w:rsid w:val="2C8D32DB"/>
    <w:rsid w:val="2C932FD6"/>
    <w:rsid w:val="2CD741F3"/>
    <w:rsid w:val="2D496D68"/>
    <w:rsid w:val="2E7A48DE"/>
    <w:rsid w:val="2E9C43C4"/>
    <w:rsid w:val="2EBA5177"/>
    <w:rsid w:val="2EDC3ED8"/>
    <w:rsid w:val="2EE40E2C"/>
    <w:rsid w:val="2F104B00"/>
    <w:rsid w:val="2F6351B4"/>
    <w:rsid w:val="2F9E02E9"/>
    <w:rsid w:val="2FA53C7A"/>
    <w:rsid w:val="2FC86126"/>
    <w:rsid w:val="2FCF199E"/>
    <w:rsid w:val="30133AD1"/>
    <w:rsid w:val="30483E83"/>
    <w:rsid w:val="30850E88"/>
    <w:rsid w:val="309317F7"/>
    <w:rsid w:val="30AC2E50"/>
    <w:rsid w:val="30BF3991"/>
    <w:rsid w:val="30C602FF"/>
    <w:rsid w:val="3111619A"/>
    <w:rsid w:val="316F5DC0"/>
    <w:rsid w:val="31B139DC"/>
    <w:rsid w:val="31F07456"/>
    <w:rsid w:val="32497AF3"/>
    <w:rsid w:val="343C0775"/>
    <w:rsid w:val="34401962"/>
    <w:rsid w:val="348D47EE"/>
    <w:rsid w:val="349B5B79"/>
    <w:rsid w:val="34A51AF9"/>
    <w:rsid w:val="34C47095"/>
    <w:rsid w:val="355F061F"/>
    <w:rsid w:val="356C50EC"/>
    <w:rsid w:val="36137E45"/>
    <w:rsid w:val="36376E0A"/>
    <w:rsid w:val="36484C39"/>
    <w:rsid w:val="364A4C7C"/>
    <w:rsid w:val="36A83A7F"/>
    <w:rsid w:val="36C02CFA"/>
    <w:rsid w:val="36E27AE8"/>
    <w:rsid w:val="3700166C"/>
    <w:rsid w:val="379A1012"/>
    <w:rsid w:val="38694EE9"/>
    <w:rsid w:val="387B329C"/>
    <w:rsid w:val="38B92017"/>
    <w:rsid w:val="39717338"/>
    <w:rsid w:val="399565E0"/>
    <w:rsid w:val="39B40599"/>
    <w:rsid w:val="3A0946EB"/>
    <w:rsid w:val="3A117273"/>
    <w:rsid w:val="3A6818FA"/>
    <w:rsid w:val="3AAD21B4"/>
    <w:rsid w:val="3AB344ED"/>
    <w:rsid w:val="3B0B7708"/>
    <w:rsid w:val="3B365CC9"/>
    <w:rsid w:val="3B60677A"/>
    <w:rsid w:val="3B697D24"/>
    <w:rsid w:val="3B814447"/>
    <w:rsid w:val="3B9A7B88"/>
    <w:rsid w:val="3BB42978"/>
    <w:rsid w:val="3BD8694B"/>
    <w:rsid w:val="3C161A03"/>
    <w:rsid w:val="3CDF3F9E"/>
    <w:rsid w:val="3D2C7AC8"/>
    <w:rsid w:val="3D4E2786"/>
    <w:rsid w:val="3D536596"/>
    <w:rsid w:val="3D855D12"/>
    <w:rsid w:val="3D8B42FF"/>
    <w:rsid w:val="3DC456E6"/>
    <w:rsid w:val="3DD338D1"/>
    <w:rsid w:val="3DE86C4C"/>
    <w:rsid w:val="3DF36A6E"/>
    <w:rsid w:val="3EA572C5"/>
    <w:rsid w:val="3EBA1EE9"/>
    <w:rsid w:val="3ED2798E"/>
    <w:rsid w:val="3F0833B0"/>
    <w:rsid w:val="3F182204"/>
    <w:rsid w:val="3F792F1E"/>
    <w:rsid w:val="3F9133A5"/>
    <w:rsid w:val="40270EDD"/>
    <w:rsid w:val="40493E7F"/>
    <w:rsid w:val="40824826"/>
    <w:rsid w:val="40A54574"/>
    <w:rsid w:val="40E63923"/>
    <w:rsid w:val="41546D80"/>
    <w:rsid w:val="415643E4"/>
    <w:rsid w:val="419158DF"/>
    <w:rsid w:val="41E537CB"/>
    <w:rsid w:val="41F67E38"/>
    <w:rsid w:val="42293AD3"/>
    <w:rsid w:val="42971481"/>
    <w:rsid w:val="42A04182"/>
    <w:rsid w:val="43032966"/>
    <w:rsid w:val="43194544"/>
    <w:rsid w:val="433437C5"/>
    <w:rsid w:val="43A91E5B"/>
    <w:rsid w:val="448121AB"/>
    <w:rsid w:val="449E0D39"/>
    <w:rsid w:val="4542321E"/>
    <w:rsid w:val="45B222C8"/>
    <w:rsid w:val="45B44292"/>
    <w:rsid w:val="45C73FC5"/>
    <w:rsid w:val="45E32B26"/>
    <w:rsid w:val="45EF5FB8"/>
    <w:rsid w:val="463A3650"/>
    <w:rsid w:val="46461627"/>
    <w:rsid w:val="46647A66"/>
    <w:rsid w:val="469F0116"/>
    <w:rsid w:val="46F1158D"/>
    <w:rsid w:val="47277B83"/>
    <w:rsid w:val="4750522E"/>
    <w:rsid w:val="475259B7"/>
    <w:rsid w:val="475C7B62"/>
    <w:rsid w:val="47995D18"/>
    <w:rsid w:val="47FE1F9A"/>
    <w:rsid w:val="482254E2"/>
    <w:rsid w:val="483E28ED"/>
    <w:rsid w:val="484F2050"/>
    <w:rsid w:val="487749DE"/>
    <w:rsid w:val="488302AE"/>
    <w:rsid w:val="48831CF9"/>
    <w:rsid w:val="48AC020A"/>
    <w:rsid w:val="48CB7AD6"/>
    <w:rsid w:val="48F54394"/>
    <w:rsid w:val="49024C9C"/>
    <w:rsid w:val="49044BE8"/>
    <w:rsid w:val="496F4D40"/>
    <w:rsid w:val="49B1408D"/>
    <w:rsid w:val="49FE5ADB"/>
    <w:rsid w:val="4A027BBB"/>
    <w:rsid w:val="4A323C61"/>
    <w:rsid w:val="4A39249C"/>
    <w:rsid w:val="4A7D4FD2"/>
    <w:rsid w:val="4A913C9A"/>
    <w:rsid w:val="4B1F70AC"/>
    <w:rsid w:val="4B240F94"/>
    <w:rsid w:val="4B4D6D1A"/>
    <w:rsid w:val="4B856638"/>
    <w:rsid w:val="4BDA5120"/>
    <w:rsid w:val="4C0832E5"/>
    <w:rsid w:val="4C3C565C"/>
    <w:rsid w:val="4C5C55E6"/>
    <w:rsid w:val="4CCC79C7"/>
    <w:rsid w:val="4CE94821"/>
    <w:rsid w:val="4D0300DE"/>
    <w:rsid w:val="4D0B5439"/>
    <w:rsid w:val="4D553CBF"/>
    <w:rsid w:val="4D7555C7"/>
    <w:rsid w:val="4DF07D79"/>
    <w:rsid w:val="4DF65A5C"/>
    <w:rsid w:val="4E8D742E"/>
    <w:rsid w:val="4EAE6DA0"/>
    <w:rsid w:val="4EB8094F"/>
    <w:rsid w:val="4FCF2EA3"/>
    <w:rsid w:val="4FE617D9"/>
    <w:rsid w:val="4FE707F9"/>
    <w:rsid w:val="5016514B"/>
    <w:rsid w:val="50BD4DF3"/>
    <w:rsid w:val="50CF0EE9"/>
    <w:rsid w:val="50FC1A26"/>
    <w:rsid w:val="513B2CE7"/>
    <w:rsid w:val="51723664"/>
    <w:rsid w:val="51771629"/>
    <w:rsid w:val="51BB7195"/>
    <w:rsid w:val="51CB1C78"/>
    <w:rsid w:val="51FD6A51"/>
    <w:rsid w:val="521D240A"/>
    <w:rsid w:val="52224331"/>
    <w:rsid w:val="526B680A"/>
    <w:rsid w:val="52836F71"/>
    <w:rsid w:val="52D26B02"/>
    <w:rsid w:val="53394028"/>
    <w:rsid w:val="53671FD0"/>
    <w:rsid w:val="53D61877"/>
    <w:rsid w:val="54161C73"/>
    <w:rsid w:val="541A5D30"/>
    <w:rsid w:val="5463070C"/>
    <w:rsid w:val="549239F0"/>
    <w:rsid w:val="54CF34BC"/>
    <w:rsid w:val="55102B67"/>
    <w:rsid w:val="55132D9D"/>
    <w:rsid w:val="556578BB"/>
    <w:rsid w:val="556A0B5D"/>
    <w:rsid w:val="55C1559C"/>
    <w:rsid w:val="55E10E5A"/>
    <w:rsid w:val="55F068CD"/>
    <w:rsid w:val="560C77D2"/>
    <w:rsid w:val="566C3136"/>
    <w:rsid w:val="56823A8C"/>
    <w:rsid w:val="568D04F2"/>
    <w:rsid w:val="57033184"/>
    <w:rsid w:val="578B0CFA"/>
    <w:rsid w:val="57CF6D09"/>
    <w:rsid w:val="580845C6"/>
    <w:rsid w:val="587F6530"/>
    <w:rsid w:val="58F17C86"/>
    <w:rsid w:val="593C217C"/>
    <w:rsid w:val="59513E7A"/>
    <w:rsid w:val="5A0B43C0"/>
    <w:rsid w:val="5A296BA4"/>
    <w:rsid w:val="5A395792"/>
    <w:rsid w:val="5A526582"/>
    <w:rsid w:val="5A5F5C77"/>
    <w:rsid w:val="5A711A0D"/>
    <w:rsid w:val="5ADA7E9F"/>
    <w:rsid w:val="5B0E7B48"/>
    <w:rsid w:val="5B1613E4"/>
    <w:rsid w:val="5B2568B5"/>
    <w:rsid w:val="5B78003B"/>
    <w:rsid w:val="5BAF30D9"/>
    <w:rsid w:val="5BC11A60"/>
    <w:rsid w:val="5C425CFC"/>
    <w:rsid w:val="5C7A4D54"/>
    <w:rsid w:val="5CBD2F36"/>
    <w:rsid w:val="5CBF7A3A"/>
    <w:rsid w:val="5CC86079"/>
    <w:rsid w:val="5CD23B73"/>
    <w:rsid w:val="5CD57954"/>
    <w:rsid w:val="5D5A52C7"/>
    <w:rsid w:val="5D5A77C0"/>
    <w:rsid w:val="5DAA0B9B"/>
    <w:rsid w:val="5DC14E75"/>
    <w:rsid w:val="5DE057CC"/>
    <w:rsid w:val="5E1C65B7"/>
    <w:rsid w:val="5E231B5D"/>
    <w:rsid w:val="5E2C3A34"/>
    <w:rsid w:val="5F127819"/>
    <w:rsid w:val="60350ED3"/>
    <w:rsid w:val="60B72AEE"/>
    <w:rsid w:val="60EF0689"/>
    <w:rsid w:val="60F650B9"/>
    <w:rsid w:val="60F872D1"/>
    <w:rsid w:val="61025188"/>
    <w:rsid w:val="61057D5F"/>
    <w:rsid w:val="614D4977"/>
    <w:rsid w:val="61704C00"/>
    <w:rsid w:val="61E33ADD"/>
    <w:rsid w:val="626D25CE"/>
    <w:rsid w:val="62CE1B77"/>
    <w:rsid w:val="633A772C"/>
    <w:rsid w:val="63C60FC0"/>
    <w:rsid w:val="63CB2A7A"/>
    <w:rsid w:val="643B4928"/>
    <w:rsid w:val="648733AC"/>
    <w:rsid w:val="64B54289"/>
    <w:rsid w:val="64BA3D7A"/>
    <w:rsid w:val="64F179BC"/>
    <w:rsid w:val="652A1A23"/>
    <w:rsid w:val="65323AFA"/>
    <w:rsid w:val="654A23E3"/>
    <w:rsid w:val="65815634"/>
    <w:rsid w:val="658971CF"/>
    <w:rsid w:val="65C6085D"/>
    <w:rsid w:val="65C82300"/>
    <w:rsid w:val="660A2050"/>
    <w:rsid w:val="66127E0B"/>
    <w:rsid w:val="662D4693"/>
    <w:rsid w:val="665054B9"/>
    <w:rsid w:val="665704D3"/>
    <w:rsid w:val="6683763C"/>
    <w:rsid w:val="669944D9"/>
    <w:rsid w:val="66E327CE"/>
    <w:rsid w:val="66F10AFA"/>
    <w:rsid w:val="67201527"/>
    <w:rsid w:val="673E5FF3"/>
    <w:rsid w:val="67A140FF"/>
    <w:rsid w:val="67C065A4"/>
    <w:rsid w:val="67D359C9"/>
    <w:rsid w:val="68042537"/>
    <w:rsid w:val="68103BDF"/>
    <w:rsid w:val="68E2428E"/>
    <w:rsid w:val="68FE36DD"/>
    <w:rsid w:val="694E60FC"/>
    <w:rsid w:val="696702F4"/>
    <w:rsid w:val="6A256904"/>
    <w:rsid w:val="6A2C1D99"/>
    <w:rsid w:val="6A6612D8"/>
    <w:rsid w:val="6A7476FC"/>
    <w:rsid w:val="6AAA163C"/>
    <w:rsid w:val="6B144B23"/>
    <w:rsid w:val="6B405AFC"/>
    <w:rsid w:val="6B656832"/>
    <w:rsid w:val="6BA22313"/>
    <w:rsid w:val="6BAA76A3"/>
    <w:rsid w:val="6C675CE6"/>
    <w:rsid w:val="6D4F4321"/>
    <w:rsid w:val="6DF376F2"/>
    <w:rsid w:val="6DF41B82"/>
    <w:rsid w:val="6DFF7360"/>
    <w:rsid w:val="6E035DE2"/>
    <w:rsid w:val="6E0E4702"/>
    <w:rsid w:val="6E3F02ED"/>
    <w:rsid w:val="6E7A5F73"/>
    <w:rsid w:val="6EE90F9D"/>
    <w:rsid w:val="6F1D7B64"/>
    <w:rsid w:val="6FB6454A"/>
    <w:rsid w:val="6FD74228"/>
    <w:rsid w:val="7021106F"/>
    <w:rsid w:val="702754DC"/>
    <w:rsid w:val="704E65B0"/>
    <w:rsid w:val="7065160C"/>
    <w:rsid w:val="70B474DA"/>
    <w:rsid w:val="71175551"/>
    <w:rsid w:val="71462F6F"/>
    <w:rsid w:val="71633091"/>
    <w:rsid w:val="71874904"/>
    <w:rsid w:val="71C617F4"/>
    <w:rsid w:val="71F8286E"/>
    <w:rsid w:val="72005FE5"/>
    <w:rsid w:val="72361A07"/>
    <w:rsid w:val="725A270A"/>
    <w:rsid w:val="72620EA6"/>
    <w:rsid w:val="728078CA"/>
    <w:rsid w:val="73081CA5"/>
    <w:rsid w:val="73136EFB"/>
    <w:rsid w:val="73275BE6"/>
    <w:rsid w:val="735A5BA1"/>
    <w:rsid w:val="73E831D5"/>
    <w:rsid w:val="74100036"/>
    <w:rsid w:val="74201F7D"/>
    <w:rsid w:val="742F6FCE"/>
    <w:rsid w:val="7487762D"/>
    <w:rsid w:val="74C33AA4"/>
    <w:rsid w:val="74F93837"/>
    <w:rsid w:val="75210D7A"/>
    <w:rsid w:val="75385498"/>
    <w:rsid w:val="754C4174"/>
    <w:rsid w:val="75680129"/>
    <w:rsid w:val="75AE0CEB"/>
    <w:rsid w:val="75F37776"/>
    <w:rsid w:val="76835714"/>
    <w:rsid w:val="76BC207F"/>
    <w:rsid w:val="76EB4904"/>
    <w:rsid w:val="76F25B94"/>
    <w:rsid w:val="77065E4C"/>
    <w:rsid w:val="771C566F"/>
    <w:rsid w:val="77645DCD"/>
    <w:rsid w:val="776C7C79"/>
    <w:rsid w:val="777378F5"/>
    <w:rsid w:val="777A2D3C"/>
    <w:rsid w:val="7838290E"/>
    <w:rsid w:val="78A715E8"/>
    <w:rsid w:val="79074B81"/>
    <w:rsid w:val="794F0939"/>
    <w:rsid w:val="79AF0FCA"/>
    <w:rsid w:val="7A1044F1"/>
    <w:rsid w:val="7A2D43C7"/>
    <w:rsid w:val="7A560E98"/>
    <w:rsid w:val="7AF9279C"/>
    <w:rsid w:val="7BCA404B"/>
    <w:rsid w:val="7C1B3F81"/>
    <w:rsid w:val="7C5D0785"/>
    <w:rsid w:val="7C722BF6"/>
    <w:rsid w:val="7CC51958"/>
    <w:rsid w:val="7CD53DF9"/>
    <w:rsid w:val="7D097C86"/>
    <w:rsid w:val="7D7D673C"/>
    <w:rsid w:val="7DD87E16"/>
    <w:rsid w:val="7E2936C3"/>
    <w:rsid w:val="7E6411B9"/>
    <w:rsid w:val="7EA92E9E"/>
    <w:rsid w:val="7EC169E3"/>
    <w:rsid w:val="7ED45C48"/>
    <w:rsid w:val="7F5B2D73"/>
    <w:rsid w:val="7F7B14DF"/>
    <w:rsid w:val="7FB623D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9"/>
    <w:autoRedefine/>
    <w:qFormat/>
    <w:uiPriority w:val="99"/>
    <w:rPr>
      <w:rFonts w:ascii="宋体" w:hAnsi="Courier New" w:eastAsiaTheme="minorEastAsia" w:cstheme="minorBidi"/>
      <w:szCs w:val="22"/>
    </w:rPr>
  </w:style>
  <w:style w:type="paragraph" w:styleId="14">
    <w:name w:val="Date"/>
    <w:basedOn w:val="1"/>
    <w:next w:val="1"/>
    <w:link w:val="56"/>
    <w:autoRedefine/>
    <w:qFormat/>
    <w:uiPriority w:val="0"/>
    <w:rPr>
      <w:rFonts w:ascii="Arial" w:hAnsi="Arial" w:eastAsia="宋体" w:cs="Arial"/>
      <w:b/>
      <w:sz w:val="28"/>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qFormat/>
    <w:uiPriority w:val="99"/>
    <w:pPr>
      <w:jc w:val="left"/>
    </w:pPr>
    <w:rPr>
      <w:rFonts w:ascii="仿宋_GB2312" w:hAnsi="宋体" w:eastAsia="仿宋_GB2312" w:cs="Times New Roman"/>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0"/>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7"/>
    <w:autoRedefine/>
    <w:qFormat/>
    <w:uiPriority w:val="99"/>
    <w:rPr>
      <w:rFonts w:ascii="@仿宋_GB2312" w:hAnsi="@仿宋_GB2312" w:eastAsia="@仿宋_GB2312" w:cs="@仿宋_GB2312"/>
      <w:sz w:val="18"/>
      <w:szCs w:val="18"/>
    </w:rPr>
  </w:style>
  <w:style w:type="character" w:customStyle="1" w:styleId="48">
    <w:name w:val="页脚 字符"/>
    <w:basedOn w:val="29"/>
    <w:link w:val="16"/>
    <w:autoRedefine/>
    <w:qFormat/>
    <w:uiPriority w:val="99"/>
    <w:rPr>
      <w:rFonts w:ascii="@仿宋_GB2312" w:hAnsi="@仿宋_GB2312" w:eastAsia="@仿宋_GB2312" w:cs="@仿宋_GB2312"/>
      <w:sz w:val="18"/>
      <w:szCs w:val="18"/>
    </w:rPr>
  </w:style>
  <w:style w:type="character" w:customStyle="1" w:styleId="49">
    <w:name w:val="纯文本 字符"/>
    <w:link w:val="13"/>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14"/>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8"/>
    <w:autoRedefine/>
    <w:qFormat/>
    <w:uiPriority w:val="0"/>
    <w:rPr>
      <w:rFonts w:ascii="Arial" w:hAnsi="Arial" w:eastAsia="黑体" w:cs="Arial"/>
      <w:szCs w:val="20"/>
    </w:rPr>
  </w:style>
  <w:style w:type="character" w:customStyle="1" w:styleId="60">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1"/>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1479</Words>
  <Characters>1614</Characters>
  <Lines>1</Lines>
  <Paragraphs>1</Paragraphs>
  <TotalTime>22</TotalTime>
  <ScaleCrop>false</ScaleCrop>
  <LinksUpToDate>false</LinksUpToDate>
  <CharactersWithSpaces>1705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2025-12-19T06:45:00Z</cp:lastPrinted>
  <dcterms:modified xsi:type="dcterms:W3CDTF">2026-01-28T01:06:21Z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eyJoZGlkIjoiZjQ0ZWJmYWQwYTBiMjc0ZWQ5M2NkOGQ5MjEwNDA1NmMiLCJ1c2VySWQiOiI0NTAwNDIwODUifQ==</vt:lpwstr>
  </property>
</Properties>
</file>